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EA337" w14:textId="77777777" w:rsidR="006E357C" w:rsidRPr="00F153F6" w:rsidRDefault="006E357C" w:rsidP="004424B4">
      <w:pPr>
        <w:autoSpaceDE w:val="0"/>
        <w:autoSpaceDN w:val="0"/>
        <w:adjustRightInd w:val="0"/>
        <w:spacing w:after="0" w:line="360" w:lineRule="auto"/>
        <w:jc w:val="both"/>
        <w:rPr>
          <w:rFonts w:ascii="Times New Roman" w:hAnsi="Times New Roman" w:cs="Times New Roman"/>
          <w:sz w:val="24"/>
          <w:szCs w:val="24"/>
        </w:rPr>
      </w:pPr>
      <w:r w:rsidRPr="00F153F6">
        <w:rPr>
          <w:rFonts w:ascii="Times New Roman" w:hAnsi="Times New Roman" w:cs="Times New Roman"/>
          <w:noProof/>
          <w:sz w:val="24"/>
          <w:szCs w:val="24"/>
          <w:lang w:eastAsia="zh-CN"/>
        </w:rPr>
        <w:drawing>
          <wp:anchor distT="0" distB="0" distL="114300" distR="114300" simplePos="0" relativeHeight="251659264" behindDoc="0" locked="0" layoutInCell="1" allowOverlap="1" wp14:anchorId="570B3DB0" wp14:editId="654A7D4D">
            <wp:simplePos x="0" y="0"/>
            <wp:positionH relativeFrom="column">
              <wp:posOffset>1310652</wp:posOffset>
            </wp:positionH>
            <wp:positionV relativeFrom="paragraph">
              <wp:posOffset>-310515</wp:posOffset>
            </wp:positionV>
            <wp:extent cx="3036570" cy="1104265"/>
            <wp:effectExtent l="0" t="0" r="0" b="0"/>
            <wp:wrapNone/>
            <wp:docPr id="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24B86A2C" w14:textId="77777777" w:rsidR="006E357C" w:rsidRPr="00F153F6" w:rsidRDefault="006E357C" w:rsidP="004424B4">
      <w:pPr>
        <w:autoSpaceDE w:val="0"/>
        <w:autoSpaceDN w:val="0"/>
        <w:adjustRightInd w:val="0"/>
        <w:spacing w:after="0" w:line="360" w:lineRule="auto"/>
        <w:jc w:val="both"/>
        <w:rPr>
          <w:rFonts w:ascii="Times New Roman" w:hAnsi="Times New Roman" w:cs="Times New Roman"/>
          <w:sz w:val="24"/>
          <w:szCs w:val="24"/>
        </w:rPr>
      </w:pPr>
    </w:p>
    <w:p w14:paraId="51CDD0C2" w14:textId="77777777" w:rsidR="006E357C" w:rsidRPr="00F153F6" w:rsidRDefault="006E357C" w:rsidP="004424B4">
      <w:pPr>
        <w:autoSpaceDE w:val="0"/>
        <w:autoSpaceDN w:val="0"/>
        <w:adjustRightInd w:val="0"/>
        <w:spacing w:after="0" w:line="360" w:lineRule="auto"/>
        <w:jc w:val="both"/>
        <w:rPr>
          <w:rFonts w:ascii="Times New Roman" w:hAnsi="Times New Roman" w:cs="Times New Roman"/>
          <w:sz w:val="24"/>
          <w:szCs w:val="24"/>
        </w:rPr>
      </w:pPr>
    </w:p>
    <w:p w14:paraId="5FCE73D9" w14:textId="77777777" w:rsidR="006E357C" w:rsidRPr="00F153F6" w:rsidRDefault="006E357C" w:rsidP="004424B4">
      <w:pPr>
        <w:autoSpaceDE w:val="0"/>
        <w:autoSpaceDN w:val="0"/>
        <w:adjustRightInd w:val="0"/>
        <w:spacing w:after="0" w:line="360" w:lineRule="auto"/>
        <w:jc w:val="both"/>
        <w:rPr>
          <w:rFonts w:ascii="Times New Roman" w:hAnsi="Times New Roman" w:cs="Times New Roman"/>
          <w:sz w:val="24"/>
          <w:szCs w:val="24"/>
        </w:rPr>
      </w:pPr>
    </w:p>
    <w:p w14:paraId="0E3F2FB7" w14:textId="77777777" w:rsidR="006E357C" w:rsidRPr="00F153F6" w:rsidRDefault="006E357C" w:rsidP="004424B4">
      <w:pPr>
        <w:autoSpaceDE w:val="0"/>
        <w:autoSpaceDN w:val="0"/>
        <w:adjustRightInd w:val="0"/>
        <w:spacing w:after="0" w:line="360" w:lineRule="auto"/>
        <w:jc w:val="both"/>
        <w:rPr>
          <w:rFonts w:ascii="Times New Roman" w:hAnsi="Times New Roman" w:cs="Times New Roman"/>
          <w:sz w:val="24"/>
          <w:szCs w:val="24"/>
        </w:rPr>
      </w:pPr>
    </w:p>
    <w:p w14:paraId="291637D4" w14:textId="77777777" w:rsidR="006E357C" w:rsidRPr="00F153F6" w:rsidRDefault="006E357C" w:rsidP="004424B4">
      <w:pPr>
        <w:autoSpaceDE w:val="0"/>
        <w:autoSpaceDN w:val="0"/>
        <w:adjustRightInd w:val="0"/>
        <w:spacing w:after="0" w:line="360" w:lineRule="auto"/>
        <w:jc w:val="both"/>
        <w:rPr>
          <w:rFonts w:ascii="Times New Roman" w:hAnsi="Times New Roman" w:cs="Times New Roman"/>
          <w:sz w:val="24"/>
          <w:szCs w:val="24"/>
        </w:rPr>
      </w:pPr>
    </w:p>
    <w:p w14:paraId="6DD20ABD" w14:textId="77777777" w:rsidR="006E357C" w:rsidRPr="00F153F6" w:rsidRDefault="006E357C" w:rsidP="004424B4">
      <w:pPr>
        <w:autoSpaceDE w:val="0"/>
        <w:autoSpaceDN w:val="0"/>
        <w:adjustRightInd w:val="0"/>
        <w:spacing w:after="0" w:line="360" w:lineRule="auto"/>
        <w:jc w:val="both"/>
        <w:rPr>
          <w:rFonts w:ascii="Times New Roman" w:hAnsi="Times New Roman" w:cs="Times New Roman"/>
          <w:sz w:val="24"/>
          <w:szCs w:val="24"/>
        </w:rPr>
      </w:pPr>
    </w:p>
    <w:p w14:paraId="2DF2DC36" w14:textId="77777777" w:rsidR="006E357C" w:rsidRPr="00F153F6" w:rsidRDefault="006E357C" w:rsidP="004424B4">
      <w:pPr>
        <w:autoSpaceDE w:val="0"/>
        <w:autoSpaceDN w:val="0"/>
        <w:adjustRightInd w:val="0"/>
        <w:spacing w:after="0" w:line="360" w:lineRule="auto"/>
        <w:jc w:val="both"/>
        <w:rPr>
          <w:rFonts w:ascii="Times New Roman" w:hAnsi="Times New Roman" w:cs="Times New Roman"/>
          <w:b/>
          <w:bCs/>
          <w:color w:val="222222"/>
          <w:shd w:val="clear" w:color="auto" w:fill="FFFFFF"/>
        </w:rPr>
      </w:pPr>
    </w:p>
    <w:p w14:paraId="0CA28FAE" w14:textId="760C89EB" w:rsidR="006E357C" w:rsidRPr="00F153F6" w:rsidRDefault="006E357C" w:rsidP="004424B4">
      <w:pPr>
        <w:autoSpaceDE w:val="0"/>
        <w:autoSpaceDN w:val="0"/>
        <w:adjustRightInd w:val="0"/>
        <w:spacing w:after="0" w:line="360" w:lineRule="auto"/>
        <w:jc w:val="center"/>
        <w:rPr>
          <w:rFonts w:ascii="Times New Roman" w:hAnsi="Times New Roman" w:cs="Times New Roman"/>
          <w:b/>
          <w:bCs/>
          <w:color w:val="222222"/>
          <w:sz w:val="32"/>
          <w:szCs w:val="32"/>
          <w:shd w:val="clear" w:color="auto" w:fill="FFFFFF"/>
        </w:rPr>
      </w:pPr>
      <w:r w:rsidRPr="00F153F6">
        <w:rPr>
          <w:rFonts w:ascii="Times New Roman" w:hAnsi="Times New Roman" w:cs="Times New Roman"/>
          <w:b/>
          <w:bCs/>
          <w:color w:val="222222"/>
          <w:sz w:val="32"/>
          <w:szCs w:val="32"/>
          <w:shd w:val="clear" w:color="auto" w:fill="FFFFFF"/>
        </w:rPr>
        <w:t xml:space="preserve">Understanding the Role of </w:t>
      </w:r>
      <w:r w:rsidR="002C1A2F" w:rsidRPr="00F153F6">
        <w:rPr>
          <w:rFonts w:ascii="Times New Roman" w:hAnsi="Times New Roman" w:cs="Times New Roman"/>
          <w:b/>
          <w:bCs/>
          <w:color w:val="222222"/>
          <w:sz w:val="32"/>
          <w:szCs w:val="32"/>
          <w:shd w:val="clear" w:color="auto" w:fill="FFFFFF"/>
        </w:rPr>
        <w:t>Information and Communication Technology (ICT)</w:t>
      </w:r>
      <w:r w:rsidRPr="00F153F6">
        <w:rPr>
          <w:rFonts w:ascii="Times New Roman" w:hAnsi="Times New Roman" w:cs="Times New Roman"/>
          <w:b/>
          <w:bCs/>
          <w:color w:val="222222"/>
          <w:sz w:val="32"/>
          <w:szCs w:val="32"/>
          <w:shd w:val="clear" w:color="auto" w:fill="FFFFFF"/>
        </w:rPr>
        <w:t xml:space="preserve"> in the Shaping of Inter-organisational Knowledge Exchange</w:t>
      </w:r>
      <w:r w:rsidR="002C1A2F" w:rsidRPr="00F153F6">
        <w:rPr>
          <w:rFonts w:ascii="Times New Roman" w:hAnsi="Times New Roman" w:cs="Times New Roman"/>
          <w:b/>
          <w:bCs/>
          <w:color w:val="222222"/>
          <w:sz w:val="32"/>
          <w:szCs w:val="32"/>
          <w:shd w:val="clear" w:color="auto" w:fill="FFFFFF"/>
        </w:rPr>
        <w:t xml:space="preserve"> (IOKE)</w:t>
      </w:r>
      <w:r w:rsidRPr="00F153F6">
        <w:rPr>
          <w:rFonts w:ascii="Times New Roman" w:hAnsi="Times New Roman" w:cs="Times New Roman"/>
          <w:b/>
          <w:bCs/>
          <w:color w:val="222222"/>
          <w:sz w:val="32"/>
          <w:szCs w:val="32"/>
          <w:shd w:val="clear" w:color="auto" w:fill="FFFFFF"/>
        </w:rPr>
        <w:t xml:space="preserve"> Practice:</w:t>
      </w:r>
    </w:p>
    <w:p w14:paraId="11C8A11C" w14:textId="74434F12" w:rsidR="006E357C" w:rsidRPr="00F153F6" w:rsidRDefault="006E357C" w:rsidP="004424B4">
      <w:pPr>
        <w:autoSpaceDE w:val="0"/>
        <w:autoSpaceDN w:val="0"/>
        <w:adjustRightInd w:val="0"/>
        <w:spacing w:after="0" w:line="360" w:lineRule="auto"/>
        <w:jc w:val="center"/>
        <w:rPr>
          <w:rFonts w:ascii="Times New Roman" w:hAnsi="Times New Roman" w:cs="Times New Roman"/>
          <w:b/>
          <w:bCs/>
          <w:sz w:val="28"/>
          <w:szCs w:val="28"/>
        </w:rPr>
      </w:pPr>
      <w:r w:rsidRPr="00F153F6">
        <w:rPr>
          <w:rFonts w:ascii="Times New Roman" w:hAnsi="Times New Roman" w:cs="Times New Roman"/>
          <w:b/>
          <w:bCs/>
          <w:color w:val="222222"/>
          <w:sz w:val="32"/>
          <w:szCs w:val="32"/>
          <w:shd w:val="clear" w:color="auto" w:fill="FFFFFF"/>
        </w:rPr>
        <w:t>The Context of European Living Labs</w:t>
      </w:r>
      <w:r w:rsidRPr="00F153F6">
        <w:rPr>
          <w:rFonts w:ascii="Times New Roman" w:hAnsi="Times New Roman" w:cs="Times New Roman"/>
          <w:b/>
          <w:bCs/>
          <w:color w:val="222222"/>
          <w:sz w:val="24"/>
          <w:szCs w:val="24"/>
        </w:rPr>
        <w:br/>
      </w:r>
      <w:r w:rsidRPr="00F153F6">
        <w:rPr>
          <w:rFonts w:ascii="Times New Roman" w:hAnsi="Times New Roman" w:cs="Times New Roman"/>
          <w:b/>
          <w:bCs/>
          <w:color w:val="222222"/>
          <w:sz w:val="28"/>
          <w:szCs w:val="28"/>
        </w:rPr>
        <w:br/>
      </w:r>
    </w:p>
    <w:p w14:paraId="58D96CFD" w14:textId="77777777" w:rsidR="006E357C" w:rsidRPr="00F153F6" w:rsidRDefault="006E357C" w:rsidP="004424B4">
      <w:pPr>
        <w:autoSpaceDE w:val="0"/>
        <w:autoSpaceDN w:val="0"/>
        <w:adjustRightInd w:val="0"/>
        <w:spacing w:after="0" w:line="360" w:lineRule="auto"/>
        <w:jc w:val="center"/>
        <w:rPr>
          <w:rFonts w:ascii="Times New Roman" w:hAnsi="Times New Roman" w:cs="Times New Roman"/>
          <w:b/>
          <w:bCs/>
          <w:sz w:val="28"/>
          <w:szCs w:val="28"/>
        </w:rPr>
      </w:pPr>
    </w:p>
    <w:p w14:paraId="2836FA22" w14:textId="1ECC764E" w:rsidR="006E357C" w:rsidRPr="00F153F6" w:rsidRDefault="006E357C" w:rsidP="004424B4">
      <w:pPr>
        <w:autoSpaceDE w:val="0"/>
        <w:autoSpaceDN w:val="0"/>
        <w:adjustRightInd w:val="0"/>
        <w:spacing w:after="0" w:line="360" w:lineRule="auto"/>
        <w:jc w:val="center"/>
        <w:rPr>
          <w:rFonts w:ascii="Times New Roman" w:hAnsi="Times New Roman" w:cs="Times New Roman"/>
          <w:b/>
          <w:bCs/>
          <w:sz w:val="28"/>
          <w:szCs w:val="28"/>
        </w:rPr>
      </w:pPr>
      <w:r w:rsidRPr="00F153F6">
        <w:rPr>
          <w:rFonts w:ascii="Times New Roman" w:hAnsi="Times New Roman" w:cs="Times New Roman"/>
          <w:b/>
          <w:bCs/>
          <w:sz w:val="28"/>
          <w:szCs w:val="28"/>
        </w:rPr>
        <w:t>Yuzhen Zhu</w:t>
      </w:r>
    </w:p>
    <w:p w14:paraId="6026A41F" w14:textId="77777777" w:rsidR="006E357C" w:rsidRPr="00F153F6" w:rsidRDefault="006E357C" w:rsidP="004424B4">
      <w:pPr>
        <w:autoSpaceDE w:val="0"/>
        <w:autoSpaceDN w:val="0"/>
        <w:adjustRightInd w:val="0"/>
        <w:spacing w:after="0" w:line="360" w:lineRule="auto"/>
        <w:jc w:val="center"/>
        <w:rPr>
          <w:rFonts w:ascii="Times New Roman" w:hAnsi="Times New Roman" w:cs="Times New Roman"/>
          <w:b/>
          <w:bCs/>
          <w:sz w:val="28"/>
          <w:szCs w:val="28"/>
        </w:rPr>
      </w:pPr>
    </w:p>
    <w:p w14:paraId="5AA21FC5" w14:textId="77777777" w:rsidR="006E357C" w:rsidRPr="00F153F6" w:rsidRDefault="006E357C" w:rsidP="004424B4">
      <w:pPr>
        <w:autoSpaceDE w:val="0"/>
        <w:autoSpaceDN w:val="0"/>
        <w:adjustRightInd w:val="0"/>
        <w:spacing w:after="0" w:line="360" w:lineRule="auto"/>
        <w:rPr>
          <w:rFonts w:ascii="Times New Roman" w:hAnsi="Times New Roman" w:cs="Times New Roman"/>
          <w:sz w:val="24"/>
          <w:szCs w:val="24"/>
        </w:rPr>
      </w:pPr>
    </w:p>
    <w:p w14:paraId="18A9B67D" w14:textId="77777777" w:rsidR="006E357C" w:rsidRPr="00F153F6" w:rsidRDefault="006E357C" w:rsidP="004424B4">
      <w:pPr>
        <w:autoSpaceDE w:val="0"/>
        <w:autoSpaceDN w:val="0"/>
        <w:adjustRightInd w:val="0"/>
        <w:spacing w:after="0" w:line="360" w:lineRule="auto"/>
        <w:jc w:val="center"/>
        <w:rPr>
          <w:rFonts w:ascii="Times New Roman" w:hAnsi="Times New Roman" w:cs="Times New Roman"/>
          <w:sz w:val="24"/>
          <w:szCs w:val="24"/>
        </w:rPr>
      </w:pPr>
    </w:p>
    <w:p w14:paraId="41CA9ECB" w14:textId="77777777" w:rsidR="006E357C" w:rsidRPr="00F153F6" w:rsidRDefault="006E357C" w:rsidP="004424B4">
      <w:pPr>
        <w:autoSpaceDE w:val="0"/>
        <w:autoSpaceDN w:val="0"/>
        <w:adjustRightInd w:val="0"/>
        <w:spacing w:after="0" w:line="360" w:lineRule="auto"/>
        <w:jc w:val="center"/>
        <w:rPr>
          <w:rFonts w:ascii="Times New Roman" w:hAnsi="Times New Roman" w:cs="Times New Roman"/>
          <w:sz w:val="24"/>
          <w:szCs w:val="24"/>
        </w:rPr>
      </w:pPr>
      <w:r w:rsidRPr="00F153F6">
        <w:rPr>
          <w:rFonts w:ascii="Times New Roman" w:hAnsi="Times New Roman" w:cs="Times New Roman"/>
          <w:sz w:val="24"/>
          <w:szCs w:val="24"/>
        </w:rPr>
        <w:t>A thesis submitted in partial fulfilment of the requirements for the degree of</w:t>
      </w:r>
    </w:p>
    <w:p w14:paraId="153AB33B" w14:textId="5A13E7D1" w:rsidR="006E357C" w:rsidRPr="00F153F6" w:rsidRDefault="006E357C" w:rsidP="004424B4">
      <w:pPr>
        <w:spacing w:line="360" w:lineRule="auto"/>
        <w:jc w:val="center"/>
        <w:rPr>
          <w:rFonts w:ascii="Times New Roman" w:hAnsi="Times New Roman" w:cs="Times New Roman"/>
          <w:sz w:val="24"/>
          <w:szCs w:val="24"/>
        </w:rPr>
      </w:pPr>
      <w:r w:rsidRPr="00F153F6">
        <w:rPr>
          <w:rFonts w:ascii="Times New Roman" w:hAnsi="Times New Roman" w:cs="Times New Roman"/>
          <w:sz w:val="24"/>
          <w:szCs w:val="24"/>
        </w:rPr>
        <w:t>Doctor of Philosophy</w:t>
      </w:r>
    </w:p>
    <w:p w14:paraId="07FA9DFA" w14:textId="77777777" w:rsidR="006E357C" w:rsidRPr="00F153F6" w:rsidRDefault="006E357C" w:rsidP="004424B4">
      <w:pPr>
        <w:spacing w:line="360" w:lineRule="auto"/>
        <w:jc w:val="center"/>
        <w:rPr>
          <w:rFonts w:ascii="Times New Roman" w:hAnsi="Times New Roman" w:cs="Times New Roman"/>
          <w:sz w:val="24"/>
          <w:szCs w:val="24"/>
        </w:rPr>
      </w:pPr>
    </w:p>
    <w:p w14:paraId="5B69BA36" w14:textId="77777777" w:rsidR="006E357C" w:rsidRPr="00F153F6" w:rsidRDefault="006E357C" w:rsidP="004424B4">
      <w:pPr>
        <w:spacing w:line="360" w:lineRule="auto"/>
        <w:rPr>
          <w:rFonts w:ascii="Times New Roman" w:hAnsi="Times New Roman" w:cs="Times New Roman"/>
          <w:sz w:val="24"/>
          <w:szCs w:val="24"/>
        </w:rPr>
      </w:pPr>
    </w:p>
    <w:p w14:paraId="02198DCD" w14:textId="77777777" w:rsidR="006E357C" w:rsidRPr="00F153F6" w:rsidRDefault="006E357C" w:rsidP="004424B4">
      <w:pPr>
        <w:spacing w:after="0" w:line="360" w:lineRule="auto"/>
        <w:jc w:val="center"/>
        <w:rPr>
          <w:rFonts w:ascii="Times New Roman" w:hAnsi="Times New Roman" w:cs="Times New Roman"/>
          <w:sz w:val="24"/>
          <w:szCs w:val="24"/>
        </w:rPr>
      </w:pPr>
      <w:r w:rsidRPr="00F153F6">
        <w:rPr>
          <w:rFonts w:ascii="Times New Roman" w:hAnsi="Times New Roman" w:cs="Times New Roman"/>
          <w:sz w:val="24"/>
          <w:szCs w:val="24"/>
        </w:rPr>
        <w:t>The University of Sheffield</w:t>
      </w:r>
    </w:p>
    <w:p w14:paraId="29619F55" w14:textId="1C15DAD0" w:rsidR="006E357C" w:rsidRPr="00F153F6" w:rsidRDefault="006E357C" w:rsidP="004424B4">
      <w:pPr>
        <w:autoSpaceDE w:val="0"/>
        <w:autoSpaceDN w:val="0"/>
        <w:adjustRightInd w:val="0"/>
        <w:spacing w:after="0" w:line="360" w:lineRule="auto"/>
        <w:jc w:val="center"/>
        <w:rPr>
          <w:rFonts w:ascii="Times New Roman" w:hAnsi="Times New Roman" w:cs="Times New Roman"/>
          <w:sz w:val="24"/>
          <w:szCs w:val="24"/>
        </w:rPr>
      </w:pPr>
      <w:r w:rsidRPr="00F153F6">
        <w:rPr>
          <w:rFonts w:ascii="Times New Roman" w:hAnsi="Times New Roman" w:cs="Times New Roman"/>
          <w:sz w:val="24"/>
          <w:szCs w:val="24"/>
        </w:rPr>
        <w:t>Faculty of Social Science</w:t>
      </w:r>
    </w:p>
    <w:p w14:paraId="212A39A7" w14:textId="5C351091" w:rsidR="006E357C" w:rsidRPr="00F153F6" w:rsidRDefault="006E357C" w:rsidP="004424B4">
      <w:pPr>
        <w:spacing w:line="360" w:lineRule="auto"/>
        <w:jc w:val="center"/>
        <w:rPr>
          <w:rFonts w:ascii="Times New Roman" w:hAnsi="Times New Roman" w:cs="Times New Roman"/>
          <w:sz w:val="24"/>
          <w:szCs w:val="24"/>
        </w:rPr>
      </w:pPr>
      <w:r w:rsidRPr="00F153F6">
        <w:rPr>
          <w:rFonts w:ascii="Times New Roman" w:hAnsi="Times New Roman" w:cs="Times New Roman"/>
          <w:sz w:val="24"/>
          <w:szCs w:val="24"/>
        </w:rPr>
        <w:t>Information School</w:t>
      </w:r>
    </w:p>
    <w:p w14:paraId="5253456F" w14:textId="48B1290C" w:rsidR="006E357C" w:rsidRPr="00F153F6" w:rsidRDefault="006E357C" w:rsidP="004424B4">
      <w:pPr>
        <w:spacing w:line="360" w:lineRule="auto"/>
        <w:rPr>
          <w:rFonts w:ascii="Times New Roman" w:hAnsi="Times New Roman" w:cs="Times New Roman"/>
          <w:sz w:val="24"/>
          <w:szCs w:val="24"/>
        </w:rPr>
      </w:pPr>
    </w:p>
    <w:p w14:paraId="5F9BA1D8" w14:textId="46EDFC0F" w:rsidR="006E357C" w:rsidRPr="00F153F6" w:rsidRDefault="006E357C" w:rsidP="004424B4">
      <w:pPr>
        <w:spacing w:line="360" w:lineRule="auto"/>
        <w:jc w:val="center"/>
        <w:rPr>
          <w:rFonts w:ascii="Times New Roman" w:hAnsi="Times New Roman" w:cs="Times New Roman"/>
        </w:rPr>
      </w:pPr>
      <w:r w:rsidRPr="00F153F6">
        <w:rPr>
          <w:rFonts w:ascii="Times New Roman" w:hAnsi="Times New Roman" w:cs="Times New Roman"/>
        </w:rPr>
        <w:t>Submission Date: 18</w:t>
      </w:r>
      <w:r w:rsidRPr="00F153F6">
        <w:rPr>
          <w:rFonts w:ascii="Times New Roman" w:hAnsi="Times New Roman" w:cs="Times New Roman"/>
          <w:sz w:val="24"/>
          <w:szCs w:val="24"/>
          <w:vertAlign w:val="superscript"/>
        </w:rPr>
        <w:t>th</w:t>
      </w:r>
      <w:r w:rsidRPr="00F153F6">
        <w:rPr>
          <w:rFonts w:ascii="Times New Roman" w:hAnsi="Times New Roman" w:cs="Times New Roman"/>
        </w:rPr>
        <w:t xml:space="preserve"> November 2022</w:t>
      </w:r>
    </w:p>
    <w:p w14:paraId="3588E407" w14:textId="77777777" w:rsidR="0083214D" w:rsidRPr="00F153F6" w:rsidRDefault="0083214D">
      <w:pPr>
        <w:spacing w:after="160" w:line="259" w:lineRule="auto"/>
        <w:rPr>
          <w:rFonts w:ascii="Times New Roman" w:hAnsi="Times New Roman" w:cs="Times New Roman"/>
        </w:rPr>
      </w:pPr>
      <w:r w:rsidRPr="00F153F6">
        <w:rPr>
          <w:rFonts w:ascii="Times New Roman" w:hAnsi="Times New Roman" w:cs="Times New Roman"/>
        </w:rPr>
        <w:br w:type="page"/>
      </w:r>
    </w:p>
    <w:p w14:paraId="709CB23C" w14:textId="19498BE7" w:rsidR="006E357C" w:rsidRPr="00F153F6" w:rsidRDefault="006E357C" w:rsidP="004424B4">
      <w:pPr>
        <w:spacing w:line="360" w:lineRule="auto"/>
        <w:jc w:val="both"/>
        <w:rPr>
          <w:rFonts w:ascii="Times New Roman" w:hAnsi="Times New Roman" w:cs="Times New Roman"/>
        </w:rPr>
      </w:pPr>
      <w:r w:rsidRPr="00F153F6">
        <w:rPr>
          <w:rFonts w:ascii="Times New Roman" w:hAnsi="Times New Roman" w:cs="Times New Roman"/>
        </w:rPr>
        <w:lastRenderedPageBreak/>
        <w:br w:type="page"/>
      </w:r>
    </w:p>
    <w:p w14:paraId="678629EA" w14:textId="56CDD80E" w:rsidR="0015201A" w:rsidRPr="00F153F6" w:rsidRDefault="00721305" w:rsidP="004424B4">
      <w:pPr>
        <w:pStyle w:val="Heading1"/>
        <w:spacing w:line="360" w:lineRule="auto"/>
        <w:jc w:val="center"/>
        <w:rPr>
          <w:rFonts w:ascii="Times New Roman" w:eastAsia="Yu Gothic" w:hAnsi="Times New Roman" w:cs="Times New Roman"/>
          <w:b w:val="0"/>
          <w:bCs/>
          <w:sz w:val="44"/>
          <w:szCs w:val="44"/>
        </w:rPr>
      </w:pPr>
      <w:bookmarkStart w:id="0" w:name="_Toc133252092"/>
      <w:r w:rsidRPr="00F153F6">
        <w:rPr>
          <w:rFonts w:ascii="Times New Roman" w:eastAsia="Yu Gothic" w:hAnsi="Times New Roman" w:cs="Times New Roman"/>
          <w:b w:val="0"/>
          <w:bCs/>
          <w:sz w:val="40"/>
          <w:szCs w:val="40"/>
        </w:rPr>
        <w:lastRenderedPageBreak/>
        <w:t>ACKNOWLEDGEMENT</w:t>
      </w:r>
      <w:bookmarkEnd w:id="0"/>
    </w:p>
    <w:p w14:paraId="1B1AB9B2" w14:textId="7F0F04A2" w:rsidR="003B7E07" w:rsidRPr="00F153F6" w:rsidRDefault="00767A91" w:rsidP="004424B4">
      <w:pPr>
        <w:spacing w:after="160" w:line="360" w:lineRule="auto"/>
        <w:jc w:val="both"/>
        <w:rPr>
          <w:rFonts w:ascii="Times New Roman" w:hAnsi="Times New Roman" w:cs="Times New Roman"/>
          <w:sz w:val="24"/>
          <w:szCs w:val="24"/>
        </w:rPr>
      </w:pPr>
      <w:r w:rsidRPr="00F153F6">
        <w:rPr>
          <w:rFonts w:ascii="Times New Roman" w:hAnsi="Times New Roman" w:cs="Times New Roman"/>
          <w:sz w:val="24"/>
          <w:szCs w:val="24"/>
        </w:rPr>
        <w:t>When I wr</w:t>
      </w:r>
      <w:r w:rsidR="00A60B4B" w:rsidRPr="00F153F6">
        <w:rPr>
          <w:rFonts w:ascii="Times New Roman" w:hAnsi="Times New Roman" w:cs="Times New Roman"/>
          <w:sz w:val="24"/>
          <w:szCs w:val="24"/>
        </w:rPr>
        <w:t>i</w:t>
      </w:r>
      <w:r w:rsidRPr="00F153F6">
        <w:rPr>
          <w:rFonts w:ascii="Times New Roman" w:hAnsi="Times New Roman" w:cs="Times New Roman"/>
          <w:sz w:val="24"/>
          <w:szCs w:val="24"/>
        </w:rPr>
        <w:t xml:space="preserve">te this </w:t>
      </w:r>
      <w:r w:rsidR="00751F28" w:rsidRPr="00F153F6">
        <w:rPr>
          <w:rFonts w:ascii="Times New Roman" w:hAnsi="Times New Roman" w:cs="Times New Roman"/>
          <w:sz w:val="24"/>
          <w:szCs w:val="24"/>
        </w:rPr>
        <w:t>part</w:t>
      </w:r>
      <w:r w:rsidRPr="00F153F6">
        <w:rPr>
          <w:rFonts w:ascii="Times New Roman" w:hAnsi="Times New Roman" w:cs="Times New Roman"/>
          <w:sz w:val="24"/>
          <w:szCs w:val="24"/>
        </w:rPr>
        <w:t xml:space="preserve">, </w:t>
      </w:r>
      <w:r w:rsidR="00E7101B" w:rsidRPr="00F153F6">
        <w:rPr>
          <w:rFonts w:ascii="Times New Roman" w:hAnsi="Times New Roman" w:cs="Times New Roman"/>
          <w:sz w:val="24"/>
          <w:szCs w:val="24"/>
        </w:rPr>
        <w:t>I have finalised th</w:t>
      </w:r>
      <w:r w:rsidR="00A60B4B" w:rsidRPr="00F153F6">
        <w:rPr>
          <w:rFonts w:ascii="Times New Roman" w:hAnsi="Times New Roman" w:cs="Times New Roman"/>
          <w:sz w:val="24"/>
          <w:szCs w:val="24"/>
        </w:rPr>
        <w:t xml:space="preserve">e </w:t>
      </w:r>
      <w:r w:rsidR="00E7101B" w:rsidRPr="00F153F6">
        <w:rPr>
          <w:rFonts w:ascii="Times New Roman" w:hAnsi="Times New Roman" w:cs="Times New Roman"/>
          <w:sz w:val="24"/>
          <w:szCs w:val="24"/>
        </w:rPr>
        <w:t xml:space="preserve">whole </w:t>
      </w:r>
      <w:r w:rsidR="00751F28" w:rsidRPr="00F153F6">
        <w:rPr>
          <w:rFonts w:ascii="Times New Roman" w:hAnsi="Times New Roman" w:cs="Times New Roman"/>
          <w:sz w:val="24"/>
          <w:szCs w:val="24"/>
        </w:rPr>
        <w:t>manuscript</w:t>
      </w:r>
      <w:r w:rsidR="00A60B4B" w:rsidRPr="00F153F6">
        <w:rPr>
          <w:rFonts w:ascii="Times New Roman" w:hAnsi="Times New Roman" w:cs="Times New Roman"/>
          <w:sz w:val="24"/>
          <w:szCs w:val="24"/>
        </w:rPr>
        <w:t xml:space="preserve"> of this </w:t>
      </w:r>
      <w:r w:rsidR="00E7101B" w:rsidRPr="00F153F6">
        <w:rPr>
          <w:rFonts w:ascii="Times New Roman" w:hAnsi="Times New Roman" w:cs="Times New Roman"/>
          <w:sz w:val="24"/>
          <w:szCs w:val="24"/>
        </w:rPr>
        <w:t xml:space="preserve">PhD </w:t>
      </w:r>
      <w:r w:rsidR="00A60B4B" w:rsidRPr="00F153F6">
        <w:rPr>
          <w:rFonts w:ascii="Times New Roman" w:hAnsi="Times New Roman" w:cs="Times New Roman"/>
          <w:sz w:val="24"/>
          <w:szCs w:val="24"/>
        </w:rPr>
        <w:t>research</w:t>
      </w:r>
      <w:r w:rsidR="00E7101B" w:rsidRPr="00F153F6">
        <w:rPr>
          <w:rFonts w:ascii="Times New Roman" w:hAnsi="Times New Roman" w:cs="Times New Roman"/>
          <w:sz w:val="24"/>
          <w:szCs w:val="24"/>
        </w:rPr>
        <w:t>.</w:t>
      </w:r>
      <w:r w:rsidR="00A60B4B" w:rsidRPr="00F153F6">
        <w:rPr>
          <w:rFonts w:ascii="Times New Roman" w:hAnsi="Times New Roman" w:cs="Times New Roman"/>
          <w:sz w:val="24"/>
          <w:szCs w:val="24"/>
        </w:rPr>
        <w:t xml:space="preserve"> </w:t>
      </w:r>
      <w:r w:rsidR="00751F28" w:rsidRPr="00F153F6">
        <w:rPr>
          <w:rFonts w:ascii="Times New Roman" w:hAnsi="Times New Roman" w:cs="Times New Roman"/>
          <w:sz w:val="24"/>
          <w:szCs w:val="24"/>
        </w:rPr>
        <w:t xml:space="preserve">This is the most special and challenging journey I have ever experienced, and I will keep it in my memory forever. </w:t>
      </w:r>
      <w:r w:rsidR="00AF6D39" w:rsidRPr="00F153F6">
        <w:rPr>
          <w:rFonts w:ascii="Times New Roman" w:hAnsi="Times New Roman" w:cs="Times New Roman"/>
          <w:sz w:val="24"/>
          <w:szCs w:val="24"/>
        </w:rPr>
        <w:t xml:space="preserve">This journey would not have been possible </w:t>
      </w:r>
      <w:r w:rsidR="003B7E07" w:rsidRPr="00F153F6">
        <w:rPr>
          <w:rFonts w:ascii="Times New Roman" w:hAnsi="Times New Roman" w:cs="Times New Roman"/>
          <w:sz w:val="24"/>
          <w:szCs w:val="24"/>
        </w:rPr>
        <w:t>without the support of many people.</w:t>
      </w:r>
      <w:r w:rsidR="00AF6D39" w:rsidRPr="00F153F6">
        <w:rPr>
          <w:rFonts w:ascii="Times New Roman" w:hAnsi="Times New Roman" w:cs="Times New Roman"/>
          <w:sz w:val="24"/>
          <w:szCs w:val="24"/>
        </w:rPr>
        <w:t xml:space="preserve"> </w:t>
      </w:r>
    </w:p>
    <w:p w14:paraId="3BD75BB2" w14:textId="3B3F13F5" w:rsidR="00DB6FFF" w:rsidRPr="00F153F6" w:rsidRDefault="003B7E07" w:rsidP="004424B4">
      <w:pPr>
        <w:spacing w:after="160" w:line="360" w:lineRule="auto"/>
        <w:jc w:val="both"/>
        <w:rPr>
          <w:rFonts w:ascii="Times New Roman" w:eastAsiaTheme="minorEastAsia" w:hAnsi="Times New Roman" w:cs="Times New Roman"/>
          <w:sz w:val="24"/>
          <w:szCs w:val="24"/>
          <w:lang w:eastAsia="zh-CN"/>
        </w:rPr>
      </w:pPr>
      <w:r w:rsidRPr="00F153F6">
        <w:rPr>
          <w:rFonts w:ascii="Times New Roman" w:hAnsi="Times New Roman" w:cs="Times New Roman"/>
          <w:sz w:val="24"/>
          <w:szCs w:val="24"/>
        </w:rPr>
        <w:t>First and foremost</w:t>
      </w:r>
      <w:r w:rsidR="00431FAC" w:rsidRPr="00F153F6">
        <w:rPr>
          <w:rFonts w:ascii="Times New Roman" w:hAnsi="Times New Roman" w:cs="Times New Roman"/>
          <w:sz w:val="24"/>
          <w:szCs w:val="24"/>
        </w:rPr>
        <w:t xml:space="preserve">, I am deeply grateful to </w:t>
      </w:r>
      <w:r w:rsidR="000F0A7E" w:rsidRPr="00F153F6">
        <w:rPr>
          <w:rFonts w:ascii="Times New Roman" w:hAnsi="Times New Roman" w:cs="Times New Roman"/>
          <w:sz w:val="24"/>
          <w:szCs w:val="24"/>
        </w:rPr>
        <w:t xml:space="preserve">all </w:t>
      </w:r>
      <w:r w:rsidR="00431FAC" w:rsidRPr="00F153F6">
        <w:rPr>
          <w:rFonts w:ascii="Times New Roman" w:hAnsi="Times New Roman" w:cs="Times New Roman"/>
          <w:sz w:val="24"/>
          <w:szCs w:val="24"/>
        </w:rPr>
        <w:t>my supervisors, Dr. Efpraxia D. Zamani, Dr. Ana C. Vasconcelos</w:t>
      </w:r>
      <w:r w:rsidR="000F0A7E" w:rsidRPr="00F153F6">
        <w:rPr>
          <w:rFonts w:ascii="Times New Roman" w:hAnsi="Times New Roman" w:cs="Times New Roman"/>
          <w:sz w:val="24"/>
          <w:szCs w:val="24"/>
        </w:rPr>
        <w:t>, and Dr. Jorge Tiago Martins</w:t>
      </w:r>
      <w:r w:rsidR="00431FAC" w:rsidRPr="00F153F6">
        <w:rPr>
          <w:rFonts w:ascii="Times New Roman" w:hAnsi="Times New Roman" w:cs="Times New Roman"/>
          <w:sz w:val="24"/>
          <w:szCs w:val="24"/>
        </w:rPr>
        <w:t>, for</w:t>
      </w:r>
      <w:r w:rsidR="003801E9">
        <w:rPr>
          <w:rFonts w:ascii="Times New Roman" w:hAnsi="Times New Roman" w:cs="Times New Roman"/>
          <w:sz w:val="24"/>
          <w:szCs w:val="24"/>
        </w:rPr>
        <w:t xml:space="preserve"> their</w:t>
      </w:r>
      <w:r w:rsidR="00431FAC" w:rsidRPr="00F153F6">
        <w:rPr>
          <w:rFonts w:ascii="Times New Roman" w:hAnsi="Times New Roman" w:cs="Times New Roman"/>
          <w:sz w:val="24"/>
          <w:szCs w:val="24"/>
        </w:rPr>
        <w:t xml:space="preserve"> invaluable guidance and advice during my PhD study. Dr. Zamani</w:t>
      </w:r>
      <w:r w:rsidR="000F0A7E" w:rsidRPr="00F153F6">
        <w:rPr>
          <w:rFonts w:ascii="Times New Roman" w:hAnsi="Times New Roman" w:cs="Times New Roman"/>
          <w:sz w:val="24"/>
          <w:szCs w:val="24"/>
        </w:rPr>
        <w:t xml:space="preserve"> </w:t>
      </w:r>
      <w:r w:rsidR="003B79BF" w:rsidRPr="00F153F6">
        <w:rPr>
          <w:rFonts w:ascii="Times New Roman" w:hAnsi="Times New Roman" w:cs="Times New Roman"/>
          <w:sz w:val="24"/>
          <w:szCs w:val="24"/>
        </w:rPr>
        <w:t xml:space="preserve">is always kind and inclusive for every mistake I have made during my study, and </w:t>
      </w:r>
      <w:r w:rsidR="003B79BF" w:rsidRPr="00F153F6">
        <w:rPr>
          <w:rFonts w:ascii="Times New Roman" w:eastAsiaTheme="minorEastAsia" w:hAnsi="Times New Roman" w:cs="Times New Roman"/>
          <w:sz w:val="24"/>
          <w:szCs w:val="24"/>
          <w:lang w:eastAsia="zh-CN"/>
        </w:rPr>
        <w:t xml:space="preserve">always willing to provide insightful suggestions and clear guidance that is easy to follow. She has also provided invaluable support not just on my study, but also my life, including but not limited to job preparation, emotional support, and </w:t>
      </w:r>
      <w:r w:rsidR="000F0A7E" w:rsidRPr="00F153F6">
        <w:rPr>
          <w:rFonts w:ascii="Times New Roman" w:eastAsiaTheme="minorEastAsia" w:hAnsi="Times New Roman" w:cs="Times New Roman"/>
          <w:sz w:val="24"/>
          <w:szCs w:val="24"/>
          <w:lang w:eastAsia="zh-CN"/>
        </w:rPr>
        <w:t xml:space="preserve">professional development. </w:t>
      </w:r>
      <w:r w:rsidR="000F0A7E" w:rsidRPr="00F153F6">
        <w:rPr>
          <w:rFonts w:ascii="Times New Roman" w:hAnsi="Times New Roman" w:cs="Times New Roman"/>
          <w:sz w:val="24"/>
          <w:szCs w:val="24"/>
        </w:rPr>
        <w:t xml:space="preserve">I </w:t>
      </w:r>
      <w:r w:rsidR="007F0625" w:rsidRPr="00F153F6">
        <w:rPr>
          <w:rFonts w:ascii="Times New Roman" w:hAnsi="Times New Roman" w:cs="Times New Roman"/>
          <w:sz w:val="24"/>
          <w:szCs w:val="24"/>
        </w:rPr>
        <w:t>could not find a way</w:t>
      </w:r>
      <w:r w:rsidR="000F0A7E" w:rsidRPr="00F153F6">
        <w:rPr>
          <w:rFonts w:ascii="Times New Roman" w:hAnsi="Times New Roman" w:cs="Times New Roman"/>
          <w:sz w:val="24"/>
          <w:szCs w:val="24"/>
        </w:rPr>
        <w:t xml:space="preserve"> to put into words the gratitude I have for all her patience, time and advice.</w:t>
      </w:r>
      <w:r w:rsidR="000F0A7E" w:rsidRPr="00F153F6">
        <w:rPr>
          <w:rFonts w:ascii="Times New Roman" w:eastAsiaTheme="minorEastAsia" w:hAnsi="Times New Roman" w:cs="Times New Roman"/>
          <w:sz w:val="24"/>
          <w:szCs w:val="24"/>
          <w:lang w:eastAsia="zh-CN"/>
        </w:rPr>
        <w:t xml:space="preserve"> I would like to also express my sincere thanks to Dr. Vasconcelos for her invaluable comments and advice on my work and life. Her immense knowledge and plentiful experience </w:t>
      </w:r>
      <w:r w:rsidR="00567607" w:rsidRPr="00F153F6">
        <w:rPr>
          <w:rFonts w:ascii="Times New Roman" w:eastAsiaTheme="minorEastAsia" w:hAnsi="Times New Roman" w:cs="Times New Roman"/>
          <w:sz w:val="24"/>
          <w:szCs w:val="24"/>
          <w:lang w:eastAsia="zh-CN"/>
        </w:rPr>
        <w:t>have</w:t>
      </w:r>
      <w:r w:rsidR="000F0A7E" w:rsidRPr="00F153F6">
        <w:rPr>
          <w:rFonts w:ascii="Times New Roman" w:eastAsiaTheme="minorEastAsia" w:hAnsi="Times New Roman" w:cs="Times New Roman"/>
          <w:sz w:val="24"/>
          <w:szCs w:val="24"/>
          <w:lang w:eastAsia="zh-CN"/>
        </w:rPr>
        <w:t xml:space="preserve"> encouraged me </w:t>
      </w:r>
      <w:r w:rsidR="00567607" w:rsidRPr="00F153F6">
        <w:rPr>
          <w:rFonts w:ascii="Times New Roman" w:eastAsiaTheme="minorEastAsia" w:hAnsi="Times New Roman" w:cs="Times New Roman"/>
          <w:sz w:val="24"/>
          <w:szCs w:val="24"/>
          <w:lang w:eastAsia="zh-CN"/>
        </w:rPr>
        <w:t xml:space="preserve">in all time of my PhD journey. Her kind words can usually build up my confidence and her insightful comments usually motivate me to consider more beyond my </w:t>
      </w:r>
      <w:r w:rsidR="009937AE" w:rsidRPr="00F153F6">
        <w:rPr>
          <w:rFonts w:ascii="Times New Roman" w:eastAsiaTheme="minorEastAsia" w:hAnsi="Times New Roman" w:cs="Times New Roman"/>
          <w:sz w:val="24"/>
          <w:szCs w:val="24"/>
          <w:lang w:eastAsia="zh-CN"/>
        </w:rPr>
        <w:t xml:space="preserve">current </w:t>
      </w:r>
      <w:r w:rsidR="00567607" w:rsidRPr="00F153F6">
        <w:rPr>
          <w:rFonts w:ascii="Times New Roman" w:eastAsiaTheme="minorEastAsia" w:hAnsi="Times New Roman" w:cs="Times New Roman"/>
          <w:sz w:val="24"/>
          <w:szCs w:val="24"/>
          <w:lang w:eastAsia="zh-CN"/>
        </w:rPr>
        <w:t xml:space="preserve">knowledge. I would also like to offer my special thanks to Dr. Martins, who has motivated me to initialise this research idea. </w:t>
      </w:r>
      <w:r w:rsidR="00DB6FFF" w:rsidRPr="00F153F6">
        <w:rPr>
          <w:rFonts w:ascii="Times New Roman" w:eastAsiaTheme="minorEastAsia" w:hAnsi="Times New Roman" w:cs="Times New Roman"/>
          <w:sz w:val="24"/>
          <w:szCs w:val="24"/>
          <w:lang w:eastAsia="zh-CN"/>
        </w:rPr>
        <w:t xml:space="preserve">Without him, I would not </w:t>
      </w:r>
      <w:r w:rsidR="007318E5" w:rsidRPr="00F153F6">
        <w:rPr>
          <w:rFonts w:ascii="Times New Roman" w:eastAsiaTheme="minorEastAsia" w:hAnsi="Times New Roman" w:cs="Times New Roman"/>
          <w:sz w:val="24"/>
          <w:szCs w:val="24"/>
          <w:lang w:eastAsia="zh-CN"/>
        </w:rPr>
        <w:t>be</w:t>
      </w:r>
      <w:r w:rsidR="00DB6FFF" w:rsidRPr="00F153F6">
        <w:rPr>
          <w:rFonts w:ascii="Times New Roman" w:eastAsiaTheme="minorEastAsia" w:hAnsi="Times New Roman" w:cs="Times New Roman"/>
          <w:sz w:val="24"/>
          <w:szCs w:val="24"/>
          <w:lang w:eastAsia="zh-CN"/>
        </w:rPr>
        <w:t xml:space="preserve"> able to find my way to enter this academic field.</w:t>
      </w:r>
    </w:p>
    <w:p w14:paraId="179C34DF" w14:textId="49627392" w:rsidR="00751F28" w:rsidRPr="00F153F6" w:rsidRDefault="00DB6FFF" w:rsidP="004424B4">
      <w:pPr>
        <w:spacing w:after="160" w:line="360" w:lineRule="auto"/>
        <w:jc w:val="both"/>
        <w:rPr>
          <w:rFonts w:ascii="Times New Roman" w:eastAsiaTheme="minorEastAsia" w:hAnsi="Times New Roman" w:cs="Times New Roman"/>
          <w:sz w:val="24"/>
          <w:szCs w:val="24"/>
          <w:lang w:eastAsia="zh-CN"/>
        </w:rPr>
      </w:pPr>
      <w:r w:rsidRPr="00F153F6">
        <w:rPr>
          <w:rFonts w:ascii="Times New Roman" w:eastAsiaTheme="minorEastAsia" w:hAnsi="Times New Roman" w:cs="Times New Roman"/>
          <w:sz w:val="24"/>
          <w:szCs w:val="24"/>
          <w:lang w:eastAsia="zh-CN"/>
        </w:rPr>
        <w:t xml:space="preserve">Secondly, I would like to extend my sincere thanks to all my colleagues and friends during my PhD journey. </w:t>
      </w:r>
      <w:r w:rsidR="009121CF" w:rsidRPr="00F153F6">
        <w:rPr>
          <w:rFonts w:ascii="Times New Roman" w:eastAsiaTheme="minorEastAsia" w:hAnsi="Times New Roman" w:cs="Times New Roman"/>
          <w:sz w:val="24"/>
          <w:szCs w:val="24"/>
          <w:lang w:eastAsia="zh-CN"/>
        </w:rPr>
        <w:t xml:space="preserve">All colleagues in our information school have shown their generosity to me, tirelessly and willingly providing advice to my work. They have </w:t>
      </w:r>
      <w:r w:rsidR="00980873">
        <w:rPr>
          <w:rFonts w:ascii="Times New Roman" w:eastAsiaTheme="minorEastAsia" w:hAnsi="Times New Roman" w:cs="Times New Roman"/>
          <w:sz w:val="24"/>
          <w:szCs w:val="24"/>
          <w:lang w:eastAsia="zh-CN"/>
        </w:rPr>
        <w:t>created</w:t>
      </w:r>
      <w:r w:rsidR="009121CF" w:rsidRPr="00F153F6">
        <w:rPr>
          <w:rFonts w:ascii="Times New Roman" w:eastAsiaTheme="minorEastAsia" w:hAnsi="Times New Roman" w:cs="Times New Roman"/>
          <w:sz w:val="24"/>
          <w:szCs w:val="24"/>
          <w:lang w:eastAsia="zh-CN"/>
        </w:rPr>
        <w:t xml:space="preserve"> a community that makes me feel </w:t>
      </w:r>
      <w:r w:rsidR="007F0625" w:rsidRPr="00F153F6">
        <w:rPr>
          <w:rFonts w:ascii="Times New Roman" w:eastAsiaTheme="minorEastAsia" w:hAnsi="Times New Roman" w:cs="Times New Roman"/>
          <w:sz w:val="24"/>
          <w:szCs w:val="24"/>
          <w:lang w:eastAsia="zh-CN"/>
        </w:rPr>
        <w:t>a strong</w:t>
      </w:r>
      <w:r w:rsidR="009121CF" w:rsidRPr="00F153F6">
        <w:rPr>
          <w:rFonts w:ascii="Times New Roman" w:eastAsiaTheme="minorEastAsia" w:hAnsi="Times New Roman" w:cs="Times New Roman"/>
          <w:sz w:val="24"/>
          <w:szCs w:val="24"/>
          <w:lang w:eastAsia="zh-CN"/>
        </w:rPr>
        <w:t xml:space="preserve"> sense of academic </w:t>
      </w:r>
      <w:r w:rsidR="00980873">
        <w:rPr>
          <w:rFonts w:ascii="Times New Roman" w:eastAsiaTheme="minorEastAsia" w:hAnsi="Times New Roman" w:cs="Times New Roman"/>
          <w:sz w:val="24"/>
          <w:szCs w:val="24"/>
          <w:lang w:eastAsia="zh-CN"/>
        </w:rPr>
        <w:t>belongings</w:t>
      </w:r>
      <w:r w:rsidR="009121CF" w:rsidRPr="00F153F6">
        <w:rPr>
          <w:rFonts w:ascii="Times New Roman" w:eastAsiaTheme="minorEastAsia" w:hAnsi="Times New Roman" w:cs="Times New Roman"/>
          <w:sz w:val="24"/>
          <w:szCs w:val="24"/>
          <w:lang w:eastAsia="zh-CN"/>
        </w:rPr>
        <w:t>.</w:t>
      </w:r>
      <w:r w:rsidRPr="00F153F6">
        <w:rPr>
          <w:rFonts w:ascii="Times New Roman" w:eastAsiaTheme="minorEastAsia" w:hAnsi="Times New Roman" w:cs="Times New Roman"/>
          <w:sz w:val="24"/>
          <w:szCs w:val="24"/>
          <w:lang w:eastAsia="zh-CN"/>
        </w:rPr>
        <w:t xml:space="preserve"> </w:t>
      </w:r>
      <w:r w:rsidR="007F0625" w:rsidRPr="00F153F6">
        <w:rPr>
          <w:rFonts w:ascii="Times New Roman" w:eastAsiaTheme="minorEastAsia" w:hAnsi="Times New Roman" w:cs="Times New Roman"/>
          <w:sz w:val="24"/>
          <w:szCs w:val="24"/>
          <w:lang w:eastAsia="zh-CN"/>
        </w:rPr>
        <w:t>The</w:t>
      </w:r>
      <w:r w:rsidR="009121CF" w:rsidRPr="00F153F6">
        <w:rPr>
          <w:rFonts w:ascii="Times New Roman" w:eastAsiaTheme="minorEastAsia" w:hAnsi="Times New Roman" w:cs="Times New Roman"/>
          <w:sz w:val="24"/>
          <w:szCs w:val="24"/>
          <w:lang w:eastAsia="zh-CN"/>
        </w:rPr>
        <w:t xml:space="preserve"> </w:t>
      </w:r>
      <w:r w:rsidR="009937AE" w:rsidRPr="00F153F6">
        <w:rPr>
          <w:rFonts w:ascii="Times New Roman" w:eastAsiaTheme="minorEastAsia" w:hAnsi="Times New Roman" w:cs="Times New Roman"/>
          <w:sz w:val="24"/>
          <w:szCs w:val="24"/>
          <w:lang w:eastAsia="zh-CN"/>
        </w:rPr>
        <w:t>administrative</w:t>
      </w:r>
      <w:r w:rsidR="009121CF" w:rsidRPr="00F153F6">
        <w:rPr>
          <w:rFonts w:ascii="Times New Roman" w:eastAsiaTheme="minorEastAsia" w:hAnsi="Times New Roman" w:cs="Times New Roman"/>
          <w:sz w:val="24"/>
          <w:szCs w:val="24"/>
          <w:lang w:eastAsia="zh-CN"/>
        </w:rPr>
        <w:t xml:space="preserve"> staff</w:t>
      </w:r>
      <w:r w:rsidR="009937AE" w:rsidRPr="00F153F6">
        <w:rPr>
          <w:rFonts w:ascii="Times New Roman" w:eastAsiaTheme="minorEastAsia" w:hAnsi="Times New Roman" w:cs="Times New Roman"/>
          <w:sz w:val="24"/>
          <w:szCs w:val="24"/>
          <w:lang w:eastAsia="zh-CN"/>
        </w:rPr>
        <w:t xml:space="preserve"> </w:t>
      </w:r>
      <w:r w:rsidR="009121CF" w:rsidRPr="00F153F6">
        <w:rPr>
          <w:rFonts w:ascii="Times New Roman" w:eastAsiaTheme="minorEastAsia" w:hAnsi="Times New Roman" w:cs="Times New Roman"/>
          <w:sz w:val="24"/>
          <w:szCs w:val="24"/>
          <w:lang w:eastAsia="zh-CN"/>
        </w:rPr>
        <w:t xml:space="preserve">are </w:t>
      </w:r>
      <w:r w:rsidR="009937AE" w:rsidRPr="00F153F6">
        <w:rPr>
          <w:rFonts w:ascii="Times New Roman" w:eastAsiaTheme="minorEastAsia" w:hAnsi="Times New Roman" w:cs="Times New Roman"/>
          <w:sz w:val="24"/>
          <w:szCs w:val="24"/>
          <w:lang w:eastAsia="zh-CN"/>
        </w:rPr>
        <w:t xml:space="preserve">professional to provide assistance </w:t>
      </w:r>
      <w:r w:rsidR="00980873">
        <w:rPr>
          <w:rFonts w:ascii="Times New Roman" w:eastAsiaTheme="minorEastAsia" w:hAnsi="Times New Roman" w:cs="Times New Roman"/>
          <w:sz w:val="24"/>
          <w:szCs w:val="24"/>
          <w:lang w:eastAsia="zh-CN"/>
        </w:rPr>
        <w:t>as well</w:t>
      </w:r>
      <w:r w:rsidR="009937AE" w:rsidRPr="00F153F6">
        <w:rPr>
          <w:rFonts w:ascii="Times New Roman" w:eastAsiaTheme="minorEastAsia" w:hAnsi="Times New Roman" w:cs="Times New Roman"/>
          <w:sz w:val="24"/>
          <w:szCs w:val="24"/>
          <w:lang w:eastAsia="zh-CN"/>
        </w:rPr>
        <w:t xml:space="preserve"> when every time I met difficulties.</w:t>
      </w:r>
      <w:r w:rsidR="009121CF" w:rsidRPr="00F153F6">
        <w:rPr>
          <w:rFonts w:ascii="Times New Roman" w:eastAsiaTheme="minorEastAsia" w:hAnsi="Times New Roman" w:cs="Times New Roman"/>
          <w:sz w:val="24"/>
          <w:szCs w:val="24"/>
          <w:lang w:eastAsia="zh-CN"/>
        </w:rPr>
        <w:t xml:space="preserve"> </w:t>
      </w:r>
      <w:r w:rsidR="009937AE" w:rsidRPr="00F153F6">
        <w:rPr>
          <w:rFonts w:ascii="Times New Roman" w:eastAsiaTheme="minorEastAsia" w:hAnsi="Times New Roman" w:cs="Times New Roman"/>
          <w:sz w:val="24"/>
          <w:szCs w:val="24"/>
          <w:lang w:eastAsia="zh-CN"/>
        </w:rPr>
        <w:t>In addition, I would acknowledge a</w:t>
      </w:r>
      <w:r w:rsidR="009121CF" w:rsidRPr="00F153F6">
        <w:rPr>
          <w:rFonts w:ascii="Times New Roman" w:eastAsiaTheme="minorEastAsia" w:hAnsi="Times New Roman" w:cs="Times New Roman"/>
          <w:sz w:val="24"/>
          <w:szCs w:val="24"/>
          <w:lang w:eastAsia="zh-CN"/>
        </w:rPr>
        <w:t xml:space="preserve">ll </w:t>
      </w:r>
      <w:r w:rsidR="00980873">
        <w:rPr>
          <w:rFonts w:ascii="Times New Roman" w:eastAsiaTheme="minorEastAsia" w:hAnsi="Times New Roman" w:cs="Times New Roman"/>
          <w:sz w:val="24"/>
          <w:szCs w:val="24"/>
          <w:lang w:eastAsia="zh-CN"/>
        </w:rPr>
        <w:t xml:space="preserve">of my </w:t>
      </w:r>
      <w:r w:rsidR="009121CF" w:rsidRPr="00F153F6">
        <w:rPr>
          <w:rFonts w:ascii="Times New Roman" w:eastAsiaTheme="minorEastAsia" w:hAnsi="Times New Roman" w:cs="Times New Roman"/>
          <w:sz w:val="24"/>
          <w:szCs w:val="24"/>
          <w:lang w:eastAsia="zh-CN"/>
        </w:rPr>
        <w:t>friends inside or outside UK</w:t>
      </w:r>
      <w:r w:rsidR="009937AE" w:rsidRPr="00F153F6">
        <w:rPr>
          <w:rFonts w:ascii="Times New Roman" w:eastAsiaTheme="minorEastAsia" w:hAnsi="Times New Roman" w:cs="Times New Roman"/>
          <w:sz w:val="24"/>
          <w:szCs w:val="24"/>
          <w:lang w:eastAsia="zh-CN"/>
        </w:rPr>
        <w:t>, who</w:t>
      </w:r>
      <w:r w:rsidR="009121CF" w:rsidRPr="00F153F6">
        <w:rPr>
          <w:rFonts w:ascii="Times New Roman" w:eastAsiaTheme="minorEastAsia" w:hAnsi="Times New Roman" w:cs="Times New Roman"/>
          <w:sz w:val="24"/>
          <w:szCs w:val="24"/>
          <w:lang w:eastAsia="zh-CN"/>
        </w:rPr>
        <w:t xml:space="preserve"> have provided significant emotional support</w:t>
      </w:r>
      <w:r w:rsidR="009937AE" w:rsidRPr="00F153F6">
        <w:rPr>
          <w:rFonts w:ascii="Times New Roman" w:eastAsiaTheme="minorEastAsia" w:hAnsi="Times New Roman" w:cs="Times New Roman"/>
          <w:sz w:val="24"/>
          <w:szCs w:val="24"/>
          <w:lang w:eastAsia="zh-CN"/>
        </w:rPr>
        <w:t xml:space="preserve"> during these years</w:t>
      </w:r>
      <w:r w:rsidR="009121CF" w:rsidRPr="00F153F6">
        <w:rPr>
          <w:rFonts w:ascii="Times New Roman" w:eastAsiaTheme="minorEastAsia" w:hAnsi="Times New Roman" w:cs="Times New Roman"/>
          <w:sz w:val="24"/>
          <w:szCs w:val="24"/>
          <w:lang w:eastAsia="zh-CN"/>
        </w:rPr>
        <w:t>.</w:t>
      </w:r>
      <w:r w:rsidR="000F0A7E" w:rsidRPr="00F153F6">
        <w:rPr>
          <w:rFonts w:ascii="Times New Roman" w:eastAsiaTheme="minorEastAsia" w:hAnsi="Times New Roman" w:cs="Times New Roman"/>
          <w:sz w:val="24"/>
          <w:szCs w:val="24"/>
          <w:lang w:eastAsia="zh-CN"/>
        </w:rPr>
        <w:t xml:space="preserve"> </w:t>
      </w:r>
      <w:r w:rsidR="009937AE" w:rsidRPr="00F153F6">
        <w:rPr>
          <w:rFonts w:ascii="Times New Roman" w:eastAsiaTheme="minorEastAsia" w:hAnsi="Times New Roman" w:cs="Times New Roman"/>
          <w:sz w:val="24"/>
          <w:szCs w:val="24"/>
          <w:lang w:eastAsia="zh-CN"/>
        </w:rPr>
        <w:t>I would especially thank those friends who have also</w:t>
      </w:r>
      <w:r w:rsidR="007318E5" w:rsidRPr="00F153F6">
        <w:rPr>
          <w:rFonts w:ascii="Times New Roman" w:eastAsiaTheme="minorEastAsia" w:hAnsi="Times New Roman" w:cs="Times New Roman"/>
          <w:sz w:val="24"/>
          <w:szCs w:val="24"/>
          <w:lang w:eastAsia="zh-CN"/>
        </w:rPr>
        <w:t xml:space="preserve"> contributed to my academic works.</w:t>
      </w:r>
      <w:r w:rsidR="00980873">
        <w:rPr>
          <w:rFonts w:ascii="Times New Roman" w:eastAsiaTheme="minorEastAsia" w:hAnsi="Times New Roman" w:cs="Times New Roman"/>
          <w:sz w:val="24"/>
          <w:szCs w:val="24"/>
          <w:lang w:eastAsia="zh-CN"/>
        </w:rPr>
        <w:t xml:space="preserve"> I have</w:t>
      </w:r>
      <w:r w:rsidR="007318E5" w:rsidRPr="00F153F6">
        <w:rPr>
          <w:rFonts w:ascii="Times New Roman" w:eastAsiaTheme="minorEastAsia" w:hAnsi="Times New Roman" w:cs="Times New Roman"/>
          <w:sz w:val="24"/>
          <w:szCs w:val="24"/>
          <w:lang w:eastAsia="zh-CN"/>
        </w:rPr>
        <w:t xml:space="preserve"> indeed learnt a lot from them, with all respects.</w:t>
      </w:r>
      <w:r w:rsidR="009937AE" w:rsidRPr="00F153F6">
        <w:rPr>
          <w:rFonts w:ascii="Times New Roman" w:eastAsiaTheme="minorEastAsia" w:hAnsi="Times New Roman" w:cs="Times New Roman"/>
          <w:sz w:val="24"/>
          <w:szCs w:val="24"/>
          <w:lang w:eastAsia="zh-CN"/>
        </w:rPr>
        <w:t xml:space="preserve">  </w:t>
      </w:r>
    </w:p>
    <w:p w14:paraId="3D0128EF" w14:textId="7E31BAE7" w:rsidR="0015201A" w:rsidRPr="00F153F6" w:rsidRDefault="009937AE" w:rsidP="004424B4">
      <w:pPr>
        <w:spacing w:after="160" w:line="360" w:lineRule="auto"/>
        <w:jc w:val="both"/>
        <w:rPr>
          <w:rFonts w:ascii="Times New Roman" w:eastAsiaTheme="minorEastAsia" w:hAnsi="Times New Roman" w:cs="Times New Roman"/>
          <w:lang w:eastAsia="zh-CN"/>
        </w:rPr>
      </w:pPr>
      <w:r w:rsidRPr="00F153F6">
        <w:rPr>
          <w:rFonts w:ascii="Times New Roman" w:eastAsiaTheme="minorEastAsia" w:hAnsi="Times New Roman" w:cs="Times New Roman"/>
          <w:sz w:val="24"/>
          <w:szCs w:val="24"/>
          <w:lang w:eastAsia="zh-CN"/>
        </w:rPr>
        <w:t xml:space="preserve">Finally, I would like to express my </w:t>
      </w:r>
      <w:r w:rsidR="007318E5" w:rsidRPr="00F153F6">
        <w:rPr>
          <w:rFonts w:ascii="Times New Roman" w:eastAsiaTheme="minorEastAsia" w:hAnsi="Times New Roman" w:cs="Times New Roman"/>
          <w:sz w:val="24"/>
          <w:szCs w:val="24"/>
          <w:lang w:eastAsia="zh-CN"/>
        </w:rPr>
        <w:t>heartfelt</w:t>
      </w:r>
      <w:r w:rsidRPr="00F153F6">
        <w:rPr>
          <w:rFonts w:ascii="Times New Roman" w:eastAsiaTheme="minorEastAsia" w:hAnsi="Times New Roman" w:cs="Times New Roman"/>
          <w:sz w:val="24"/>
          <w:szCs w:val="24"/>
          <w:lang w:eastAsia="zh-CN"/>
        </w:rPr>
        <w:t xml:space="preserve"> thanks to</w:t>
      </w:r>
      <w:r w:rsidR="004B52B4" w:rsidRPr="00F153F6">
        <w:rPr>
          <w:rFonts w:ascii="Times New Roman" w:eastAsiaTheme="minorEastAsia" w:hAnsi="Times New Roman" w:cs="Times New Roman"/>
          <w:sz w:val="24"/>
          <w:szCs w:val="24"/>
          <w:lang w:eastAsia="zh-CN"/>
        </w:rPr>
        <w:t xml:space="preserve"> </w:t>
      </w:r>
      <w:r w:rsidRPr="00F153F6">
        <w:rPr>
          <w:rFonts w:ascii="Times New Roman" w:eastAsiaTheme="minorEastAsia" w:hAnsi="Times New Roman" w:cs="Times New Roman"/>
          <w:sz w:val="24"/>
          <w:szCs w:val="24"/>
          <w:lang w:eastAsia="zh-CN"/>
        </w:rPr>
        <w:t xml:space="preserve">my </w:t>
      </w:r>
      <w:r w:rsidR="00E75433" w:rsidRPr="00F153F6">
        <w:rPr>
          <w:rFonts w:ascii="Times New Roman" w:eastAsiaTheme="minorEastAsia" w:hAnsi="Times New Roman" w:cs="Times New Roman"/>
          <w:sz w:val="24"/>
          <w:szCs w:val="24"/>
          <w:lang w:eastAsia="zh-CN"/>
        </w:rPr>
        <w:t>family</w:t>
      </w:r>
      <w:r w:rsidR="009F13B0" w:rsidRPr="00F153F6">
        <w:rPr>
          <w:rFonts w:ascii="Times New Roman" w:eastAsiaTheme="minorEastAsia" w:hAnsi="Times New Roman" w:cs="Times New Roman"/>
          <w:sz w:val="24"/>
          <w:szCs w:val="24"/>
          <w:lang w:eastAsia="zh-CN"/>
        </w:rPr>
        <w:t xml:space="preserve"> members</w:t>
      </w:r>
      <w:r w:rsidR="004B52B4" w:rsidRPr="00F153F6">
        <w:rPr>
          <w:rFonts w:ascii="Times New Roman" w:eastAsiaTheme="minorEastAsia" w:hAnsi="Times New Roman" w:cs="Times New Roman"/>
          <w:sz w:val="24"/>
          <w:szCs w:val="24"/>
          <w:lang w:eastAsia="zh-CN"/>
        </w:rPr>
        <w:t xml:space="preserve">, </w:t>
      </w:r>
      <w:r w:rsidR="00722DA0" w:rsidRPr="00F153F6">
        <w:rPr>
          <w:rFonts w:ascii="Times New Roman" w:eastAsiaTheme="minorEastAsia" w:hAnsi="Times New Roman" w:cs="Times New Roman"/>
          <w:sz w:val="24"/>
          <w:szCs w:val="24"/>
          <w:lang w:eastAsia="zh-CN"/>
        </w:rPr>
        <w:t>with a</w:t>
      </w:r>
      <w:r w:rsidR="004B52B4" w:rsidRPr="00F153F6">
        <w:rPr>
          <w:rFonts w:ascii="Times New Roman" w:eastAsiaTheme="minorEastAsia" w:hAnsi="Times New Roman" w:cs="Times New Roman"/>
          <w:sz w:val="24"/>
          <w:szCs w:val="24"/>
          <w:lang w:eastAsia="zh-CN"/>
        </w:rPr>
        <w:t xml:space="preserve"> sincere gratitude</w:t>
      </w:r>
      <w:r w:rsidR="007318E5" w:rsidRPr="00F153F6">
        <w:rPr>
          <w:rFonts w:ascii="Times New Roman" w:eastAsiaTheme="minorEastAsia" w:hAnsi="Times New Roman" w:cs="Times New Roman"/>
          <w:sz w:val="24"/>
          <w:szCs w:val="24"/>
          <w:lang w:eastAsia="zh-CN"/>
        </w:rPr>
        <w:t xml:space="preserve"> for all </w:t>
      </w:r>
      <w:r w:rsidR="00F01E3E" w:rsidRPr="00F153F6">
        <w:rPr>
          <w:rFonts w:ascii="Times New Roman" w:eastAsiaTheme="minorEastAsia" w:hAnsi="Times New Roman" w:cs="Times New Roman"/>
          <w:sz w:val="24"/>
          <w:szCs w:val="24"/>
          <w:lang w:eastAsia="zh-CN"/>
        </w:rPr>
        <w:t>their</w:t>
      </w:r>
      <w:r w:rsidR="007318E5" w:rsidRPr="00F153F6">
        <w:rPr>
          <w:rFonts w:ascii="Times New Roman" w:eastAsiaTheme="minorEastAsia" w:hAnsi="Times New Roman" w:cs="Times New Roman"/>
          <w:sz w:val="24"/>
          <w:szCs w:val="24"/>
          <w:lang w:eastAsia="zh-CN"/>
        </w:rPr>
        <w:t xml:space="preserve"> love, supports, and encouragement all the time. </w:t>
      </w:r>
      <w:r w:rsidR="00722DA0" w:rsidRPr="00F153F6">
        <w:rPr>
          <w:rFonts w:ascii="Times New Roman" w:eastAsiaTheme="minorEastAsia" w:hAnsi="Times New Roman" w:cs="Times New Roman"/>
          <w:sz w:val="24"/>
          <w:szCs w:val="24"/>
          <w:lang w:eastAsia="zh-CN"/>
        </w:rPr>
        <w:t>Especially my mom, w</w:t>
      </w:r>
      <w:r w:rsidR="007318E5" w:rsidRPr="00F153F6">
        <w:rPr>
          <w:rFonts w:ascii="Times New Roman" w:eastAsiaTheme="minorEastAsia" w:hAnsi="Times New Roman" w:cs="Times New Roman"/>
          <w:sz w:val="24"/>
          <w:szCs w:val="24"/>
          <w:lang w:eastAsia="zh-CN"/>
        </w:rPr>
        <w:t xml:space="preserve">ithout her persistent </w:t>
      </w:r>
      <w:r w:rsidR="004B52B4" w:rsidRPr="00F153F6">
        <w:rPr>
          <w:rFonts w:ascii="Times New Roman" w:eastAsiaTheme="minorEastAsia" w:hAnsi="Times New Roman" w:cs="Times New Roman"/>
          <w:sz w:val="24"/>
          <w:szCs w:val="24"/>
          <w:lang w:eastAsia="zh-CN"/>
        </w:rPr>
        <w:t xml:space="preserve">efforts on supporting my study, I would have no chance to complete this challenging journey. I also like to thank my </w:t>
      </w:r>
      <w:r w:rsidR="001D0E24" w:rsidRPr="00F153F6">
        <w:rPr>
          <w:rFonts w:ascii="Times New Roman" w:eastAsiaTheme="minorEastAsia" w:hAnsi="Times New Roman" w:cs="Times New Roman"/>
          <w:sz w:val="24"/>
          <w:szCs w:val="24"/>
          <w:lang w:eastAsia="zh-CN"/>
        </w:rPr>
        <w:t>family</w:t>
      </w:r>
      <w:r w:rsidR="009F13B0" w:rsidRPr="00F153F6">
        <w:rPr>
          <w:rFonts w:ascii="Times New Roman" w:eastAsiaTheme="minorEastAsia" w:hAnsi="Times New Roman" w:cs="Times New Roman"/>
          <w:sz w:val="24"/>
          <w:szCs w:val="24"/>
          <w:lang w:eastAsia="zh-CN"/>
        </w:rPr>
        <w:t xml:space="preserve"> members</w:t>
      </w:r>
      <w:r w:rsidR="00E75433" w:rsidRPr="00F153F6">
        <w:rPr>
          <w:rFonts w:ascii="Times New Roman" w:eastAsiaTheme="minorEastAsia" w:hAnsi="Times New Roman" w:cs="Times New Roman"/>
          <w:sz w:val="24"/>
          <w:szCs w:val="24"/>
          <w:lang w:eastAsia="zh-CN"/>
        </w:rPr>
        <w:t xml:space="preserve">’ </w:t>
      </w:r>
      <w:r w:rsidR="004B52B4" w:rsidRPr="00F153F6">
        <w:rPr>
          <w:rFonts w:ascii="Times New Roman" w:eastAsiaTheme="minorEastAsia" w:hAnsi="Times New Roman" w:cs="Times New Roman"/>
          <w:sz w:val="24"/>
          <w:szCs w:val="24"/>
          <w:lang w:eastAsia="zh-CN"/>
        </w:rPr>
        <w:t>friend</w:t>
      </w:r>
      <w:r w:rsidR="00755339" w:rsidRPr="00F153F6">
        <w:rPr>
          <w:rFonts w:ascii="Times New Roman" w:eastAsiaTheme="minorEastAsia" w:hAnsi="Times New Roman" w:cs="Times New Roman"/>
          <w:sz w:val="24"/>
          <w:szCs w:val="24"/>
          <w:lang w:eastAsia="zh-CN"/>
        </w:rPr>
        <w:t>s</w:t>
      </w:r>
      <w:r w:rsidR="004B52B4" w:rsidRPr="00F153F6">
        <w:rPr>
          <w:rFonts w:ascii="Times New Roman" w:eastAsiaTheme="minorEastAsia" w:hAnsi="Times New Roman" w:cs="Times New Roman"/>
          <w:sz w:val="24"/>
          <w:szCs w:val="24"/>
          <w:lang w:eastAsia="zh-CN"/>
        </w:rPr>
        <w:t xml:space="preserve"> who have </w:t>
      </w:r>
      <w:r w:rsidR="00101A31" w:rsidRPr="00F153F6">
        <w:rPr>
          <w:rFonts w:ascii="Times New Roman" w:eastAsiaTheme="minorEastAsia" w:hAnsi="Times New Roman" w:cs="Times New Roman"/>
          <w:sz w:val="24"/>
          <w:szCs w:val="24"/>
          <w:lang w:eastAsia="zh-CN"/>
        </w:rPr>
        <w:t>also</w:t>
      </w:r>
      <w:r w:rsidR="00487C80" w:rsidRPr="00F153F6">
        <w:rPr>
          <w:rFonts w:ascii="Times New Roman" w:eastAsiaTheme="minorEastAsia" w:hAnsi="Times New Roman" w:cs="Times New Roman"/>
          <w:sz w:val="24"/>
          <w:szCs w:val="24"/>
          <w:lang w:eastAsia="zh-CN"/>
        </w:rPr>
        <w:t xml:space="preserve"> </w:t>
      </w:r>
      <w:r w:rsidR="004B52B4" w:rsidRPr="00F153F6">
        <w:rPr>
          <w:rFonts w:ascii="Times New Roman" w:eastAsiaTheme="minorEastAsia" w:hAnsi="Times New Roman" w:cs="Times New Roman"/>
          <w:sz w:val="24"/>
          <w:szCs w:val="24"/>
          <w:lang w:eastAsia="zh-CN"/>
        </w:rPr>
        <w:t>provided significant support to me</w:t>
      </w:r>
      <w:r w:rsidR="00755339" w:rsidRPr="00F153F6">
        <w:rPr>
          <w:rFonts w:ascii="Times New Roman" w:eastAsiaTheme="minorEastAsia" w:hAnsi="Times New Roman" w:cs="Times New Roman"/>
          <w:sz w:val="24"/>
          <w:szCs w:val="24"/>
          <w:lang w:eastAsia="zh-CN"/>
        </w:rPr>
        <w:t xml:space="preserve"> during my PhD </w:t>
      </w:r>
      <w:r w:rsidR="00301EFF" w:rsidRPr="00F153F6">
        <w:rPr>
          <w:rFonts w:ascii="Times New Roman" w:eastAsiaTheme="minorEastAsia" w:hAnsi="Times New Roman" w:cs="Times New Roman"/>
          <w:sz w:val="24"/>
          <w:szCs w:val="24"/>
          <w:lang w:eastAsia="zh-CN"/>
        </w:rPr>
        <w:t>study</w:t>
      </w:r>
      <w:r w:rsidR="00722DA0" w:rsidRPr="00F153F6">
        <w:rPr>
          <w:rFonts w:ascii="Times New Roman" w:eastAsiaTheme="minorEastAsia" w:hAnsi="Times New Roman" w:cs="Times New Roman"/>
          <w:sz w:val="24"/>
          <w:szCs w:val="24"/>
          <w:lang w:eastAsia="zh-CN"/>
        </w:rPr>
        <w:t>.</w:t>
      </w:r>
      <w:r w:rsidR="004B52B4" w:rsidRPr="00F153F6">
        <w:rPr>
          <w:rFonts w:ascii="Times New Roman" w:eastAsiaTheme="minorEastAsia" w:hAnsi="Times New Roman" w:cs="Times New Roman"/>
          <w:sz w:val="24"/>
          <w:szCs w:val="24"/>
          <w:lang w:eastAsia="zh-CN"/>
        </w:rPr>
        <w:t xml:space="preserve"> </w:t>
      </w:r>
      <w:r w:rsidR="0015201A" w:rsidRPr="00F153F6">
        <w:rPr>
          <w:rFonts w:ascii="Times New Roman" w:hAnsi="Times New Roman" w:cs="Times New Roman"/>
          <w:b/>
          <w:bCs/>
          <w:sz w:val="32"/>
          <w:szCs w:val="32"/>
        </w:rPr>
        <w:br w:type="page"/>
      </w:r>
    </w:p>
    <w:p w14:paraId="466E8EAC" w14:textId="3C11AD32" w:rsidR="006E357C" w:rsidRPr="00F153F6" w:rsidRDefault="00721305" w:rsidP="004424B4">
      <w:pPr>
        <w:pStyle w:val="Heading1"/>
        <w:spacing w:line="360" w:lineRule="auto"/>
        <w:jc w:val="center"/>
        <w:rPr>
          <w:rFonts w:ascii="Times New Roman" w:hAnsi="Times New Roman" w:cs="Times New Roman"/>
          <w:b w:val="0"/>
          <w:bCs/>
          <w:sz w:val="40"/>
          <w:szCs w:val="40"/>
        </w:rPr>
      </w:pPr>
      <w:bookmarkStart w:id="1" w:name="_Toc133252093"/>
      <w:r w:rsidRPr="00F153F6">
        <w:rPr>
          <w:rFonts w:ascii="Times New Roman" w:hAnsi="Times New Roman" w:cs="Times New Roman"/>
          <w:b w:val="0"/>
          <w:bCs/>
          <w:sz w:val="40"/>
          <w:szCs w:val="40"/>
        </w:rPr>
        <w:lastRenderedPageBreak/>
        <w:t>ABSTRACT</w:t>
      </w:r>
      <w:bookmarkEnd w:id="1"/>
    </w:p>
    <w:p w14:paraId="602465E1" w14:textId="1CED467E" w:rsidR="00E07B4A"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Inter-organizational knowledge exchange is an important process for stimulating innovation and improving collaboration among multiple organizations. With the use of information and communication technologies (ICT), this process could be greatly affected for effectiveness and efficiency. However, existing studies provide insufficient understanding of how knowledge exchange processes are shaped by the </w:t>
      </w:r>
      <w:r w:rsidR="00A60B4B" w:rsidRPr="00F153F6">
        <w:rPr>
          <w:rFonts w:ascii="Times New Roman" w:hAnsi="Times New Roman" w:cs="Times New Roman"/>
          <w:sz w:val="24"/>
          <w:szCs w:val="24"/>
        </w:rPr>
        <w:t>nature</w:t>
      </w:r>
      <w:r w:rsidRPr="00F153F6">
        <w:rPr>
          <w:rFonts w:ascii="Times New Roman" w:hAnsi="Times New Roman" w:cs="Times New Roman"/>
          <w:sz w:val="24"/>
          <w:szCs w:val="24"/>
        </w:rPr>
        <w:t xml:space="preserve"> of </w:t>
      </w:r>
      <w:r w:rsidR="000A6A4E" w:rsidRPr="00F153F6">
        <w:rPr>
          <w:rFonts w:ascii="Times New Roman" w:hAnsi="Times New Roman" w:cs="Times New Roman"/>
          <w:sz w:val="24"/>
          <w:szCs w:val="24"/>
        </w:rPr>
        <w:t>ICT</w:t>
      </w:r>
      <w:r w:rsidRPr="00F153F6">
        <w:rPr>
          <w:rFonts w:ascii="Times New Roman" w:hAnsi="Times New Roman" w:cs="Times New Roman"/>
          <w:sz w:val="24"/>
          <w:szCs w:val="24"/>
        </w:rPr>
        <w:t xml:space="preserve"> in the context of inter-organisational settings. Therefore, this research attempts to address this research gap through conceptualising the role of ICT in the shaping of inter-organisational knowledge exchange</w:t>
      </w:r>
      <w:r w:rsidR="00E07B4A" w:rsidRPr="00F153F6">
        <w:rPr>
          <w:rFonts w:ascii="Times New Roman" w:hAnsi="Times New Roman" w:cs="Times New Roman"/>
          <w:sz w:val="24"/>
          <w:szCs w:val="24"/>
        </w:rPr>
        <w:t xml:space="preserve"> (IOKE)</w:t>
      </w:r>
      <w:r w:rsidRPr="00F153F6">
        <w:rPr>
          <w:rFonts w:ascii="Times New Roman" w:hAnsi="Times New Roman" w:cs="Times New Roman"/>
          <w:sz w:val="24"/>
          <w:szCs w:val="24"/>
        </w:rPr>
        <w:t xml:space="preserve"> practice </w:t>
      </w:r>
      <w:r w:rsidR="00A60B4B" w:rsidRPr="00F153F6">
        <w:rPr>
          <w:rFonts w:ascii="Times New Roman" w:hAnsi="Times New Roman" w:cs="Times New Roman"/>
          <w:sz w:val="24"/>
          <w:szCs w:val="24"/>
        </w:rPr>
        <w:t>by investigating</w:t>
      </w:r>
      <w:r w:rsidRPr="00F153F6">
        <w:rPr>
          <w:rFonts w:ascii="Times New Roman" w:hAnsi="Times New Roman" w:cs="Times New Roman"/>
          <w:sz w:val="24"/>
          <w:szCs w:val="24"/>
        </w:rPr>
        <w:t xml:space="preserve"> the context of </w:t>
      </w:r>
      <w:r w:rsidR="0072145E" w:rsidRPr="00F153F6">
        <w:rPr>
          <w:rFonts w:ascii="Times New Roman" w:hAnsi="Times New Roman" w:cs="Times New Roman"/>
          <w:sz w:val="24"/>
          <w:szCs w:val="24"/>
        </w:rPr>
        <w:t xml:space="preserve">European </w:t>
      </w:r>
      <w:r w:rsidRPr="00F153F6">
        <w:rPr>
          <w:rFonts w:ascii="Times New Roman" w:hAnsi="Times New Roman" w:cs="Times New Roman"/>
          <w:sz w:val="24"/>
          <w:szCs w:val="24"/>
        </w:rPr>
        <w:t xml:space="preserve">Living Labs, as </w:t>
      </w:r>
      <w:r w:rsidR="00A60B4B" w:rsidRPr="00F153F6">
        <w:rPr>
          <w:rFonts w:ascii="Times New Roman" w:hAnsi="Times New Roman" w:cs="Times New Roman"/>
          <w:sz w:val="24"/>
          <w:szCs w:val="24"/>
        </w:rPr>
        <w:t xml:space="preserve">an </w:t>
      </w:r>
      <w:r w:rsidRPr="00F153F6">
        <w:rPr>
          <w:rFonts w:ascii="Times New Roman" w:hAnsi="Times New Roman" w:cs="Times New Roman"/>
          <w:sz w:val="24"/>
          <w:szCs w:val="24"/>
        </w:rPr>
        <w:t>exemplary inter-organisational collaborati</w:t>
      </w:r>
      <w:r w:rsidR="0072145E" w:rsidRPr="00F153F6">
        <w:rPr>
          <w:rFonts w:ascii="Times New Roman" w:hAnsi="Times New Roman" w:cs="Times New Roman"/>
          <w:sz w:val="24"/>
          <w:szCs w:val="24"/>
        </w:rPr>
        <w:t>on</w:t>
      </w:r>
      <w:r w:rsidRPr="00F153F6">
        <w:rPr>
          <w:rFonts w:ascii="Times New Roman" w:hAnsi="Times New Roman" w:cs="Times New Roman"/>
          <w:sz w:val="24"/>
          <w:szCs w:val="24"/>
        </w:rPr>
        <w:t xml:space="preserve"> setting. In methodological terms, this study adopts an inductive, qualitative research approach, and follows a combination of Grounded Theory, </w:t>
      </w:r>
      <w:r w:rsidR="00E07B4A" w:rsidRPr="00F153F6">
        <w:rPr>
          <w:rFonts w:ascii="Times New Roman" w:hAnsi="Times New Roman" w:cs="Times New Roman"/>
          <w:sz w:val="24"/>
          <w:szCs w:val="24"/>
        </w:rPr>
        <w:t>M</w:t>
      </w:r>
      <w:r w:rsidRPr="00F153F6">
        <w:rPr>
          <w:rFonts w:ascii="Times New Roman" w:hAnsi="Times New Roman" w:cs="Times New Roman"/>
          <w:sz w:val="24"/>
          <w:szCs w:val="24"/>
        </w:rPr>
        <w:t xml:space="preserve">ultiple </w:t>
      </w:r>
      <w:r w:rsidR="00E07B4A" w:rsidRPr="00F153F6">
        <w:rPr>
          <w:rFonts w:ascii="Times New Roman" w:hAnsi="Times New Roman" w:cs="Times New Roman"/>
          <w:sz w:val="24"/>
          <w:szCs w:val="24"/>
        </w:rPr>
        <w:t>C</w:t>
      </w:r>
      <w:r w:rsidRPr="00F153F6">
        <w:rPr>
          <w:rFonts w:ascii="Times New Roman" w:hAnsi="Times New Roman" w:cs="Times New Roman"/>
          <w:sz w:val="24"/>
          <w:szCs w:val="24"/>
        </w:rPr>
        <w:t xml:space="preserve">ase </w:t>
      </w:r>
      <w:r w:rsidR="00E07B4A" w:rsidRPr="00F153F6">
        <w:rPr>
          <w:rFonts w:ascii="Times New Roman" w:hAnsi="Times New Roman" w:cs="Times New Roman"/>
          <w:sz w:val="24"/>
          <w:szCs w:val="24"/>
        </w:rPr>
        <w:t>S</w:t>
      </w:r>
      <w:r w:rsidRPr="00F153F6">
        <w:rPr>
          <w:rFonts w:ascii="Times New Roman" w:hAnsi="Times New Roman" w:cs="Times New Roman"/>
          <w:sz w:val="24"/>
          <w:szCs w:val="24"/>
        </w:rPr>
        <w:t xml:space="preserve">tudy and </w:t>
      </w:r>
      <w:r w:rsidR="00E07B4A" w:rsidRPr="00F153F6">
        <w:rPr>
          <w:rFonts w:ascii="Times New Roman" w:hAnsi="Times New Roman" w:cs="Times New Roman"/>
          <w:sz w:val="24"/>
          <w:szCs w:val="24"/>
        </w:rPr>
        <w:t>D</w:t>
      </w:r>
      <w:r w:rsidRPr="00F153F6">
        <w:rPr>
          <w:rFonts w:ascii="Times New Roman" w:hAnsi="Times New Roman" w:cs="Times New Roman"/>
          <w:sz w:val="24"/>
          <w:szCs w:val="24"/>
        </w:rPr>
        <w:t xml:space="preserve">ocumentary </w:t>
      </w:r>
      <w:r w:rsidR="00E07B4A" w:rsidRPr="00F153F6">
        <w:rPr>
          <w:rFonts w:ascii="Times New Roman" w:hAnsi="Times New Roman" w:cs="Times New Roman"/>
          <w:sz w:val="24"/>
          <w:szCs w:val="24"/>
        </w:rPr>
        <w:t>R</w:t>
      </w:r>
      <w:r w:rsidRPr="00F153F6">
        <w:rPr>
          <w:rFonts w:ascii="Times New Roman" w:hAnsi="Times New Roman" w:cs="Times New Roman"/>
          <w:sz w:val="24"/>
          <w:szCs w:val="24"/>
        </w:rPr>
        <w:t xml:space="preserve">esearch, making use of in-depth </w:t>
      </w:r>
      <w:r w:rsidR="00A60B4B" w:rsidRPr="00F153F6">
        <w:rPr>
          <w:rFonts w:ascii="Times New Roman" w:hAnsi="Times New Roman" w:cs="Times New Roman"/>
          <w:sz w:val="24"/>
          <w:szCs w:val="24"/>
        </w:rPr>
        <w:t xml:space="preserve">semi-structured </w:t>
      </w:r>
      <w:r w:rsidRPr="00F153F6">
        <w:rPr>
          <w:rFonts w:ascii="Times New Roman" w:hAnsi="Times New Roman" w:cs="Times New Roman"/>
          <w:sz w:val="24"/>
          <w:szCs w:val="24"/>
        </w:rPr>
        <w:t xml:space="preserve">interviews with </w:t>
      </w:r>
      <w:r w:rsidR="0070497A">
        <w:rPr>
          <w:rFonts w:ascii="Times New Roman" w:hAnsi="Times New Roman" w:cs="Times New Roman"/>
          <w:sz w:val="24"/>
          <w:szCs w:val="24"/>
        </w:rPr>
        <w:t xml:space="preserve">European </w:t>
      </w:r>
      <w:r w:rsidRPr="00F153F6">
        <w:rPr>
          <w:rFonts w:ascii="Times New Roman" w:hAnsi="Times New Roman" w:cs="Times New Roman"/>
          <w:sz w:val="24"/>
          <w:szCs w:val="24"/>
        </w:rPr>
        <w:t xml:space="preserve">Living Labs stakeholders and </w:t>
      </w:r>
      <w:r w:rsidR="00A60B4B" w:rsidRPr="00F153F6">
        <w:rPr>
          <w:rFonts w:ascii="Times New Roman" w:hAnsi="Times New Roman" w:cs="Times New Roman"/>
          <w:sz w:val="24"/>
          <w:szCs w:val="24"/>
        </w:rPr>
        <w:t>analysing</w:t>
      </w:r>
      <w:r w:rsidRPr="00F153F6">
        <w:rPr>
          <w:rFonts w:ascii="Times New Roman" w:hAnsi="Times New Roman" w:cs="Times New Roman"/>
          <w:sz w:val="24"/>
          <w:szCs w:val="24"/>
        </w:rPr>
        <w:t xml:space="preserve"> Living Labs project </w:t>
      </w:r>
      <w:r w:rsidR="0070497A">
        <w:rPr>
          <w:rFonts w:ascii="Times New Roman" w:hAnsi="Times New Roman" w:cs="Times New Roman"/>
          <w:sz w:val="24"/>
          <w:szCs w:val="24"/>
        </w:rPr>
        <w:t>documents.</w:t>
      </w:r>
      <w:r w:rsidR="0072145E" w:rsidRPr="00F153F6">
        <w:rPr>
          <w:rFonts w:ascii="Times New Roman" w:hAnsi="Times New Roman" w:cs="Times New Roman"/>
          <w:sz w:val="24"/>
          <w:szCs w:val="24"/>
        </w:rPr>
        <w:t xml:space="preserve"> </w:t>
      </w:r>
      <w:r w:rsidR="00E07B4A" w:rsidRPr="00F153F6">
        <w:rPr>
          <w:rFonts w:ascii="Times New Roman" w:hAnsi="Times New Roman" w:cs="Times New Roman"/>
          <w:sz w:val="24"/>
          <w:szCs w:val="24"/>
        </w:rPr>
        <w:t xml:space="preserve">The data has informed the use of Practice Theory, Sociomateriality Theory, and </w:t>
      </w:r>
      <w:r w:rsidR="00100D13" w:rsidRPr="00F153F6">
        <w:rPr>
          <w:rFonts w:ascii="Times New Roman" w:hAnsi="Times New Roman" w:cs="Times New Roman"/>
          <w:sz w:val="24"/>
          <w:szCs w:val="24"/>
        </w:rPr>
        <w:t xml:space="preserve">Technology </w:t>
      </w:r>
      <w:r w:rsidR="00E07B4A" w:rsidRPr="00F153F6">
        <w:rPr>
          <w:rFonts w:ascii="Times New Roman" w:hAnsi="Times New Roman" w:cs="Times New Roman"/>
          <w:sz w:val="24"/>
          <w:szCs w:val="24"/>
        </w:rPr>
        <w:t>Affordance Theory at different level of analysis to understand the research phenomena.</w:t>
      </w:r>
    </w:p>
    <w:p w14:paraId="1F4BDCD0" w14:textId="28617E15" w:rsidR="00E665F0" w:rsidRDefault="001244BB"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This research has found that 1) ICT-based IOKE practice can be characterised by ICT affordances and constraints, human knowledgeabilities, and triple-layer contexts (inter-organisational context, intra-organisational context, and wider environmental context). 2) ICT mediate</w:t>
      </w:r>
      <w:r w:rsidR="00D82581" w:rsidRPr="00F153F6">
        <w:rPr>
          <w:rFonts w:ascii="Times New Roman" w:hAnsi="Times New Roman" w:cs="Times New Roman"/>
          <w:sz w:val="24"/>
          <w:szCs w:val="24"/>
        </w:rPr>
        <w:t>s</w:t>
      </w:r>
      <w:r w:rsidRPr="00F153F6">
        <w:rPr>
          <w:rFonts w:ascii="Times New Roman" w:hAnsi="Times New Roman" w:cs="Times New Roman"/>
          <w:sz w:val="24"/>
          <w:szCs w:val="24"/>
        </w:rPr>
        <w:t xml:space="preserve"> such enactment of knowledgeability by affording or constraining distinct human abilities that allow actors to accomplish their knowledge work or hold them back as they engage in knowledge exchange practice. Diverse ICT affordances (e.g., cross-distance networking, instant workaround) and constraints (e.g., accessing, communication continuity) can </w:t>
      </w:r>
      <w:r w:rsidR="00907D3D" w:rsidRPr="00F153F6">
        <w:rPr>
          <w:rFonts w:ascii="Times New Roman" w:hAnsi="Times New Roman" w:cs="Times New Roman"/>
          <w:sz w:val="24"/>
          <w:szCs w:val="24"/>
        </w:rPr>
        <w:t xml:space="preserve">mediate the </w:t>
      </w:r>
      <w:r w:rsidRPr="00F153F6">
        <w:rPr>
          <w:rFonts w:ascii="Times New Roman" w:hAnsi="Times New Roman" w:cs="Times New Roman"/>
          <w:sz w:val="24"/>
          <w:szCs w:val="24"/>
        </w:rPr>
        <w:t>enact</w:t>
      </w:r>
      <w:r w:rsidR="00907D3D" w:rsidRPr="00F153F6">
        <w:rPr>
          <w:rFonts w:ascii="Times New Roman" w:hAnsi="Times New Roman" w:cs="Times New Roman"/>
          <w:sz w:val="24"/>
          <w:szCs w:val="24"/>
        </w:rPr>
        <w:t>ment of</w:t>
      </w:r>
      <w:r w:rsidRPr="00F153F6">
        <w:rPr>
          <w:rFonts w:ascii="Times New Roman" w:hAnsi="Times New Roman" w:cs="Times New Roman"/>
          <w:sz w:val="24"/>
          <w:szCs w:val="24"/>
        </w:rPr>
        <w:t xml:space="preserve"> four different types of knowledgeabilities: inter-connecting, interactive learning, co-creating, and co-ordinating. 3) Different knowledgeabilities, their associated ICT affordances/constraints, and their embedded contexts are inter-</w:t>
      </w:r>
      <w:r w:rsidR="00E07B4A" w:rsidRPr="00F153F6">
        <w:rPr>
          <w:rFonts w:ascii="Times New Roman" w:hAnsi="Times New Roman" w:cs="Times New Roman"/>
          <w:sz w:val="24"/>
          <w:szCs w:val="24"/>
        </w:rPr>
        <w:t>related, and they co-evolve over time across</w:t>
      </w:r>
      <w:r w:rsidR="00D82581" w:rsidRPr="00F153F6">
        <w:rPr>
          <w:rFonts w:ascii="Times New Roman" w:hAnsi="Times New Roman" w:cs="Times New Roman"/>
          <w:sz w:val="24"/>
          <w:szCs w:val="24"/>
        </w:rPr>
        <w:t xml:space="preserve"> the</w:t>
      </w:r>
      <w:r w:rsidR="00E07B4A" w:rsidRPr="00F153F6">
        <w:rPr>
          <w:rFonts w:ascii="Times New Roman" w:hAnsi="Times New Roman" w:cs="Times New Roman"/>
          <w:sz w:val="24"/>
          <w:szCs w:val="24"/>
        </w:rPr>
        <w:t xml:space="preserve"> project lifecycle.</w:t>
      </w:r>
      <w:r w:rsidRPr="00F153F6">
        <w:rPr>
          <w:rFonts w:ascii="Times New Roman" w:hAnsi="Times New Roman" w:cs="Times New Roman"/>
          <w:sz w:val="24"/>
          <w:szCs w:val="24"/>
        </w:rPr>
        <w:t xml:space="preserve"> </w:t>
      </w:r>
      <w:r w:rsidR="00E07B4A" w:rsidRPr="00F153F6">
        <w:rPr>
          <w:rFonts w:ascii="Times New Roman" w:hAnsi="Times New Roman" w:cs="Times New Roman"/>
          <w:sz w:val="24"/>
          <w:szCs w:val="24"/>
        </w:rPr>
        <w:t>This has been</w:t>
      </w:r>
      <w:r w:rsidRPr="00F153F6">
        <w:rPr>
          <w:rFonts w:ascii="Times New Roman" w:hAnsi="Times New Roman" w:cs="Times New Roman"/>
          <w:sz w:val="24"/>
          <w:szCs w:val="24"/>
        </w:rPr>
        <w:t xml:space="preserve"> conceptualised into an ICT-based IOKE practice framework (integrated) and its three variations (three variated frameworks for different project lifecycle stages). </w:t>
      </w:r>
      <w:r w:rsidR="0072145E" w:rsidRPr="00F153F6">
        <w:rPr>
          <w:rFonts w:ascii="Times New Roman" w:hAnsi="Times New Roman" w:cs="Times New Roman"/>
          <w:sz w:val="24"/>
          <w:szCs w:val="24"/>
        </w:rPr>
        <w:t xml:space="preserve">The findings have </w:t>
      </w:r>
      <w:r w:rsidR="0070497A">
        <w:rPr>
          <w:rFonts w:ascii="Times New Roman" w:hAnsi="Times New Roman" w:cs="Times New Roman"/>
          <w:sz w:val="24"/>
          <w:szCs w:val="24"/>
        </w:rPr>
        <w:t>strong</w:t>
      </w:r>
      <w:r w:rsidR="0072145E" w:rsidRPr="00F153F6">
        <w:rPr>
          <w:rFonts w:ascii="Times New Roman" w:hAnsi="Times New Roman" w:cs="Times New Roman"/>
          <w:sz w:val="24"/>
          <w:szCs w:val="24"/>
        </w:rPr>
        <w:t xml:space="preserve"> theoretical</w:t>
      </w:r>
      <w:r w:rsidR="0070497A">
        <w:rPr>
          <w:rFonts w:ascii="Times New Roman" w:hAnsi="Times New Roman" w:cs="Times New Roman"/>
          <w:sz w:val="24"/>
          <w:szCs w:val="24"/>
        </w:rPr>
        <w:t xml:space="preserve"> </w:t>
      </w:r>
      <w:r w:rsidR="0072145E" w:rsidRPr="00F153F6">
        <w:rPr>
          <w:rFonts w:ascii="Times New Roman" w:hAnsi="Times New Roman" w:cs="Times New Roman"/>
          <w:sz w:val="24"/>
          <w:szCs w:val="24"/>
        </w:rPr>
        <w:t>and practical implications that signal the salient areas for future research to study</w:t>
      </w:r>
      <w:r w:rsidR="0070497A">
        <w:rPr>
          <w:rFonts w:ascii="Times New Roman" w:hAnsi="Times New Roman" w:cs="Times New Roman"/>
          <w:sz w:val="24"/>
          <w:szCs w:val="24"/>
        </w:rPr>
        <w:t>, particularly for ICT affordance studies</w:t>
      </w:r>
      <w:r w:rsidR="0072145E" w:rsidRPr="00F153F6">
        <w:rPr>
          <w:rFonts w:ascii="Times New Roman" w:hAnsi="Times New Roman" w:cs="Times New Roman"/>
          <w:sz w:val="24"/>
          <w:szCs w:val="24"/>
        </w:rPr>
        <w:t>.</w:t>
      </w:r>
    </w:p>
    <w:p w14:paraId="4A4BF14B" w14:textId="61B3B0D7" w:rsidR="00633A5E" w:rsidRPr="00F153F6" w:rsidRDefault="00E665F0" w:rsidP="004424B4">
      <w:pPr>
        <w:spacing w:line="360" w:lineRule="auto"/>
        <w:jc w:val="both"/>
        <w:rPr>
          <w:rFonts w:ascii="Times New Roman" w:hAnsi="Times New Roman" w:cs="Times New Roman"/>
          <w:sz w:val="24"/>
          <w:szCs w:val="24"/>
        </w:rPr>
      </w:pPr>
      <w:r w:rsidRPr="00E665F0">
        <w:rPr>
          <w:rFonts w:ascii="Times New Roman" w:hAnsi="Times New Roman" w:cs="Times New Roman"/>
          <w:b/>
          <w:bCs/>
        </w:rPr>
        <w:t>Key Words:</w:t>
      </w:r>
      <w:r>
        <w:rPr>
          <w:rFonts w:ascii="Times New Roman" w:hAnsi="Times New Roman" w:cs="Times New Roman"/>
        </w:rPr>
        <w:t xml:space="preserve"> </w:t>
      </w:r>
      <w:r>
        <w:rPr>
          <w:rFonts w:ascii="Times New Roman" w:hAnsi="Times New Roman" w:cs="Times New Roman"/>
          <w:b/>
          <w:bCs/>
        </w:rPr>
        <w:t>ICT</w:t>
      </w:r>
      <w:r w:rsidRPr="00E665F0">
        <w:rPr>
          <w:rFonts w:ascii="Times New Roman" w:hAnsi="Times New Roman" w:cs="Times New Roman"/>
          <w:b/>
          <w:bCs/>
        </w:rPr>
        <w:t xml:space="preserve">, Technology Affordance, Inter-organisational Knowledge Exchange, Knowledgeability, Living Labs, </w:t>
      </w:r>
      <w:r>
        <w:rPr>
          <w:rFonts w:ascii="Times New Roman" w:hAnsi="Times New Roman" w:cs="Times New Roman"/>
          <w:b/>
          <w:bCs/>
        </w:rPr>
        <w:t xml:space="preserve">Open Innovation, </w:t>
      </w:r>
      <w:r w:rsidRPr="00E665F0">
        <w:rPr>
          <w:rFonts w:ascii="Times New Roman" w:hAnsi="Times New Roman" w:cs="Times New Roman"/>
          <w:b/>
          <w:bCs/>
        </w:rPr>
        <w:t>Grounded Theory</w:t>
      </w:r>
      <w:r w:rsidR="006E357C" w:rsidRPr="00F153F6">
        <w:rPr>
          <w:rFonts w:ascii="Times New Roman" w:hAnsi="Times New Roman" w:cs="Times New Roman"/>
        </w:rPr>
        <w:br w:type="page"/>
      </w:r>
    </w:p>
    <w:bookmarkStart w:id="2" w:name="_Toc133252094" w:displacedByCustomXml="next"/>
    <w:sdt>
      <w:sdtPr>
        <w:rPr>
          <w:rFonts w:ascii="Times New Roman" w:eastAsiaTheme="minorHAnsi" w:hAnsi="Times New Roman" w:cs="Times New Roman"/>
          <w:b w:val="0"/>
          <w:sz w:val="22"/>
          <w:szCs w:val="22"/>
          <w:lang w:eastAsia="en-US"/>
        </w:rPr>
        <w:id w:val="1542407888"/>
        <w:docPartObj>
          <w:docPartGallery w:val="Table of Contents"/>
          <w:docPartUnique/>
        </w:docPartObj>
      </w:sdtPr>
      <w:sdtEndPr>
        <w:rPr>
          <w:bCs/>
          <w:noProof/>
        </w:rPr>
      </w:sdtEndPr>
      <w:sdtContent>
        <w:p w14:paraId="6639AE16" w14:textId="1D94B6AE" w:rsidR="00633A5E" w:rsidRPr="00F153F6" w:rsidRDefault="00721305" w:rsidP="005B0BD1">
          <w:pPr>
            <w:pStyle w:val="Heading1"/>
            <w:spacing w:line="360" w:lineRule="auto"/>
            <w:jc w:val="center"/>
            <w:rPr>
              <w:rFonts w:ascii="Times New Roman" w:hAnsi="Times New Roman" w:cs="Times New Roman"/>
              <w:b w:val="0"/>
              <w:bCs/>
              <w:sz w:val="44"/>
              <w:szCs w:val="44"/>
              <w:lang w:val="en-US"/>
            </w:rPr>
          </w:pPr>
          <w:r w:rsidRPr="00F153F6">
            <w:rPr>
              <w:rFonts w:ascii="Times New Roman" w:hAnsi="Times New Roman" w:cs="Times New Roman"/>
              <w:b w:val="0"/>
              <w:bCs/>
              <w:sz w:val="44"/>
              <w:szCs w:val="44"/>
            </w:rPr>
            <w:t>TABLE OF CONTENTS</w:t>
          </w:r>
          <w:bookmarkEnd w:id="2"/>
        </w:p>
        <w:p w14:paraId="20E33EC7" w14:textId="5575F035" w:rsidR="0073180E" w:rsidRPr="00F153F6" w:rsidRDefault="00633A5E">
          <w:pPr>
            <w:pStyle w:val="TOC1"/>
            <w:rPr>
              <w:rFonts w:ascii="Times New Roman" w:eastAsiaTheme="minorEastAsia" w:hAnsi="Times New Roman" w:cs="Times New Roman"/>
              <w:noProof/>
            </w:rPr>
          </w:pPr>
          <w:r w:rsidRPr="00F153F6">
            <w:rPr>
              <w:rFonts w:ascii="Times New Roman" w:hAnsi="Times New Roman" w:cs="Times New Roman"/>
            </w:rPr>
            <w:fldChar w:fldCharType="begin"/>
          </w:r>
          <w:r w:rsidRPr="00F153F6">
            <w:rPr>
              <w:rFonts w:ascii="Times New Roman" w:hAnsi="Times New Roman" w:cs="Times New Roman"/>
            </w:rPr>
            <w:instrText xml:space="preserve"> TOC \o "1-3" \h \z \u </w:instrText>
          </w:r>
          <w:r w:rsidRPr="00F153F6">
            <w:rPr>
              <w:rFonts w:ascii="Times New Roman" w:hAnsi="Times New Roman" w:cs="Times New Roman"/>
            </w:rPr>
            <w:fldChar w:fldCharType="separate"/>
          </w:r>
          <w:hyperlink w:anchor="_Toc133252092" w:history="1">
            <w:r w:rsidR="0073180E" w:rsidRPr="00F153F6">
              <w:rPr>
                <w:rStyle w:val="Hyperlink"/>
                <w:rFonts w:ascii="Times New Roman" w:eastAsia="Yu Gothic" w:hAnsi="Times New Roman" w:cs="Times New Roman"/>
                <w:noProof/>
              </w:rPr>
              <w:t>ACKNOWLEDGEMENT</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_Toc133252092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3</w:t>
            </w:r>
            <w:r w:rsidR="0073180E" w:rsidRPr="00F153F6">
              <w:rPr>
                <w:rFonts w:ascii="Times New Roman" w:hAnsi="Times New Roman" w:cs="Times New Roman"/>
                <w:noProof/>
                <w:webHidden/>
              </w:rPr>
              <w:fldChar w:fldCharType="end"/>
            </w:r>
          </w:hyperlink>
        </w:p>
        <w:p w14:paraId="48EC1E93" w14:textId="19AA75D7" w:rsidR="0073180E" w:rsidRPr="00F153F6" w:rsidRDefault="00000000">
          <w:pPr>
            <w:pStyle w:val="TOC1"/>
            <w:rPr>
              <w:rFonts w:ascii="Times New Roman" w:eastAsiaTheme="minorEastAsia" w:hAnsi="Times New Roman" w:cs="Times New Roman"/>
              <w:noProof/>
            </w:rPr>
          </w:pPr>
          <w:hyperlink w:anchor="_Toc133252093" w:history="1">
            <w:r w:rsidR="0073180E" w:rsidRPr="00F153F6">
              <w:rPr>
                <w:rStyle w:val="Hyperlink"/>
                <w:rFonts w:ascii="Times New Roman" w:hAnsi="Times New Roman" w:cs="Times New Roman"/>
                <w:noProof/>
              </w:rPr>
              <w:t>ABSTRACT</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_Toc133252093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4</w:t>
            </w:r>
            <w:r w:rsidR="0073180E" w:rsidRPr="00F153F6">
              <w:rPr>
                <w:rFonts w:ascii="Times New Roman" w:hAnsi="Times New Roman" w:cs="Times New Roman"/>
                <w:noProof/>
                <w:webHidden/>
              </w:rPr>
              <w:fldChar w:fldCharType="end"/>
            </w:r>
          </w:hyperlink>
        </w:p>
        <w:p w14:paraId="255DD5C8" w14:textId="04640DE3" w:rsidR="0073180E" w:rsidRPr="00F153F6" w:rsidRDefault="00000000">
          <w:pPr>
            <w:pStyle w:val="TOC1"/>
            <w:rPr>
              <w:rFonts w:ascii="Times New Roman" w:eastAsiaTheme="minorEastAsia" w:hAnsi="Times New Roman" w:cs="Times New Roman"/>
              <w:noProof/>
            </w:rPr>
          </w:pPr>
          <w:hyperlink w:anchor="_Toc133252094" w:history="1">
            <w:r w:rsidR="0073180E" w:rsidRPr="00F153F6">
              <w:rPr>
                <w:rStyle w:val="Hyperlink"/>
                <w:rFonts w:ascii="Times New Roman" w:hAnsi="Times New Roman" w:cs="Times New Roman"/>
                <w:noProof/>
              </w:rPr>
              <w:t>TABLE OF CONTENTS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_Toc133252094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5</w:t>
            </w:r>
            <w:r w:rsidR="0073180E" w:rsidRPr="00F153F6">
              <w:rPr>
                <w:rFonts w:ascii="Times New Roman" w:hAnsi="Times New Roman" w:cs="Times New Roman"/>
                <w:noProof/>
                <w:webHidden/>
              </w:rPr>
              <w:fldChar w:fldCharType="end"/>
            </w:r>
          </w:hyperlink>
        </w:p>
        <w:p w14:paraId="1BDF0E1C" w14:textId="5202413F" w:rsidR="0073180E" w:rsidRPr="00F153F6" w:rsidRDefault="00000000">
          <w:pPr>
            <w:pStyle w:val="TOC1"/>
            <w:rPr>
              <w:rFonts w:ascii="Times New Roman" w:eastAsiaTheme="minorEastAsia" w:hAnsi="Times New Roman" w:cs="Times New Roman"/>
              <w:noProof/>
            </w:rPr>
          </w:pPr>
          <w:hyperlink w:anchor="_Toc133252095" w:history="1">
            <w:r w:rsidR="0073180E" w:rsidRPr="00F153F6">
              <w:rPr>
                <w:rStyle w:val="Hyperlink"/>
                <w:rFonts w:ascii="Times New Roman" w:hAnsi="Times New Roman" w:cs="Times New Roman"/>
                <w:noProof/>
              </w:rPr>
              <w:t>LIST OF TABLES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_Toc133252095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8</w:t>
            </w:r>
            <w:r w:rsidR="0073180E" w:rsidRPr="00F153F6">
              <w:rPr>
                <w:rFonts w:ascii="Times New Roman" w:hAnsi="Times New Roman" w:cs="Times New Roman"/>
                <w:noProof/>
                <w:webHidden/>
              </w:rPr>
              <w:fldChar w:fldCharType="end"/>
            </w:r>
          </w:hyperlink>
        </w:p>
        <w:p w14:paraId="572D0157" w14:textId="5474E5B7" w:rsidR="0073180E" w:rsidRPr="00F153F6" w:rsidRDefault="00000000">
          <w:pPr>
            <w:pStyle w:val="TOC1"/>
            <w:rPr>
              <w:rFonts w:ascii="Times New Roman" w:eastAsiaTheme="minorEastAsia" w:hAnsi="Times New Roman" w:cs="Times New Roman"/>
              <w:noProof/>
            </w:rPr>
          </w:pPr>
          <w:hyperlink w:anchor="_Toc133252096" w:history="1">
            <w:r w:rsidR="0073180E" w:rsidRPr="00F153F6">
              <w:rPr>
                <w:rStyle w:val="Hyperlink"/>
                <w:rFonts w:ascii="Times New Roman" w:hAnsi="Times New Roman" w:cs="Times New Roman"/>
                <w:noProof/>
              </w:rPr>
              <w:t>LIST OF FIGURES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_Toc133252096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9</w:t>
            </w:r>
            <w:r w:rsidR="0073180E" w:rsidRPr="00F153F6">
              <w:rPr>
                <w:rFonts w:ascii="Times New Roman" w:hAnsi="Times New Roman" w:cs="Times New Roman"/>
                <w:noProof/>
                <w:webHidden/>
              </w:rPr>
              <w:fldChar w:fldCharType="end"/>
            </w:r>
          </w:hyperlink>
        </w:p>
        <w:p w14:paraId="39B11FE7" w14:textId="7DCDCB34" w:rsidR="0073180E" w:rsidRPr="00F153F6" w:rsidRDefault="00000000">
          <w:pPr>
            <w:pStyle w:val="TOC1"/>
            <w:rPr>
              <w:rFonts w:ascii="Times New Roman" w:eastAsiaTheme="minorEastAsia" w:hAnsi="Times New Roman" w:cs="Times New Roman"/>
              <w:noProof/>
            </w:rPr>
          </w:pPr>
          <w:hyperlink w:anchor="_Toc133252097" w:history="1">
            <w:r w:rsidR="0073180E" w:rsidRPr="00F153F6">
              <w:rPr>
                <w:rStyle w:val="Hyperlink"/>
                <w:rFonts w:ascii="Times New Roman" w:hAnsi="Times New Roman" w:cs="Times New Roman"/>
                <w:noProof/>
              </w:rPr>
              <w:t>DECLARATION</w:t>
            </w:r>
            <w:r w:rsidR="00DA1FE5" w:rsidRPr="00F153F6">
              <w:rPr>
                <w:rStyle w:val="Hyperlink"/>
                <w:rFonts w:ascii="Times New Roman" w:hAnsi="Times New Roman" w:cs="Times New Roman"/>
                <w:noProof/>
              </w:rPr>
              <w:t xml:space="preserve"> &amp; PUBLICATIONS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_Toc133252097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10</w:t>
            </w:r>
            <w:r w:rsidR="0073180E" w:rsidRPr="00F153F6">
              <w:rPr>
                <w:rFonts w:ascii="Times New Roman" w:hAnsi="Times New Roman" w:cs="Times New Roman"/>
                <w:noProof/>
                <w:webHidden/>
              </w:rPr>
              <w:fldChar w:fldCharType="end"/>
            </w:r>
          </w:hyperlink>
        </w:p>
        <w:p w14:paraId="5B21A553" w14:textId="580BA989" w:rsidR="0073180E" w:rsidRPr="00F153F6" w:rsidRDefault="00000000">
          <w:pPr>
            <w:pStyle w:val="TOC1"/>
            <w:rPr>
              <w:rFonts w:ascii="Times New Roman" w:eastAsiaTheme="minorEastAsia" w:hAnsi="Times New Roman" w:cs="Times New Roman"/>
              <w:noProof/>
            </w:rPr>
          </w:pPr>
          <w:hyperlink w:anchor="_Toc133252099" w:history="1">
            <w:r w:rsidR="0073180E" w:rsidRPr="00F153F6">
              <w:rPr>
                <w:rStyle w:val="Hyperlink"/>
                <w:rFonts w:ascii="Times New Roman" w:hAnsi="Times New Roman" w:cs="Times New Roman"/>
                <w:noProof/>
              </w:rPr>
              <w:t>CHAPTER 1   INTRODUCTION</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_Toc133252099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11</w:t>
            </w:r>
            <w:r w:rsidR="0073180E" w:rsidRPr="00F153F6">
              <w:rPr>
                <w:rFonts w:ascii="Times New Roman" w:hAnsi="Times New Roman" w:cs="Times New Roman"/>
                <w:noProof/>
                <w:webHidden/>
              </w:rPr>
              <w:fldChar w:fldCharType="end"/>
            </w:r>
          </w:hyperlink>
        </w:p>
        <w:p w14:paraId="34D05B23" w14:textId="26ACB7D7" w:rsidR="0073180E" w:rsidRPr="00F153F6" w:rsidRDefault="00000000" w:rsidP="00AC2626">
          <w:pPr>
            <w:pStyle w:val="TOC2"/>
            <w:rPr>
              <w:rFonts w:ascii="Times New Roman" w:eastAsiaTheme="minorEastAsia" w:hAnsi="Times New Roman" w:cs="Times New Roman"/>
              <w:noProof/>
            </w:rPr>
          </w:pPr>
          <w:hyperlink w:anchor="_Toc133252100" w:history="1">
            <w:r w:rsidR="0073180E" w:rsidRPr="00F153F6">
              <w:rPr>
                <w:rStyle w:val="Hyperlink"/>
                <w:rFonts w:ascii="Times New Roman" w:hAnsi="Times New Roman" w:cs="Times New Roman"/>
                <w:noProof/>
              </w:rPr>
              <w:t>1.1 Background</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_Toc133252100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11</w:t>
            </w:r>
            <w:r w:rsidR="0073180E" w:rsidRPr="00F153F6">
              <w:rPr>
                <w:rFonts w:ascii="Times New Roman" w:hAnsi="Times New Roman" w:cs="Times New Roman"/>
                <w:noProof/>
                <w:webHidden/>
              </w:rPr>
              <w:fldChar w:fldCharType="end"/>
            </w:r>
          </w:hyperlink>
        </w:p>
        <w:p w14:paraId="38451C77" w14:textId="15C47CD4" w:rsidR="0073180E" w:rsidRPr="00F153F6" w:rsidRDefault="00000000" w:rsidP="00AC2626">
          <w:pPr>
            <w:pStyle w:val="TOC2"/>
            <w:rPr>
              <w:rFonts w:ascii="Times New Roman" w:eastAsiaTheme="minorEastAsia" w:hAnsi="Times New Roman" w:cs="Times New Roman"/>
              <w:noProof/>
            </w:rPr>
          </w:pPr>
          <w:hyperlink w:anchor="_Toc133252101" w:history="1">
            <w:r w:rsidR="0073180E" w:rsidRPr="00F153F6">
              <w:rPr>
                <w:rStyle w:val="Hyperlink"/>
                <w:rFonts w:ascii="Times New Roman" w:hAnsi="Times New Roman" w:cs="Times New Roman"/>
                <w:noProof/>
              </w:rPr>
              <w:t>1.2 Problem Statement</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_Toc133252101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11</w:t>
            </w:r>
            <w:r w:rsidR="0073180E" w:rsidRPr="00F153F6">
              <w:rPr>
                <w:rFonts w:ascii="Times New Roman" w:hAnsi="Times New Roman" w:cs="Times New Roman"/>
                <w:noProof/>
                <w:webHidden/>
              </w:rPr>
              <w:fldChar w:fldCharType="end"/>
            </w:r>
          </w:hyperlink>
        </w:p>
        <w:p w14:paraId="4E61D766" w14:textId="4A5C447A" w:rsidR="0073180E" w:rsidRPr="00F153F6" w:rsidRDefault="00000000" w:rsidP="00AC2626">
          <w:pPr>
            <w:pStyle w:val="TOC2"/>
            <w:rPr>
              <w:rFonts w:ascii="Times New Roman" w:eastAsiaTheme="minorEastAsia" w:hAnsi="Times New Roman" w:cs="Times New Roman"/>
              <w:noProof/>
            </w:rPr>
          </w:pPr>
          <w:hyperlink w:anchor="_Toc133252102" w:history="1">
            <w:r w:rsidR="0073180E" w:rsidRPr="00F153F6">
              <w:rPr>
                <w:rStyle w:val="Hyperlink"/>
                <w:rFonts w:ascii="Times New Roman" w:hAnsi="Times New Roman" w:cs="Times New Roman"/>
                <w:noProof/>
              </w:rPr>
              <w:t>1.3 Research Aims and Objectives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_Toc133252102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14</w:t>
            </w:r>
            <w:r w:rsidR="0073180E" w:rsidRPr="00F153F6">
              <w:rPr>
                <w:rFonts w:ascii="Times New Roman" w:hAnsi="Times New Roman" w:cs="Times New Roman"/>
                <w:noProof/>
                <w:webHidden/>
              </w:rPr>
              <w:fldChar w:fldCharType="end"/>
            </w:r>
          </w:hyperlink>
        </w:p>
        <w:p w14:paraId="1A91398D" w14:textId="2ADCABE5" w:rsidR="0073180E" w:rsidRPr="00F153F6" w:rsidRDefault="00000000" w:rsidP="00AC2626">
          <w:pPr>
            <w:pStyle w:val="TOC2"/>
            <w:rPr>
              <w:rFonts w:ascii="Times New Roman" w:eastAsiaTheme="minorEastAsia" w:hAnsi="Times New Roman" w:cs="Times New Roman"/>
              <w:noProof/>
            </w:rPr>
          </w:pPr>
          <w:hyperlink w:anchor="_Toc133252103" w:history="1">
            <w:r w:rsidR="0073180E" w:rsidRPr="00F153F6">
              <w:rPr>
                <w:rStyle w:val="Hyperlink"/>
                <w:rFonts w:ascii="Times New Roman" w:hAnsi="Times New Roman" w:cs="Times New Roman"/>
                <w:noProof/>
              </w:rPr>
              <w:t>1.4 Research Method</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_Toc133252103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14</w:t>
            </w:r>
            <w:r w:rsidR="0073180E" w:rsidRPr="00F153F6">
              <w:rPr>
                <w:rFonts w:ascii="Times New Roman" w:hAnsi="Times New Roman" w:cs="Times New Roman"/>
                <w:noProof/>
                <w:webHidden/>
              </w:rPr>
              <w:fldChar w:fldCharType="end"/>
            </w:r>
          </w:hyperlink>
        </w:p>
        <w:p w14:paraId="5059935D" w14:textId="0A264B2E" w:rsidR="0073180E" w:rsidRPr="00F153F6" w:rsidRDefault="00000000" w:rsidP="00AC2626">
          <w:pPr>
            <w:pStyle w:val="TOC2"/>
            <w:rPr>
              <w:rFonts w:ascii="Times New Roman" w:eastAsiaTheme="minorEastAsia" w:hAnsi="Times New Roman" w:cs="Times New Roman"/>
              <w:noProof/>
            </w:rPr>
          </w:pPr>
          <w:hyperlink w:anchor="_Toc133252104" w:history="1">
            <w:r w:rsidR="0073180E" w:rsidRPr="00F153F6">
              <w:rPr>
                <w:rStyle w:val="Hyperlink"/>
                <w:rFonts w:ascii="Times New Roman" w:hAnsi="Times New Roman" w:cs="Times New Roman"/>
                <w:noProof/>
              </w:rPr>
              <w:t>1.5 Significance</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_Toc133252104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15</w:t>
            </w:r>
            <w:r w:rsidR="0073180E" w:rsidRPr="00F153F6">
              <w:rPr>
                <w:rFonts w:ascii="Times New Roman" w:hAnsi="Times New Roman" w:cs="Times New Roman"/>
                <w:noProof/>
                <w:webHidden/>
              </w:rPr>
              <w:fldChar w:fldCharType="end"/>
            </w:r>
          </w:hyperlink>
        </w:p>
        <w:p w14:paraId="17773905" w14:textId="20F982F8" w:rsidR="0073180E" w:rsidRPr="00F153F6" w:rsidRDefault="00000000">
          <w:pPr>
            <w:pStyle w:val="TOC1"/>
            <w:rPr>
              <w:rFonts w:ascii="Times New Roman" w:eastAsiaTheme="minorEastAsia" w:hAnsi="Times New Roman" w:cs="Times New Roman"/>
              <w:noProof/>
            </w:rPr>
          </w:pPr>
          <w:hyperlink w:anchor="_Toc133252105" w:history="1">
            <w:r w:rsidR="0073180E" w:rsidRPr="00F153F6">
              <w:rPr>
                <w:rStyle w:val="Hyperlink"/>
                <w:rFonts w:ascii="Times New Roman" w:hAnsi="Times New Roman" w:cs="Times New Roman"/>
                <w:noProof/>
              </w:rPr>
              <w:t>CHAPTER 2   LITERATURE REVIEW</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_Toc133252105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17</w:t>
            </w:r>
            <w:r w:rsidR="0073180E" w:rsidRPr="00F153F6">
              <w:rPr>
                <w:rFonts w:ascii="Times New Roman" w:hAnsi="Times New Roman" w:cs="Times New Roman"/>
                <w:noProof/>
                <w:webHidden/>
              </w:rPr>
              <w:fldChar w:fldCharType="end"/>
            </w:r>
          </w:hyperlink>
        </w:p>
        <w:p w14:paraId="53D32D50" w14:textId="7D13C32F" w:rsidR="0073180E" w:rsidRPr="00F153F6" w:rsidRDefault="00000000" w:rsidP="00AC2626">
          <w:pPr>
            <w:pStyle w:val="TOC2"/>
            <w:rPr>
              <w:rFonts w:ascii="Times New Roman" w:eastAsiaTheme="minorEastAsia" w:hAnsi="Times New Roman" w:cs="Times New Roman"/>
              <w:noProof/>
            </w:rPr>
          </w:pPr>
          <w:hyperlink w:anchor="_Toc133252106" w:history="1">
            <w:r w:rsidR="0073180E" w:rsidRPr="00F153F6">
              <w:rPr>
                <w:rStyle w:val="Hyperlink"/>
                <w:rFonts w:ascii="Times New Roman" w:hAnsi="Times New Roman" w:cs="Times New Roman"/>
                <w:noProof/>
              </w:rPr>
              <w:t>2.1 Introduction</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_Toc133252106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17</w:t>
            </w:r>
            <w:r w:rsidR="0073180E" w:rsidRPr="00F153F6">
              <w:rPr>
                <w:rFonts w:ascii="Times New Roman" w:hAnsi="Times New Roman" w:cs="Times New Roman"/>
                <w:noProof/>
                <w:webHidden/>
              </w:rPr>
              <w:fldChar w:fldCharType="end"/>
            </w:r>
          </w:hyperlink>
        </w:p>
        <w:p w14:paraId="677E2E40" w14:textId="275CD6A4" w:rsidR="0073180E" w:rsidRPr="00F153F6" w:rsidRDefault="00000000" w:rsidP="00AC2626">
          <w:pPr>
            <w:pStyle w:val="TOC2"/>
            <w:rPr>
              <w:rFonts w:ascii="Times New Roman" w:eastAsiaTheme="minorEastAsia" w:hAnsi="Times New Roman" w:cs="Times New Roman"/>
              <w:noProof/>
            </w:rPr>
          </w:pPr>
          <w:hyperlink w:anchor="_Toc133252107" w:history="1">
            <w:r w:rsidR="0073180E" w:rsidRPr="00F153F6">
              <w:rPr>
                <w:rStyle w:val="Hyperlink"/>
                <w:rFonts w:ascii="Times New Roman" w:hAnsi="Times New Roman" w:cs="Times New Roman"/>
                <w:noProof/>
              </w:rPr>
              <w:t>2.2 Knowledge and Knowledge Management (KM)</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_Toc133252107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17</w:t>
            </w:r>
            <w:r w:rsidR="0073180E" w:rsidRPr="00F153F6">
              <w:rPr>
                <w:rFonts w:ascii="Times New Roman" w:hAnsi="Times New Roman" w:cs="Times New Roman"/>
                <w:noProof/>
                <w:webHidden/>
              </w:rPr>
              <w:fldChar w:fldCharType="end"/>
            </w:r>
          </w:hyperlink>
        </w:p>
        <w:p w14:paraId="6EC1456F" w14:textId="03CBD523" w:rsidR="0073180E" w:rsidRPr="00F153F6" w:rsidRDefault="00000000">
          <w:pPr>
            <w:pStyle w:val="TOC3"/>
            <w:tabs>
              <w:tab w:val="right" w:leader="dot" w:pos="9016"/>
            </w:tabs>
            <w:rPr>
              <w:rFonts w:ascii="Times New Roman" w:eastAsiaTheme="minorEastAsia" w:hAnsi="Times New Roman" w:cs="Times New Roman"/>
              <w:noProof/>
            </w:rPr>
          </w:pPr>
          <w:hyperlink w:anchor="_Toc133252108" w:history="1">
            <w:r w:rsidR="0073180E" w:rsidRPr="00F153F6">
              <w:rPr>
                <w:rStyle w:val="Hyperlink"/>
                <w:rFonts w:ascii="Times New Roman" w:hAnsi="Times New Roman" w:cs="Times New Roman"/>
                <w:noProof/>
              </w:rPr>
              <w:t>2.2.1 The Nature and Definition of Knowledge</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_Toc133252108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17</w:t>
            </w:r>
            <w:r w:rsidR="0073180E" w:rsidRPr="00F153F6">
              <w:rPr>
                <w:rFonts w:ascii="Times New Roman" w:hAnsi="Times New Roman" w:cs="Times New Roman"/>
                <w:noProof/>
                <w:webHidden/>
              </w:rPr>
              <w:fldChar w:fldCharType="end"/>
            </w:r>
          </w:hyperlink>
        </w:p>
        <w:p w14:paraId="07919AA7" w14:textId="1E71AD55" w:rsidR="0073180E" w:rsidRPr="00F153F6" w:rsidRDefault="00000000">
          <w:pPr>
            <w:pStyle w:val="TOC3"/>
            <w:tabs>
              <w:tab w:val="right" w:leader="dot" w:pos="9016"/>
            </w:tabs>
            <w:rPr>
              <w:rFonts w:ascii="Times New Roman" w:eastAsiaTheme="minorEastAsia" w:hAnsi="Times New Roman" w:cs="Times New Roman"/>
              <w:noProof/>
            </w:rPr>
          </w:pPr>
          <w:hyperlink w:anchor="_Toc133252109" w:history="1">
            <w:r w:rsidR="0073180E" w:rsidRPr="00F153F6">
              <w:rPr>
                <w:rStyle w:val="Hyperlink"/>
                <w:rFonts w:ascii="Times New Roman" w:hAnsi="Times New Roman" w:cs="Times New Roman"/>
                <w:noProof/>
              </w:rPr>
              <w:t>2.2.2 Knowledge and Knowing</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_Toc133252109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19</w:t>
            </w:r>
            <w:r w:rsidR="0073180E" w:rsidRPr="00F153F6">
              <w:rPr>
                <w:rFonts w:ascii="Times New Roman" w:hAnsi="Times New Roman" w:cs="Times New Roman"/>
                <w:noProof/>
                <w:webHidden/>
              </w:rPr>
              <w:fldChar w:fldCharType="end"/>
            </w:r>
          </w:hyperlink>
        </w:p>
        <w:p w14:paraId="77E6BEB9" w14:textId="42BFF975" w:rsidR="0073180E" w:rsidRPr="00F153F6" w:rsidRDefault="00000000">
          <w:pPr>
            <w:pStyle w:val="TOC3"/>
            <w:tabs>
              <w:tab w:val="right" w:leader="dot" w:pos="9016"/>
            </w:tabs>
            <w:rPr>
              <w:rFonts w:ascii="Times New Roman" w:eastAsiaTheme="minorEastAsia" w:hAnsi="Times New Roman" w:cs="Times New Roman"/>
              <w:noProof/>
            </w:rPr>
          </w:pPr>
          <w:hyperlink w:anchor="_Toc133252110" w:history="1">
            <w:r w:rsidR="0073180E" w:rsidRPr="00F153F6">
              <w:rPr>
                <w:rStyle w:val="Hyperlink"/>
                <w:rFonts w:ascii="Times New Roman" w:hAnsi="Times New Roman" w:cs="Times New Roman"/>
                <w:noProof/>
              </w:rPr>
              <w:t>2.2.3 Knowledge Management Activities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_Toc133252110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25</w:t>
            </w:r>
            <w:r w:rsidR="0073180E" w:rsidRPr="00F153F6">
              <w:rPr>
                <w:rFonts w:ascii="Times New Roman" w:hAnsi="Times New Roman" w:cs="Times New Roman"/>
                <w:noProof/>
                <w:webHidden/>
              </w:rPr>
              <w:fldChar w:fldCharType="end"/>
            </w:r>
          </w:hyperlink>
        </w:p>
        <w:p w14:paraId="6A2FB90A" w14:textId="7AF68E40" w:rsidR="0073180E" w:rsidRPr="00F153F6" w:rsidRDefault="00000000" w:rsidP="00AC2626">
          <w:pPr>
            <w:pStyle w:val="TOC2"/>
            <w:rPr>
              <w:rFonts w:ascii="Times New Roman" w:eastAsiaTheme="minorEastAsia" w:hAnsi="Times New Roman" w:cs="Times New Roman"/>
              <w:noProof/>
            </w:rPr>
          </w:pPr>
          <w:hyperlink w:anchor="_Toc133252111" w:history="1">
            <w:r w:rsidR="0073180E" w:rsidRPr="00F153F6">
              <w:rPr>
                <w:rStyle w:val="Hyperlink"/>
                <w:rFonts w:ascii="Times New Roman" w:hAnsi="Times New Roman" w:cs="Times New Roman"/>
                <w:noProof/>
              </w:rPr>
              <w:t>2.3 Knowledge Exchange</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_Toc133252111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27</w:t>
            </w:r>
            <w:r w:rsidR="0073180E" w:rsidRPr="00F153F6">
              <w:rPr>
                <w:rFonts w:ascii="Times New Roman" w:hAnsi="Times New Roman" w:cs="Times New Roman"/>
                <w:noProof/>
                <w:webHidden/>
              </w:rPr>
              <w:fldChar w:fldCharType="end"/>
            </w:r>
          </w:hyperlink>
        </w:p>
        <w:p w14:paraId="43DA9BF6" w14:textId="6997EE6F" w:rsidR="0073180E" w:rsidRPr="00F153F6" w:rsidRDefault="00000000">
          <w:pPr>
            <w:pStyle w:val="TOC3"/>
            <w:tabs>
              <w:tab w:val="right" w:leader="dot" w:pos="9016"/>
            </w:tabs>
            <w:rPr>
              <w:rFonts w:ascii="Times New Roman" w:eastAsiaTheme="minorEastAsia" w:hAnsi="Times New Roman" w:cs="Times New Roman"/>
              <w:noProof/>
            </w:rPr>
          </w:pPr>
          <w:hyperlink w:anchor="_Toc133252112" w:history="1">
            <w:r w:rsidR="0073180E" w:rsidRPr="00F153F6">
              <w:rPr>
                <w:rStyle w:val="Hyperlink"/>
                <w:rFonts w:ascii="Times New Roman" w:hAnsi="Times New Roman" w:cs="Times New Roman"/>
                <w:noProof/>
              </w:rPr>
              <w:t>2.3.1 Knowledge Exchange in Knowledge Management</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_Toc133252112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27</w:t>
            </w:r>
            <w:r w:rsidR="0073180E" w:rsidRPr="00F153F6">
              <w:rPr>
                <w:rFonts w:ascii="Times New Roman" w:hAnsi="Times New Roman" w:cs="Times New Roman"/>
                <w:noProof/>
                <w:webHidden/>
              </w:rPr>
              <w:fldChar w:fldCharType="end"/>
            </w:r>
          </w:hyperlink>
        </w:p>
        <w:p w14:paraId="349DF25A" w14:textId="45325E13" w:rsidR="0073180E" w:rsidRPr="00F153F6" w:rsidRDefault="00000000">
          <w:pPr>
            <w:pStyle w:val="TOC3"/>
            <w:tabs>
              <w:tab w:val="right" w:leader="dot" w:pos="9016"/>
            </w:tabs>
            <w:rPr>
              <w:rFonts w:ascii="Times New Roman" w:eastAsiaTheme="minorEastAsia" w:hAnsi="Times New Roman" w:cs="Times New Roman"/>
              <w:noProof/>
            </w:rPr>
          </w:pPr>
          <w:hyperlink w:anchor="_Toc133252113" w:history="1">
            <w:r w:rsidR="0073180E" w:rsidRPr="00F153F6">
              <w:rPr>
                <w:rStyle w:val="Hyperlink"/>
                <w:rFonts w:ascii="Times New Roman" w:hAnsi="Times New Roman" w:cs="Times New Roman"/>
                <w:noProof/>
              </w:rPr>
              <w:t>2.3.2 Knowledge Exchange in Facilitating Know-Do Process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_Toc133252113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28</w:t>
            </w:r>
            <w:r w:rsidR="0073180E" w:rsidRPr="00F153F6">
              <w:rPr>
                <w:rFonts w:ascii="Times New Roman" w:hAnsi="Times New Roman" w:cs="Times New Roman"/>
                <w:noProof/>
                <w:webHidden/>
              </w:rPr>
              <w:fldChar w:fldCharType="end"/>
            </w:r>
          </w:hyperlink>
        </w:p>
        <w:p w14:paraId="2A673333" w14:textId="398EADBF" w:rsidR="0073180E" w:rsidRPr="00F153F6" w:rsidRDefault="00000000">
          <w:pPr>
            <w:pStyle w:val="TOC3"/>
            <w:tabs>
              <w:tab w:val="right" w:leader="dot" w:pos="9016"/>
            </w:tabs>
            <w:rPr>
              <w:rFonts w:ascii="Times New Roman" w:eastAsiaTheme="minorEastAsia" w:hAnsi="Times New Roman" w:cs="Times New Roman"/>
              <w:noProof/>
            </w:rPr>
          </w:pPr>
          <w:hyperlink w:anchor="_Toc133252114" w:history="1">
            <w:r w:rsidR="0073180E" w:rsidRPr="00F153F6">
              <w:rPr>
                <w:rStyle w:val="Hyperlink"/>
                <w:rFonts w:ascii="Times New Roman" w:hAnsi="Times New Roman" w:cs="Times New Roman"/>
                <w:noProof/>
              </w:rPr>
              <w:t>2.3.3 The Nature of Knowledge Exchange</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_Toc133252114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32</w:t>
            </w:r>
            <w:r w:rsidR="0073180E" w:rsidRPr="00F153F6">
              <w:rPr>
                <w:rFonts w:ascii="Times New Roman" w:hAnsi="Times New Roman" w:cs="Times New Roman"/>
                <w:noProof/>
                <w:webHidden/>
              </w:rPr>
              <w:fldChar w:fldCharType="end"/>
            </w:r>
          </w:hyperlink>
        </w:p>
        <w:p w14:paraId="5423F076" w14:textId="4DD21DC1" w:rsidR="0073180E" w:rsidRPr="00F153F6" w:rsidRDefault="00000000" w:rsidP="00AC2626">
          <w:pPr>
            <w:pStyle w:val="TOC2"/>
            <w:rPr>
              <w:rFonts w:ascii="Times New Roman" w:eastAsiaTheme="minorEastAsia" w:hAnsi="Times New Roman" w:cs="Times New Roman"/>
              <w:noProof/>
            </w:rPr>
          </w:pPr>
          <w:hyperlink w:anchor="_Toc133252115" w:history="1">
            <w:r w:rsidR="0073180E" w:rsidRPr="00F153F6">
              <w:rPr>
                <w:rStyle w:val="Hyperlink"/>
                <w:rFonts w:ascii="Times New Roman" w:hAnsi="Times New Roman" w:cs="Times New Roman"/>
                <w:noProof/>
              </w:rPr>
              <w:t>2.4 Inter-organisational Knowledge Exchange (IOKE)</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_Toc133252115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34</w:t>
            </w:r>
            <w:r w:rsidR="0073180E" w:rsidRPr="00F153F6">
              <w:rPr>
                <w:rFonts w:ascii="Times New Roman" w:hAnsi="Times New Roman" w:cs="Times New Roman"/>
                <w:noProof/>
                <w:webHidden/>
              </w:rPr>
              <w:fldChar w:fldCharType="end"/>
            </w:r>
          </w:hyperlink>
        </w:p>
        <w:p w14:paraId="01CCBCE8" w14:textId="208A52FA" w:rsidR="0073180E" w:rsidRPr="00F153F6" w:rsidRDefault="00000000">
          <w:pPr>
            <w:pStyle w:val="TOC3"/>
            <w:tabs>
              <w:tab w:val="right" w:leader="dot" w:pos="9016"/>
            </w:tabs>
            <w:rPr>
              <w:rFonts w:ascii="Times New Roman" w:eastAsiaTheme="minorEastAsia" w:hAnsi="Times New Roman" w:cs="Times New Roman"/>
              <w:noProof/>
            </w:rPr>
          </w:pPr>
          <w:hyperlink w:anchor="_Toc133252116" w:history="1">
            <w:r w:rsidR="0073180E" w:rsidRPr="00F153F6">
              <w:rPr>
                <w:rStyle w:val="Hyperlink"/>
                <w:rFonts w:ascii="Times New Roman" w:hAnsi="Times New Roman" w:cs="Times New Roman"/>
                <w:noProof/>
              </w:rPr>
              <w:t>2.4.1 Inter-organisational Relationships and Collaboration</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_Toc133252116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34</w:t>
            </w:r>
            <w:r w:rsidR="0073180E" w:rsidRPr="00F153F6">
              <w:rPr>
                <w:rFonts w:ascii="Times New Roman" w:hAnsi="Times New Roman" w:cs="Times New Roman"/>
                <w:noProof/>
                <w:webHidden/>
              </w:rPr>
              <w:fldChar w:fldCharType="end"/>
            </w:r>
          </w:hyperlink>
        </w:p>
        <w:p w14:paraId="2677C22F" w14:textId="568E4E3F" w:rsidR="0073180E" w:rsidRPr="00F153F6" w:rsidRDefault="00000000">
          <w:pPr>
            <w:pStyle w:val="TOC3"/>
            <w:tabs>
              <w:tab w:val="right" w:leader="dot" w:pos="9016"/>
            </w:tabs>
            <w:rPr>
              <w:rFonts w:ascii="Times New Roman" w:eastAsiaTheme="minorEastAsia" w:hAnsi="Times New Roman" w:cs="Times New Roman"/>
              <w:noProof/>
            </w:rPr>
          </w:pPr>
          <w:hyperlink w:anchor="_Toc133252117" w:history="1">
            <w:r w:rsidR="0073180E" w:rsidRPr="00F153F6">
              <w:rPr>
                <w:rStyle w:val="Hyperlink"/>
                <w:rFonts w:ascii="Times New Roman" w:hAnsi="Times New Roman" w:cs="Times New Roman"/>
                <w:noProof/>
              </w:rPr>
              <w:t>2.4.2 Inter-organisational Knowledge Exchange</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_Toc133252117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38</w:t>
            </w:r>
            <w:r w:rsidR="0073180E" w:rsidRPr="00F153F6">
              <w:rPr>
                <w:rFonts w:ascii="Times New Roman" w:hAnsi="Times New Roman" w:cs="Times New Roman"/>
                <w:noProof/>
                <w:webHidden/>
              </w:rPr>
              <w:fldChar w:fldCharType="end"/>
            </w:r>
          </w:hyperlink>
        </w:p>
        <w:p w14:paraId="5B615DDE" w14:textId="4ECC804D" w:rsidR="0073180E" w:rsidRPr="00F153F6" w:rsidRDefault="00000000" w:rsidP="00AC2626">
          <w:pPr>
            <w:pStyle w:val="TOC2"/>
            <w:rPr>
              <w:rFonts w:ascii="Times New Roman" w:eastAsiaTheme="minorEastAsia" w:hAnsi="Times New Roman" w:cs="Times New Roman"/>
              <w:noProof/>
            </w:rPr>
          </w:pPr>
          <w:hyperlink w:anchor="_Toc133252118" w:history="1">
            <w:r w:rsidR="0073180E" w:rsidRPr="00F153F6">
              <w:rPr>
                <w:rStyle w:val="Hyperlink"/>
                <w:rFonts w:ascii="Times New Roman" w:hAnsi="Times New Roman" w:cs="Times New Roman"/>
                <w:noProof/>
              </w:rPr>
              <w:t>2.5 Conceptualising ICT in Inter-organisational Knowledge Exchange Practice</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_Toc133252118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42</w:t>
            </w:r>
            <w:r w:rsidR="0073180E" w:rsidRPr="00F153F6">
              <w:rPr>
                <w:rFonts w:ascii="Times New Roman" w:hAnsi="Times New Roman" w:cs="Times New Roman"/>
                <w:noProof/>
                <w:webHidden/>
              </w:rPr>
              <w:fldChar w:fldCharType="end"/>
            </w:r>
          </w:hyperlink>
        </w:p>
        <w:p w14:paraId="415AE17E" w14:textId="0E3B9DBA" w:rsidR="0073180E" w:rsidRPr="00F153F6" w:rsidRDefault="00000000">
          <w:pPr>
            <w:pStyle w:val="TOC3"/>
            <w:tabs>
              <w:tab w:val="right" w:leader="dot" w:pos="9016"/>
            </w:tabs>
            <w:rPr>
              <w:rFonts w:ascii="Times New Roman" w:eastAsiaTheme="minorEastAsia" w:hAnsi="Times New Roman" w:cs="Times New Roman"/>
              <w:noProof/>
            </w:rPr>
          </w:pPr>
          <w:hyperlink w:anchor="_Toc133252119" w:history="1">
            <w:r w:rsidR="0073180E" w:rsidRPr="00F153F6">
              <w:rPr>
                <w:rStyle w:val="Hyperlink"/>
                <w:rFonts w:ascii="Times New Roman" w:hAnsi="Times New Roman" w:cs="Times New Roman"/>
                <w:noProof/>
              </w:rPr>
              <w:t>2.5.1 Discrete Entity view</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_Toc133252119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43</w:t>
            </w:r>
            <w:r w:rsidR="0073180E" w:rsidRPr="00F153F6">
              <w:rPr>
                <w:rFonts w:ascii="Times New Roman" w:hAnsi="Times New Roman" w:cs="Times New Roman"/>
                <w:noProof/>
                <w:webHidden/>
              </w:rPr>
              <w:fldChar w:fldCharType="end"/>
            </w:r>
          </w:hyperlink>
        </w:p>
        <w:p w14:paraId="5689826D" w14:textId="1FB170C2" w:rsidR="0073180E" w:rsidRPr="00F153F6" w:rsidRDefault="00000000">
          <w:pPr>
            <w:pStyle w:val="TOC3"/>
            <w:tabs>
              <w:tab w:val="right" w:leader="dot" w:pos="9016"/>
            </w:tabs>
            <w:rPr>
              <w:rFonts w:ascii="Times New Roman" w:eastAsiaTheme="minorEastAsia" w:hAnsi="Times New Roman" w:cs="Times New Roman"/>
              <w:noProof/>
            </w:rPr>
          </w:pPr>
          <w:hyperlink w:anchor="_Toc133252120" w:history="1">
            <w:r w:rsidR="0073180E" w:rsidRPr="00F153F6">
              <w:rPr>
                <w:rStyle w:val="Hyperlink"/>
                <w:rFonts w:ascii="Times New Roman" w:hAnsi="Times New Roman" w:cs="Times New Roman"/>
                <w:noProof/>
              </w:rPr>
              <w:t>2.5.2 Mutually Dependent Ensemble view</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_Toc133252120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44</w:t>
            </w:r>
            <w:r w:rsidR="0073180E" w:rsidRPr="00F153F6">
              <w:rPr>
                <w:rFonts w:ascii="Times New Roman" w:hAnsi="Times New Roman" w:cs="Times New Roman"/>
                <w:noProof/>
                <w:webHidden/>
              </w:rPr>
              <w:fldChar w:fldCharType="end"/>
            </w:r>
          </w:hyperlink>
        </w:p>
        <w:p w14:paraId="745D7FC3" w14:textId="475226BF" w:rsidR="0073180E" w:rsidRPr="00F153F6" w:rsidRDefault="00000000">
          <w:pPr>
            <w:pStyle w:val="TOC3"/>
            <w:tabs>
              <w:tab w:val="right" w:leader="dot" w:pos="9016"/>
            </w:tabs>
            <w:rPr>
              <w:rFonts w:ascii="Times New Roman" w:eastAsiaTheme="minorEastAsia" w:hAnsi="Times New Roman" w:cs="Times New Roman"/>
              <w:noProof/>
            </w:rPr>
          </w:pPr>
          <w:hyperlink w:anchor="_Toc133252121" w:history="1">
            <w:r w:rsidR="0073180E" w:rsidRPr="00F153F6">
              <w:rPr>
                <w:rStyle w:val="Hyperlink"/>
                <w:rFonts w:ascii="Times New Roman" w:hAnsi="Times New Roman" w:cs="Times New Roman"/>
                <w:noProof/>
              </w:rPr>
              <w:t>2.5.3 Structure View</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_Toc133252121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44</w:t>
            </w:r>
            <w:r w:rsidR="0073180E" w:rsidRPr="00F153F6">
              <w:rPr>
                <w:rFonts w:ascii="Times New Roman" w:hAnsi="Times New Roman" w:cs="Times New Roman"/>
                <w:noProof/>
                <w:webHidden/>
              </w:rPr>
              <w:fldChar w:fldCharType="end"/>
            </w:r>
          </w:hyperlink>
        </w:p>
        <w:p w14:paraId="41FB58D2" w14:textId="558DA543" w:rsidR="0073180E" w:rsidRPr="00F153F6" w:rsidRDefault="00000000">
          <w:pPr>
            <w:pStyle w:val="TOC3"/>
            <w:tabs>
              <w:tab w:val="right" w:leader="dot" w:pos="9016"/>
            </w:tabs>
            <w:rPr>
              <w:rFonts w:ascii="Times New Roman" w:eastAsiaTheme="minorEastAsia" w:hAnsi="Times New Roman" w:cs="Times New Roman"/>
              <w:noProof/>
            </w:rPr>
          </w:pPr>
          <w:hyperlink w:anchor="_Toc133252122" w:history="1">
            <w:r w:rsidR="0073180E" w:rsidRPr="00F153F6">
              <w:rPr>
                <w:rStyle w:val="Hyperlink"/>
                <w:rFonts w:ascii="Times New Roman" w:hAnsi="Times New Roman" w:cs="Times New Roman"/>
                <w:noProof/>
              </w:rPr>
              <w:t>2.5.4 Materiality view</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_Toc133252122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45</w:t>
            </w:r>
            <w:r w:rsidR="0073180E" w:rsidRPr="00F153F6">
              <w:rPr>
                <w:rFonts w:ascii="Times New Roman" w:hAnsi="Times New Roman" w:cs="Times New Roman"/>
                <w:noProof/>
                <w:webHidden/>
              </w:rPr>
              <w:fldChar w:fldCharType="end"/>
            </w:r>
          </w:hyperlink>
        </w:p>
        <w:p w14:paraId="628B493A" w14:textId="10A43EDE" w:rsidR="0073180E" w:rsidRPr="00F153F6" w:rsidRDefault="00000000">
          <w:pPr>
            <w:pStyle w:val="TOC3"/>
            <w:tabs>
              <w:tab w:val="right" w:leader="dot" w:pos="9016"/>
            </w:tabs>
            <w:rPr>
              <w:rFonts w:ascii="Times New Roman" w:eastAsiaTheme="minorEastAsia" w:hAnsi="Times New Roman" w:cs="Times New Roman"/>
              <w:noProof/>
            </w:rPr>
          </w:pPr>
          <w:hyperlink w:anchor="_Toc133252123" w:history="1">
            <w:r w:rsidR="0073180E" w:rsidRPr="00F153F6">
              <w:rPr>
                <w:rStyle w:val="Hyperlink"/>
                <w:rFonts w:ascii="Times New Roman" w:hAnsi="Times New Roman" w:cs="Times New Roman"/>
                <w:noProof/>
              </w:rPr>
              <w:t>2.5.5 Sociomateriality view</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_Toc133252123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45</w:t>
            </w:r>
            <w:r w:rsidR="0073180E" w:rsidRPr="00F153F6">
              <w:rPr>
                <w:rFonts w:ascii="Times New Roman" w:hAnsi="Times New Roman" w:cs="Times New Roman"/>
                <w:noProof/>
                <w:webHidden/>
              </w:rPr>
              <w:fldChar w:fldCharType="end"/>
            </w:r>
          </w:hyperlink>
        </w:p>
        <w:p w14:paraId="14852737" w14:textId="1705A87F" w:rsidR="0073180E" w:rsidRPr="00F153F6" w:rsidRDefault="00000000">
          <w:pPr>
            <w:pStyle w:val="TOC3"/>
            <w:tabs>
              <w:tab w:val="right" w:leader="dot" w:pos="9016"/>
            </w:tabs>
            <w:rPr>
              <w:rFonts w:ascii="Times New Roman" w:eastAsiaTheme="minorEastAsia" w:hAnsi="Times New Roman" w:cs="Times New Roman"/>
              <w:noProof/>
            </w:rPr>
          </w:pPr>
          <w:hyperlink w:anchor="_Toc133252124" w:history="1">
            <w:r w:rsidR="0073180E" w:rsidRPr="00F153F6">
              <w:rPr>
                <w:rStyle w:val="Hyperlink"/>
                <w:rFonts w:ascii="Times New Roman" w:hAnsi="Times New Roman" w:cs="Times New Roman"/>
                <w:noProof/>
              </w:rPr>
              <w:t>2.5.6 Sociotechnical System View</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_Toc133252124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46</w:t>
            </w:r>
            <w:r w:rsidR="0073180E" w:rsidRPr="00F153F6">
              <w:rPr>
                <w:rFonts w:ascii="Times New Roman" w:hAnsi="Times New Roman" w:cs="Times New Roman"/>
                <w:noProof/>
                <w:webHidden/>
              </w:rPr>
              <w:fldChar w:fldCharType="end"/>
            </w:r>
          </w:hyperlink>
        </w:p>
        <w:p w14:paraId="533E2718" w14:textId="7AF1F9B8" w:rsidR="0073180E" w:rsidRPr="00F153F6" w:rsidRDefault="00000000">
          <w:pPr>
            <w:pStyle w:val="TOC3"/>
            <w:tabs>
              <w:tab w:val="right" w:leader="dot" w:pos="9016"/>
            </w:tabs>
            <w:rPr>
              <w:rFonts w:ascii="Times New Roman" w:eastAsiaTheme="minorEastAsia" w:hAnsi="Times New Roman" w:cs="Times New Roman"/>
              <w:noProof/>
            </w:rPr>
          </w:pPr>
          <w:hyperlink w:anchor="_Toc133252125" w:history="1">
            <w:r w:rsidR="0073180E" w:rsidRPr="00F153F6">
              <w:rPr>
                <w:rStyle w:val="Hyperlink"/>
                <w:rFonts w:ascii="Times New Roman" w:hAnsi="Times New Roman" w:cs="Times New Roman"/>
                <w:noProof/>
              </w:rPr>
              <w:t>2.5.7 Affordance View</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_Toc133252125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47</w:t>
            </w:r>
            <w:r w:rsidR="0073180E" w:rsidRPr="00F153F6">
              <w:rPr>
                <w:rFonts w:ascii="Times New Roman" w:hAnsi="Times New Roman" w:cs="Times New Roman"/>
                <w:noProof/>
                <w:webHidden/>
              </w:rPr>
              <w:fldChar w:fldCharType="end"/>
            </w:r>
          </w:hyperlink>
        </w:p>
        <w:p w14:paraId="126EB3D1" w14:textId="45BE98CA" w:rsidR="0073180E" w:rsidRPr="00F153F6" w:rsidRDefault="00000000" w:rsidP="00AC2626">
          <w:pPr>
            <w:pStyle w:val="TOC2"/>
            <w:rPr>
              <w:rFonts w:ascii="Times New Roman" w:eastAsiaTheme="minorEastAsia" w:hAnsi="Times New Roman" w:cs="Times New Roman"/>
              <w:noProof/>
            </w:rPr>
          </w:pPr>
          <w:hyperlink w:anchor="_Toc133252126" w:history="1">
            <w:r w:rsidR="0073180E" w:rsidRPr="00F153F6">
              <w:rPr>
                <w:rStyle w:val="Hyperlink"/>
                <w:rFonts w:ascii="Times New Roman" w:hAnsi="Times New Roman" w:cs="Times New Roman"/>
                <w:noProof/>
              </w:rPr>
              <w:t>2.6 ICT Impact on Inter-organisational Knowledge Exchange Practice</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_Toc133252126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48</w:t>
            </w:r>
            <w:r w:rsidR="0073180E" w:rsidRPr="00F153F6">
              <w:rPr>
                <w:rFonts w:ascii="Times New Roman" w:hAnsi="Times New Roman" w:cs="Times New Roman"/>
                <w:noProof/>
                <w:webHidden/>
              </w:rPr>
              <w:fldChar w:fldCharType="end"/>
            </w:r>
          </w:hyperlink>
        </w:p>
        <w:p w14:paraId="3BF50236" w14:textId="262F097C" w:rsidR="0073180E" w:rsidRPr="00F153F6" w:rsidRDefault="00000000">
          <w:pPr>
            <w:pStyle w:val="TOC3"/>
            <w:tabs>
              <w:tab w:val="right" w:leader="dot" w:pos="9016"/>
            </w:tabs>
            <w:rPr>
              <w:rFonts w:ascii="Times New Roman" w:eastAsiaTheme="minorEastAsia" w:hAnsi="Times New Roman" w:cs="Times New Roman"/>
              <w:noProof/>
            </w:rPr>
          </w:pPr>
          <w:hyperlink w:anchor="_Toc133252127" w:history="1">
            <w:r w:rsidR="0073180E" w:rsidRPr="00F153F6">
              <w:rPr>
                <w:rStyle w:val="Hyperlink"/>
                <w:rFonts w:ascii="Times New Roman" w:hAnsi="Times New Roman" w:cs="Times New Roman"/>
                <w:noProof/>
              </w:rPr>
              <w:t>2.6.1 Objectivist view of ICT-enabled Knowledge Exchange</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_Toc133252127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48</w:t>
            </w:r>
            <w:r w:rsidR="0073180E" w:rsidRPr="00F153F6">
              <w:rPr>
                <w:rFonts w:ascii="Times New Roman" w:hAnsi="Times New Roman" w:cs="Times New Roman"/>
                <w:noProof/>
                <w:webHidden/>
              </w:rPr>
              <w:fldChar w:fldCharType="end"/>
            </w:r>
          </w:hyperlink>
        </w:p>
        <w:p w14:paraId="4162AEAE" w14:textId="4BC9A95B" w:rsidR="0073180E" w:rsidRPr="00F153F6" w:rsidRDefault="00000000">
          <w:pPr>
            <w:pStyle w:val="TOC3"/>
            <w:tabs>
              <w:tab w:val="right" w:leader="dot" w:pos="9016"/>
            </w:tabs>
            <w:rPr>
              <w:rFonts w:ascii="Times New Roman" w:eastAsiaTheme="minorEastAsia" w:hAnsi="Times New Roman" w:cs="Times New Roman"/>
              <w:noProof/>
            </w:rPr>
          </w:pPr>
          <w:hyperlink w:anchor="_Toc133252128" w:history="1">
            <w:r w:rsidR="0073180E" w:rsidRPr="00F153F6">
              <w:rPr>
                <w:rStyle w:val="Hyperlink"/>
                <w:rFonts w:ascii="Times New Roman" w:hAnsi="Times New Roman" w:cs="Times New Roman"/>
                <w:noProof/>
              </w:rPr>
              <w:t>2.6.2 Practice-based view of ICT-enabled Knowledge Exchange</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_Toc133252128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51</w:t>
            </w:r>
            <w:r w:rsidR="0073180E" w:rsidRPr="00F153F6">
              <w:rPr>
                <w:rFonts w:ascii="Times New Roman" w:hAnsi="Times New Roman" w:cs="Times New Roman"/>
                <w:noProof/>
                <w:webHidden/>
              </w:rPr>
              <w:fldChar w:fldCharType="end"/>
            </w:r>
          </w:hyperlink>
        </w:p>
        <w:p w14:paraId="01D4139E" w14:textId="5116D378" w:rsidR="0073180E" w:rsidRPr="00F153F6" w:rsidRDefault="00000000" w:rsidP="00AC2626">
          <w:pPr>
            <w:pStyle w:val="TOC2"/>
            <w:rPr>
              <w:rFonts w:ascii="Times New Roman" w:eastAsiaTheme="minorEastAsia" w:hAnsi="Times New Roman" w:cs="Times New Roman"/>
              <w:noProof/>
            </w:rPr>
          </w:pPr>
          <w:hyperlink w:anchor="_Toc133252129" w:history="1">
            <w:r w:rsidR="0073180E" w:rsidRPr="00F153F6">
              <w:rPr>
                <w:rStyle w:val="Hyperlink"/>
                <w:rFonts w:ascii="Times New Roman" w:hAnsi="Times New Roman" w:cs="Times New Roman"/>
                <w:noProof/>
              </w:rPr>
              <w:t>2.7 The Context of Living Labs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_Toc133252129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53</w:t>
            </w:r>
            <w:r w:rsidR="0073180E" w:rsidRPr="00F153F6">
              <w:rPr>
                <w:rFonts w:ascii="Times New Roman" w:hAnsi="Times New Roman" w:cs="Times New Roman"/>
                <w:noProof/>
                <w:webHidden/>
              </w:rPr>
              <w:fldChar w:fldCharType="end"/>
            </w:r>
          </w:hyperlink>
        </w:p>
        <w:p w14:paraId="40015609" w14:textId="419B07B4" w:rsidR="0073180E" w:rsidRPr="00F153F6" w:rsidRDefault="00000000">
          <w:pPr>
            <w:pStyle w:val="TOC3"/>
            <w:tabs>
              <w:tab w:val="right" w:leader="dot" w:pos="9016"/>
            </w:tabs>
            <w:rPr>
              <w:rFonts w:ascii="Times New Roman" w:eastAsiaTheme="minorEastAsia" w:hAnsi="Times New Roman" w:cs="Times New Roman"/>
              <w:noProof/>
            </w:rPr>
          </w:pPr>
          <w:hyperlink w:anchor="_Toc133252130" w:history="1">
            <w:r w:rsidR="0073180E" w:rsidRPr="00F153F6">
              <w:rPr>
                <w:rStyle w:val="Hyperlink"/>
                <w:rFonts w:ascii="Times New Roman" w:hAnsi="Times New Roman" w:cs="Times New Roman"/>
                <w:noProof/>
              </w:rPr>
              <w:t>2.7.1 Definitions of Living Labs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_Toc133252130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53</w:t>
            </w:r>
            <w:r w:rsidR="0073180E" w:rsidRPr="00F153F6">
              <w:rPr>
                <w:rFonts w:ascii="Times New Roman" w:hAnsi="Times New Roman" w:cs="Times New Roman"/>
                <w:noProof/>
                <w:webHidden/>
              </w:rPr>
              <w:fldChar w:fldCharType="end"/>
            </w:r>
          </w:hyperlink>
        </w:p>
        <w:p w14:paraId="0E4E759C" w14:textId="692ADE1B" w:rsidR="0073180E" w:rsidRPr="00F153F6" w:rsidRDefault="00000000">
          <w:pPr>
            <w:pStyle w:val="TOC3"/>
            <w:tabs>
              <w:tab w:val="right" w:leader="dot" w:pos="9016"/>
            </w:tabs>
            <w:rPr>
              <w:rFonts w:ascii="Times New Roman" w:eastAsiaTheme="minorEastAsia" w:hAnsi="Times New Roman" w:cs="Times New Roman"/>
              <w:noProof/>
            </w:rPr>
          </w:pPr>
          <w:hyperlink w:anchor="_Toc133252131" w:history="1">
            <w:r w:rsidR="0073180E" w:rsidRPr="00F153F6">
              <w:rPr>
                <w:rStyle w:val="Hyperlink"/>
                <w:rFonts w:ascii="Times New Roman" w:hAnsi="Times New Roman" w:cs="Times New Roman"/>
                <w:noProof/>
              </w:rPr>
              <w:t>2.7.2 The Characteristics of Living Labs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_Toc133252131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56</w:t>
            </w:r>
            <w:r w:rsidR="0073180E" w:rsidRPr="00F153F6">
              <w:rPr>
                <w:rFonts w:ascii="Times New Roman" w:hAnsi="Times New Roman" w:cs="Times New Roman"/>
                <w:noProof/>
                <w:webHidden/>
              </w:rPr>
              <w:fldChar w:fldCharType="end"/>
            </w:r>
          </w:hyperlink>
        </w:p>
        <w:p w14:paraId="7302A016" w14:textId="066895B3" w:rsidR="0073180E" w:rsidRPr="00F153F6" w:rsidRDefault="00000000">
          <w:pPr>
            <w:pStyle w:val="TOC3"/>
            <w:tabs>
              <w:tab w:val="right" w:leader="dot" w:pos="9016"/>
            </w:tabs>
            <w:rPr>
              <w:rFonts w:ascii="Times New Roman" w:eastAsiaTheme="minorEastAsia" w:hAnsi="Times New Roman" w:cs="Times New Roman"/>
              <w:noProof/>
            </w:rPr>
          </w:pPr>
          <w:hyperlink w:anchor="_Toc133252132" w:history="1">
            <w:r w:rsidR="0073180E" w:rsidRPr="00F153F6">
              <w:rPr>
                <w:rStyle w:val="Hyperlink"/>
                <w:rFonts w:ascii="Times New Roman" w:hAnsi="Times New Roman" w:cs="Times New Roman"/>
                <w:noProof/>
              </w:rPr>
              <w:t>2.7.3 Defining Living Labs as the Context</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_Toc133252132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59</w:t>
            </w:r>
            <w:r w:rsidR="0073180E" w:rsidRPr="00F153F6">
              <w:rPr>
                <w:rFonts w:ascii="Times New Roman" w:hAnsi="Times New Roman" w:cs="Times New Roman"/>
                <w:noProof/>
                <w:webHidden/>
              </w:rPr>
              <w:fldChar w:fldCharType="end"/>
            </w:r>
          </w:hyperlink>
        </w:p>
        <w:p w14:paraId="46C45198" w14:textId="61F0059D" w:rsidR="0073180E" w:rsidRPr="00F153F6" w:rsidRDefault="00000000">
          <w:pPr>
            <w:pStyle w:val="TOC3"/>
            <w:tabs>
              <w:tab w:val="right" w:leader="dot" w:pos="9016"/>
            </w:tabs>
            <w:rPr>
              <w:rFonts w:ascii="Times New Roman" w:eastAsiaTheme="minorEastAsia" w:hAnsi="Times New Roman" w:cs="Times New Roman"/>
              <w:noProof/>
            </w:rPr>
          </w:pPr>
          <w:hyperlink w:anchor="_Toc133252133" w:history="1">
            <w:r w:rsidR="0073180E" w:rsidRPr="00F153F6">
              <w:rPr>
                <w:rStyle w:val="Hyperlink"/>
                <w:rFonts w:ascii="Times New Roman" w:hAnsi="Times New Roman" w:cs="Times New Roman"/>
                <w:noProof/>
              </w:rPr>
              <w:t>2.7.4 Living Labs in Europe</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_Toc133252133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60</w:t>
            </w:r>
            <w:r w:rsidR="0073180E" w:rsidRPr="00F153F6">
              <w:rPr>
                <w:rFonts w:ascii="Times New Roman" w:hAnsi="Times New Roman" w:cs="Times New Roman"/>
                <w:noProof/>
                <w:webHidden/>
              </w:rPr>
              <w:fldChar w:fldCharType="end"/>
            </w:r>
          </w:hyperlink>
        </w:p>
        <w:p w14:paraId="747B19BE" w14:textId="29181170" w:rsidR="0073180E" w:rsidRPr="00F153F6" w:rsidRDefault="00000000">
          <w:pPr>
            <w:pStyle w:val="TOC3"/>
            <w:tabs>
              <w:tab w:val="right" w:leader="dot" w:pos="9016"/>
            </w:tabs>
            <w:rPr>
              <w:rFonts w:ascii="Times New Roman" w:eastAsiaTheme="minorEastAsia" w:hAnsi="Times New Roman" w:cs="Times New Roman"/>
              <w:noProof/>
            </w:rPr>
          </w:pPr>
          <w:hyperlink w:anchor="_Toc133252134" w:history="1">
            <w:r w:rsidR="0073180E" w:rsidRPr="00F153F6">
              <w:rPr>
                <w:rStyle w:val="Hyperlink"/>
                <w:rFonts w:ascii="Times New Roman" w:hAnsi="Times New Roman" w:cs="Times New Roman"/>
                <w:noProof/>
              </w:rPr>
              <w:t>2.7.5 The Use of ICT in Living Labs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_Toc133252134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62</w:t>
            </w:r>
            <w:r w:rsidR="0073180E" w:rsidRPr="00F153F6">
              <w:rPr>
                <w:rFonts w:ascii="Times New Roman" w:hAnsi="Times New Roman" w:cs="Times New Roman"/>
                <w:noProof/>
                <w:webHidden/>
              </w:rPr>
              <w:fldChar w:fldCharType="end"/>
            </w:r>
          </w:hyperlink>
        </w:p>
        <w:p w14:paraId="319792F3" w14:textId="2AE869B8" w:rsidR="0073180E" w:rsidRPr="00F153F6" w:rsidRDefault="00000000" w:rsidP="00AC2626">
          <w:pPr>
            <w:pStyle w:val="TOC2"/>
            <w:rPr>
              <w:rFonts w:ascii="Times New Roman" w:eastAsiaTheme="minorEastAsia" w:hAnsi="Times New Roman" w:cs="Times New Roman"/>
              <w:noProof/>
            </w:rPr>
          </w:pPr>
          <w:hyperlink w:anchor="_Toc133252135" w:history="1">
            <w:r w:rsidR="0073180E" w:rsidRPr="00F153F6">
              <w:rPr>
                <w:rStyle w:val="Hyperlink"/>
                <w:rFonts w:ascii="Times New Roman" w:hAnsi="Times New Roman" w:cs="Times New Roman"/>
                <w:noProof/>
              </w:rPr>
              <w:t>2.8 Literature Review Summary</w:t>
            </w:r>
            <w:r w:rsidR="00311590" w:rsidRPr="00F153F6">
              <w:rPr>
                <w:rStyle w:val="Hyperlink"/>
                <w:rFonts w:ascii="Times New Roman" w:hAnsi="Times New Roman" w:cs="Times New Roman"/>
                <w:noProof/>
              </w:rPr>
              <w:t xml:space="preserve"> and Implications for Research</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_Toc133252135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63</w:t>
            </w:r>
            <w:r w:rsidR="0073180E" w:rsidRPr="00F153F6">
              <w:rPr>
                <w:rFonts w:ascii="Times New Roman" w:hAnsi="Times New Roman" w:cs="Times New Roman"/>
                <w:noProof/>
                <w:webHidden/>
              </w:rPr>
              <w:fldChar w:fldCharType="end"/>
            </w:r>
          </w:hyperlink>
        </w:p>
        <w:p w14:paraId="1EED30BF" w14:textId="27668167" w:rsidR="0073180E" w:rsidRPr="00F153F6" w:rsidRDefault="00000000">
          <w:pPr>
            <w:pStyle w:val="TOC1"/>
            <w:rPr>
              <w:rFonts w:ascii="Times New Roman" w:eastAsiaTheme="minorEastAsia" w:hAnsi="Times New Roman" w:cs="Times New Roman"/>
              <w:noProof/>
            </w:rPr>
          </w:pPr>
          <w:hyperlink w:anchor="_Toc133252136" w:history="1">
            <w:r w:rsidR="0073180E" w:rsidRPr="00F153F6">
              <w:rPr>
                <w:rStyle w:val="Hyperlink"/>
                <w:rFonts w:ascii="Times New Roman" w:hAnsi="Times New Roman" w:cs="Times New Roman"/>
                <w:noProof/>
              </w:rPr>
              <w:t>CHAPTER 3   METHODOLOGY</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_Toc133252136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66</w:t>
            </w:r>
            <w:r w:rsidR="0073180E" w:rsidRPr="00F153F6">
              <w:rPr>
                <w:rFonts w:ascii="Times New Roman" w:hAnsi="Times New Roman" w:cs="Times New Roman"/>
                <w:noProof/>
                <w:webHidden/>
              </w:rPr>
              <w:fldChar w:fldCharType="end"/>
            </w:r>
          </w:hyperlink>
        </w:p>
        <w:p w14:paraId="0C73D945" w14:textId="1B848E23" w:rsidR="0073180E" w:rsidRPr="00F153F6" w:rsidRDefault="00000000" w:rsidP="00AC2626">
          <w:pPr>
            <w:pStyle w:val="TOC2"/>
            <w:rPr>
              <w:rFonts w:ascii="Times New Roman" w:eastAsiaTheme="minorEastAsia" w:hAnsi="Times New Roman" w:cs="Times New Roman"/>
              <w:noProof/>
            </w:rPr>
          </w:pPr>
          <w:hyperlink w:anchor="_Toc133252137" w:history="1">
            <w:r w:rsidR="0073180E" w:rsidRPr="00F153F6">
              <w:rPr>
                <w:rStyle w:val="Hyperlink"/>
                <w:rFonts w:ascii="Times New Roman" w:hAnsi="Times New Roman" w:cs="Times New Roman"/>
                <w:noProof/>
              </w:rPr>
              <w:t>3.1 Introduction</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_Toc133252137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66</w:t>
            </w:r>
            <w:r w:rsidR="0073180E" w:rsidRPr="00F153F6">
              <w:rPr>
                <w:rFonts w:ascii="Times New Roman" w:hAnsi="Times New Roman" w:cs="Times New Roman"/>
                <w:noProof/>
                <w:webHidden/>
              </w:rPr>
              <w:fldChar w:fldCharType="end"/>
            </w:r>
          </w:hyperlink>
        </w:p>
        <w:p w14:paraId="5362E34A" w14:textId="2E6EE142" w:rsidR="0073180E" w:rsidRPr="00F153F6" w:rsidRDefault="00000000" w:rsidP="00AC2626">
          <w:pPr>
            <w:pStyle w:val="TOC2"/>
            <w:rPr>
              <w:rFonts w:ascii="Times New Roman" w:eastAsiaTheme="minorEastAsia" w:hAnsi="Times New Roman" w:cs="Times New Roman"/>
              <w:noProof/>
            </w:rPr>
          </w:pPr>
          <w:hyperlink w:anchor="_Toc133252138" w:history="1">
            <w:r w:rsidR="0073180E" w:rsidRPr="00F153F6">
              <w:rPr>
                <w:rStyle w:val="Hyperlink"/>
                <w:rFonts w:ascii="Times New Roman" w:hAnsi="Times New Roman" w:cs="Times New Roman"/>
                <w:noProof/>
              </w:rPr>
              <w:t>3.2 Research Philosophy</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_Toc133252138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66</w:t>
            </w:r>
            <w:r w:rsidR="0073180E" w:rsidRPr="00F153F6">
              <w:rPr>
                <w:rFonts w:ascii="Times New Roman" w:hAnsi="Times New Roman" w:cs="Times New Roman"/>
                <w:noProof/>
                <w:webHidden/>
              </w:rPr>
              <w:fldChar w:fldCharType="end"/>
            </w:r>
          </w:hyperlink>
        </w:p>
        <w:p w14:paraId="13B662B4" w14:textId="23EB9B62" w:rsidR="0073180E" w:rsidRPr="00F153F6" w:rsidRDefault="00000000">
          <w:pPr>
            <w:pStyle w:val="TOC3"/>
            <w:tabs>
              <w:tab w:val="right" w:leader="dot" w:pos="9016"/>
            </w:tabs>
            <w:rPr>
              <w:rFonts w:ascii="Times New Roman" w:eastAsiaTheme="minorEastAsia" w:hAnsi="Times New Roman" w:cs="Times New Roman"/>
              <w:noProof/>
            </w:rPr>
          </w:pPr>
          <w:hyperlink w:anchor="_Toc133252139" w:history="1">
            <w:r w:rsidR="0073180E" w:rsidRPr="00F153F6">
              <w:rPr>
                <w:rStyle w:val="Hyperlink"/>
                <w:rFonts w:ascii="Times New Roman" w:hAnsi="Times New Roman" w:cs="Times New Roman"/>
                <w:noProof/>
              </w:rPr>
              <w:t>3.2.1 Philosophical Assumptions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_Toc133252139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66</w:t>
            </w:r>
            <w:r w:rsidR="0073180E" w:rsidRPr="00F153F6">
              <w:rPr>
                <w:rFonts w:ascii="Times New Roman" w:hAnsi="Times New Roman" w:cs="Times New Roman"/>
                <w:noProof/>
                <w:webHidden/>
              </w:rPr>
              <w:fldChar w:fldCharType="end"/>
            </w:r>
          </w:hyperlink>
        </w:p>
        <w:p w14:paraId="56F55E8B" w14:textId="57389537" w:rsidR="0073180E" w:rsidRPr="00F153F6" w:rsidRDefault="00000000">
          <w:pPr>
            <w:pStyle w:val="TOC3"/>
            <w:tabs>
              <w:tab w:val="right" w:leader="dot" w:pos="9016"/>
            </w:tabs>
            <w:rPr>
              <w:rFonts w:ascii="Times New Roman" w:eastAsiaTheme="minorEastAsia" w:hAnsi="Times New Roman" w:cs="Times New Roman"/>
              <w:noProof/>
            </w:rPr>
          </w:pPr>
          <w:hyperlink w:anchor="_Toc133252140" w:history="1">
            <w:r w:rsidR="0073180E" w:rsidRPr="00F153F6">
              <w:rPr>
                <w:rStyle w:val="Hyperlink"/>
                <w:rFonts w:ascii="Times New Roman" w:hAnsi="Times New Roman" w:cs="Times New Roman"/>
                <w:noProof/>
              </w:rPr>
              <w:t>3.2.2 Deductive and Inductive Research Approaches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_Toc133252140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67</w:t>
            </w:r>
            <w:r w:rsidR="0073180E" w:rsidRPr="00F153F6">
              <w:rPr>
                <w:rFonts w:ascii="Times New Roman" w:hAnsi="Times New Roman" w:cs="Times New Roman"/>
                <w:noProof/>
                <w:webHidden/>
              </w:rPr>
              <w:fldChar w:fldCharType="end"/>
            </w:r>
          </w:hyperlink>
        </w:p>
        <w:p w14:paraId="1E38DB75" w14:textId="6F95F7A3" w:rsidR="0073180E" w:rsidRPr="00F153F6" w:rsidRDefault="00000000">
          <w:pPr>
            <w:pStyle w:val="TOC3"/>
            <w:tabs>
              <w:tab w:val="right" w:leader="dot" w:pos="9016"/>
            </w:tabs>
            <w:rPr>
              <w:rFonts w:ascii="Times New Roman" w:eastAsiaTheme="minorEastAsia" w:hAnsi="Times New Roman" w:cs="Times New Roman"/>
              <w:noProof/>
            </w:rPr>
          </w:pPr>
          <w:hyperlink w:anchor="_Toc133252141" w:history="1">
            <w:r w:rsidR="0073180E" w:rsidRPr="00F153F6">
              <w:rPr>
                <w:rStyle w:val="Hyperlink"/>
                <w:rFonts w:ascii="Times New Roman" w:hAnsi="Times New Roman" w:cs="Times New Roman"/>
                <w:noProof/>
              </w:rPr>
              <w:t>3.2.3 Quantitative and Qualitative Research Approaches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_Toc133252141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69</w:t>
            </w:r>
            <w:r w:rsidR="0073180E" w:rsidRPr="00F153F6">
              <w:rPr>
                <w:rFonts w:ascii="Times New Roman" w:hAnsi="Times New Roman" w:cs="Times New Roman"/>
                <w:noProof/>
                <w:webHidden/>
              </w:rPr>
              <w:fldChar w:fldCharType="end"/>
            </w:r>
          </w:hyperlink>
        </w:p>
        <w:p w14:paraId="0647CCA2" w14:textId="7B8D3EA8" w:rsidR="0073180E" w:rsidRPr="00F153F6" w:rsidRDefault="00000000" w:rsidP="00AC2626">
          <w:pPr>
            <w:pStyle w:val="TOC2"/>
            <w:rPr>
              <w:rFonts w:ascii="Times New Roman" w:eastAsiaTheme="minorEastAsia" w:hAnsi="Times New Roman" w:cs="Times New Roman"/>
              <w:noProof/>
            </w:rPr>
          </w:pPr>
          <w:hyperlink w:anchor="_Toc133252142" w:history="1">
            <w:r w:rsidR="0073180E" w:rsidRPr="00F153F6">
              <w:rPr>
                <w:rStyle w:val="Hyperlink"/>
                <w:rFonts w:ascii="Times New Roman" w:hAnsi="Times New Roman" w:cs="Times New Roman"/>
                <w:noProof/>
              </w:rPr>
              <w:t>3.3. Research Strategies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_Toc133252142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69</w:t>
            </w:r>
            <w:r w:rsidR="0073180E" w:rsidRPr="00F153F6">
              <w:rPr>
                <w:rFonts w:ascii="Times New Roman" w:hAnsi="Times New Roman" w:cs="Times New Roman"/>
                <w:noProof/>
                <w:webHidden/>
              </w:rPr>
              <w:fldChar w:fldCharType="end"/>
            </w:r>
          </w:hyperlink>
        </w:p>
        <w:p w14:paraId="0B820E04" w14:textId="13F724B0" w:rsidR="0073180E" w:rsidRPr="00F153F6" w:rsidRDefault="00000000">
          <w:pPr>
            <w:pStyle w:val="TOC3"/>
            <w:tabs>
              <w:tab w:val="right" w:leader="dot" w:pos="9016"/>
            </w:tabs>
            <w:rPr>
              <w:rFonts w:ascii="Times New Roman" w:eastAsiaTheme="minorEastAsia" w:hAnsi="Times New Roman" w:cs="Times New Roman"/>
              <w:noProof/>
            </w:rPr>
          </w:pPr>
          <w:hyperlink w:anchor="_Toc133252143" w:history="1">
            <w:r w:rsidR="0073180E" w:rsidRPr="00F153F6">
              <w:rPr>
                <w:rStyle w:val="Hyperlink"/>
                <w:rFonts w:ascii="Times New Roman" w:hAnsi="Times New Roman" w:cs="Times New Roman"/>
                <w:noProof/>
              </w:rPr>
              <w:t>3.3.1 Overview of Qualitative Research Strategies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_Toc133252143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69</w:t>
            </w:r>
            <w:r w:rsidR="0073180E" w:rsidRPr="00F153F6">
              <w:rPr>
                <w:rFonts w:ascii="Times New Roman" w:hAnsi="Times New Roman" w:cs="Times New Roman"/>
                <w:noProof/>
                <w:webHidden/>
              </w:rPr>
              <w:fldChar w:fldCharType="end"/>
            </w:r>
          </w:hyperlink>
        </w:p>
        <w:p w14:paraId="1760548C" w14:textId="47BAFAD9" w:rsidR="0073180E" w:rsidRPr="00F153F6" w:rsidRDefault="00000000">
          <w:pPr>
            <w:pStyle w:val="TOC3"/>
            <w:tabs>
              <w:tab w:val="right" w:leader="dot" w:pos="9016"/>
            </w:tabs>
            <w:rPr>
              <w:rFonts w:ascii="Times New Roman" w:eastAsiaTheme="minorEastAsia" w:hAnsi="Times New Roman" w:cs="Times New Roman"/>
              <w:noProof/>
            </w:rPr>
          </w:pPr>
          <w:hyperlink w:anchor="_Toc133252144" w:history="1">
            <w:r w:rsidR="0073180E" w:rsidRPr="00F153F6">
              <w:rPr>
                <w:rStyle w:val="Hyperlink"/>
                <w:rFonts w:ascii="Times New Roman" w:hAnsi="Times New Roman" w:cs="Times New Roman"/>
                <w:noProof/>
              </w:rPr>
              <w:t>3.3.2 Combination of Grounded Theory, Case Study, and Archival and Documentary Research</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_Toc133252144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73</w:t>
            </w:r>
            <w:r w:rsidR="0073180E" w:rsidRPr="00F153F6">
              <w:rPr>
                <w:rFonts w:ascii="Times New Roman" w:hAnsi="Times New Roman" w:cs="Times New Roman"/>
                <w:noProof/>
                <w:webHidden/>
              </w:rPr>
              <w:fldChar w:fldCharType="end"/>
            </w:r>
          </w:hyperlink>
        </w:p>
        <w:p w14:paraId="65982EF6" w14:textId="67B25ED9" w:rsidR="0073180E" w:rsidRPr="00F153F6" w:rsidRDefault="00000000">
          <w:pPr>
            <w:pStyle w:val="TOC3"/>
            <w:tabs>
              <w:tab w:val="right" w:leader="dot" w:pos="9016"/>
            </w:tabs>
            <w:rPr>
              <w:rFonts w:ascii="Times New Roman" w:eastAsiaTheme="minorEastAsia" w:hAnsi="Times New Roman" w:cs="Times New Roman"/>
              <w:noProof/>
            </w:rPr>
          </w:pPr>
          <w:hyperlink w:anchor="_Toc133252145" w:history="1">
            <w:r w:rsidR="0073180E" w:rsidRPr="00F153F6">
              <w:rPr>
                <w:rStyle w:val="Hyperlink"/>
                <w:rFonts w:ascii="Times New Roman" w:hAnsi="Times New Roman" w:cs="Times New Roman"/>
                <w:noProof/>
              </w:rPr>
              <w:t>3.3.3 Summary</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_Toc133252145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78</w:t>
            </w:r>
            <w:r w:rsidR="0073180E" w:rsidRPr="00F153F6">
              <w:rPr>
                <w:rFonts w:ascii="Times New Roman" w:hAnsi="Times New Roman" w:cs="Times New Roman"/>
                <w:noProof/>
                <w:webHidden/>
              </w:rPr>
              <w:fldChar w:fldCharType="end"/>
            </w:r>
          </w:hyperlink>
        </w:p>
        <w:p w14:paraId="1A4E84BC" w14:textId="1EC05B8E" w:rsidR="0073180E" w:rsidRPr="00F153F6" w:rsidRDefault="00000000" w:rsidP="00AC2626">
          <w:pPr>
            <w:pStyle w:val="TOC2"/>
            <w:rPr>
              <w:rFonts w:ascii="Times New Roman" w:eastAsiaTheme="minorEastAsia" w:hAnsi="Times New Roman" w:cs="Times New Roman"/>
              <w:noProof/>
            </w:rPr>
          </w:pPr>
          <w:hyperlink w:anchor="_Toc133252146" w:history="1">
            <w:r w:rsidR="0073180E" w:rsidRPr="00F153F6">
              <w:rPr>
                <w:rStyle w:val="Hyperlink"/>
                <w:rFonts w:ascii="Times New Roman" w:hAnsi="Times New Roman" w:cs="Times New Roman"/>
                <w:noProof/>
              </w:rPr>
              <w:t>3.4 Research Design</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_Toc133252146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78</w:t>
            </w:r>
            <w:r w:rsidR="0073180E" w:rsidRPr="00F153F6">
              <w:rPr>
                <w:rFonts w:ascii="Times New Roman" w:hAnsi="Times New Roman" w:cs="Times New Roman"/>
                <w:noProof/>
                <w:webHidden/>
              </w:rPr>
              <w:fldChar w:fldCharType="end"/>
            </w:r>
          </w:hyperlink>
        </w:p>
        <w:p w14:paraId="5146F351" w14:textId="329059A8" w:rsidR="0073180E" w:rsidRPr="00F153F6" w:rsidRDefault="00000000">
          <w:pPr>
            <w:pStyle w:val="TOC3"/>
            <w:tabs>
              <w:tab w:val="right" w:leader="dot" w:pos="9016"/>
            </w:tabs>
            <w:rPr>
              <w:rFonts w:ascii="Times New Roman" w:eastAsiaTheme="minorEastAsia" w:hAnsi="Times New Roman" w:cs="Times New Roman"/>
              <w:noProof/>
            </w:rPr>
          </w:pPr>
          <w:hyperlink w:anchor="_Toc133252147" w:history="1">
            <w:r w:rsidR="0073180E" w:rsidRPr="00F153F6">
              <w:rPr>
                <w:rStyle w:val="Hyperlink"/>
                <w:rFonts w:ascii="Times New Roman" w:hAnsi="Times New Roman" w:cs="Times New Roman"/>
                <w:noProof/>
              </w:rPr>
              <w:t>3.4.1 Theoretical Foundation Exploration</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_Toc133252147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78</w:t>
            </w:r>
            <w:r w:rsidR="0073180E" w:rsidRPr="00F153F6">
              <w:rPr>
                <w:rFonts w:ascii="Times New Roman" w:hAnsi="Times New Roman" w:cs="Times New Roman"/>
                <w:noProof/>
                <w:webHidden/>
              </w:rPr>
              <w:fldChar w:fldCharType="end"/>
            </w:r>
          </w:hyperlink>
        </w:p>
        <w:p w14:paraId="29F14E28" w14:textId="46ABC155" w:rsidR="0073180E" w:rsidRPr="00F153F6" w:rsidRDefault="00000000">
          <w:pPr>
            <w:pStyle w:val="TOC3"/>
            <w:tabs>
              <w:tab w:val="right" w:leader="dot" w:pos="9016"/>
            </w:tabs>
            <w:rPr>
              <w:rFonts w:ascii="Times New Roman" w:eastAsiaTheme="minorEastAsia" w:hAnsi="Times New Roman" w:cs="Times New Roman"/>
              <w:noProof/>
            </w:rPr>
          </w:pPr>
          <w:hyperlink w:anchor="_Toc133252148" w:history="1">
            <w:r w:rsidR="0073180E" w:rsidRPr="00F153F6">
              <w:rPr>
                <w:rStyle w:val="Hyperlink"/>
                <w:rFonts w:ascii="Times New Roman" w:hAnsi="Times New Roman" w:cs="Times New Roman"/>
                <w:noProof/>
              </w:rPr>
              <w:t>3.4.2 Data Collection</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_Toc133252148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79</w:t>
            </w:r>
            <w:r w:rsidR="0073180E" w:rsidRPr="00F153F6">
              <w:rPr>
                <w:rFonts w:ascii="Times New Roman" w:hAnsi="Times New Roman" w:cs="Times New Roman"/>
                <w:noProof/>
                <w:webHidden/>
              </w:rPr>
              <w:fldChar w:fldCharType="end"/>
            </w:r>
          </w:hyperlink>
        </w:p>
        <w:p w14:paraId="2950254E" w14:textId="06C68C01" w:rsidR="0073180E" w:rsidRPr="00F153F6" w:rsidRDefault="00000000">
          <w:pPr>
            <w:pStyle w:val="TOC3"/>
            <w:tabs>
              <w:tab w:val="right" w:leader="dot" w:pos="9016"/>
            </w:tabs>
            <w:rPr>
              <w:rFonts w:ascii="Times New Roman" w:eastAsiaTheme="minorEastAsia" w:hAnsi="Times New Roman" w:cs="Times New Roman"/>
              <w:noProof/>
            </w:rPr>
          </w:pPr>
          <w:hyperlink w:anchor="_Toc133252149" w:history="1">
            <w:r w:rsidR="0073180E" w:rsidRPr="00F153F6">
              <w:rPr>
                <w:rStyle w:val="Hyperlink"/>
                <w:rFonts w:ascii="Times New Roman" w:hAnsi="Times New Roman" w:cs="Times New Roman"/>
                <w:noProof/>
              </w:rPr>
              <w:t>3.4.3 Data Analysis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_Toc133252149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88</w:t>
            </w:r>
            <w:r w:rsidR="0073180E" w:rsidRPr="00F153F6">
              <w:rPr>
                <w:rFonts w:ascii="Times New Roman" w:hAnsi="Times New Roman" w:cs="Times New Roman"/>
                <w:noProof/>
                <w:webHidden/>
              </w:rPr>
              <w:fldChar w:fldCharType="end"/>
            </w:r>
          </w:hyperlink>
        </w:p>
        <w:p w14:paraId="02B3F3D6" w14:textId="0D112E68" w:rsidR="0073180E" w:rsidRPr="00F153F6" w:rsidRDefault="00000000" w:rsidP="00AC2626">
          <w:pPr>
            <w:pStyle w:val="TOC2"/>
            <w:rPr>
              <w:rFonts w:ascii="Times New Roman" w:eastAsiaTheme="minorEastAsia" w:hAnsi="Times New Roman" w:cs="Times New Roman"/>
              <w:noProof/>
            </w:rPr>
          </w:pPr>
          <w:hyperlink w:anchor="_Toc133252150" w:history="1">
            <w:r w:rsidR="0073180E" w:rsidRPr="00F153F6">
              <w:rPr>
                <w:rStyle w:val="Hyperlink"/>
                <w:rFonts w:ascii="Times New Roman" w:hAnsi="Times New Roman" w:cs="Times New Roman"/>
                <w:noProof/>
              </w:rPr>
              <w:t>3.5 Ethical Considerations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_Toc133252150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92</w:t>
            </w:r>
            <w:r w:rsidR="0073180E" w:rsidRPr="00F153F6">
              <w:rPr>
                <w:rFonts w:ascii="Times New Roman" w:hAnsi="Times New Roman" w:cs="Times New Roman"/>
                <w:noProof/>
                <w:webHidden/>
              </w:rPr>
              <w:fldChar w:fldCharType="end"/>
            </w:r>
          </w:hyperlink>
        </w:p>
        <w:p w14:paraId="4C9E0BB1" w14:textId="556258E7" w:rsidR="0073180E" w:rsidRPr="00F153F6" w:rsidRDefault="00000000">
          <w:pPr>
            <w:pStyle w:val="TOC3"/>
            <w:tabs>
              <w:tab w:val="right" w:leader="dot" w:pos="9016"/>
            </w:tabs>
            <w:rPr>
              <w:rFonts w:ascii="Times New Roman" w:eastAsiaTheme="minorEastAsia" w:hAnsi="Times New Roman" w:cs="Times New Roman"/>
              <w:noProof/>
            </w:rPr>
          </w:pPr>
          <w:hyperlink w:anchor="_Toc133252151" w:history="1">
            <w:r w:rsidR="0073180E" w:rsidRPr="00F153F6">
              <w:rPr>
                <w:rStyle w:val="Hyperlink"/>
                <w:rFonts w:ascii="Times New Roman" w:hAnsi="Times New Roman" w:cs="Times New Roman"/>
                <w:noProof/>
              </w:rPr>
              <w:t>3.5.1 Recruiting Potential Participants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_Toc133252151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92</w:t>
            </w:r>
            <w:r w:rsidR="0073180E" w:rsidRPr="00F153F6">
              <w:rPr>
                <w:rFonts w:ascii="Times New Roman" w:hAnsi="Times New Roman" w:cs="Times New Roman"/>
                <w:noProof/>
                <w:webHidden/>
              </w:rPr>
              <w:fldChar w:fldCharType="end"/>
            </w:r>
          </w:hyperlink>
        </w:p>
        <w:p w14:paraId="663372EC" w14:textId="2CC9DC70" w:rsidR="0073180E" w:rsidRPr="00F153F6" w:rsidRDefault="00000000">
          <w:pPr>
            <w:pStyle w:val="TOC3"/>
            <w:tabs>
              <w:tab w:val="right" w:leader="dot" w:pos="9016"/>
            </w:tabs>
            <w:rPr>
              <w:rFonts w:ascii="Times New Roman" w:eastAsiaTheme="minorEastAsia" w:hAnsi="Times New Roman" w:cs="Times New Roman"/>
              <w:noProof/>
            </w:rPr>
          </w:pPr>
          <w:hyperlink w:anchor="_Toc133252152" w:history="1">
            <w:r w:rsidR="0073180E" w:rsidRPr="00F153F6">
              <w:rPr>
                <w:rStyle w:val="Hyperlink"/>
                <w:rFonts w:ascii="Times New Roman" w:hAnsi="Times New Roman" w:cs="Times New Roman"/>
                <w:noProof/>
              </w:rPr>
              <w:t>3.5.2 Data Management</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_Toc133252152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93</w:t>
            </w:r>
            <w:r w:rsidR="0073180E" w:rsidRPr="00F153F6">
              <w:rPr>
                <w:rFonts w:ascii="Times New Roman" w:hAnsi="Times New Roman" w:cs="Times New Roman"/>
                <w:noProof/>
                <w:webHidden/>
              </w:rPr>
              <w:fldChar w:fldCharType="end"/>
            </w:r>
          </w:hyperlink>
        </w:p>
        <w:p w14:paraId="5ECCAE9C" w14:textId="0B56547B" w:rsidR="0073180E" w:rsidRPr="00F153F6" w:rsidRDefault="00000000">
          <w:pPr>
            <w:pStyle w:val="TOC1"/>
            <w:rPr>
              <w:rFonts w:ascii="Times New Roman" w:eastAsiaTheme="minorEastAsia" w:hAnsi="Times New Roman" w:cs="Times New Roman"/>
              <w:noProof/>
            </w:rPr>
          </w:pPr>
          <w:hyperlink w:anchor="_Toc133252153" w:history="1">
            <w:r w:rsidR="0073180E" w:rsidRPr="00F153F6">
              <w:rPr>
                <w:rStyle w:val="Hyperlink"/>
                <w:rFonts w:ascii="Times New Roman" w:hAnsi="Times New Roman" w:cs="Times New Roman"/>
                <w:noProof/>
              </w:rPr>
              <w:t>CHAPTER 4   RESEARCH FINDINGS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_Toc133252153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95</w:t>
            </w:r>
            <w:r w:rsidR="0073180E" w:rsidRPr="00F153F6">
              <w:rPr>
                <w:rFonts w:ascii="Times New Roman" w:hAnsi="Times New Roman" w:cs="Times New Roman"/>
                <w:noProof/>
                <w:webHidden/>
              </w:rPr>
              <w:fldChar w:fldCharType="end"/>
            </w:r>
          </w:hyperlink>
        </w:p>
        <w:p w14:paraId="6D537F92" w14:textId="71C2C5A0" w:rsidR="0073180E" w:rsidRPr="00F153F6" w:rsidRDefault="00000000" w:rsidP="00AC2626">
          <w:pPr>
            <w:pStyle w:val="TOC2"/>
            <w:rPr>
              <w:rFonts w:ascii="Times New Roman" w:eastAsiaTheme="minorEastAsia" w:hAnsi="Times New Roman" w:cs="Times New Roman"/>
              <w:noProof/>
            </w:rPr>
          </w:pPr>
          <w:hyperlink w:anchor="_Toc133252154" w:history="1">
            <w:r w:rsidR="0073180E" w:rsidRPr="00F153F6">
              <w:rPr>
                <w:rStyle w:val="Hyperlink"/>
                <w:rFonts w:ascii="Times New Roman" w:hAnsi="Times New Roman" w:cs="Times New Roman"/>
                <w:noProof/>
              </w:rPr>
              <w:t>4.1 Introduction</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_Toc133252154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95</w:t>
            </w:r>
            <w:r w:rsidR="0073180E" w:rsidRPr="00F153F6">
              <w:rPr>
                <w:rFonts w:ascii="Times New Roman" w:hAnsi="Times New Roman" w:cs="Times New Roman"/>
                <w:noProof/>
                <w:webHidden/>
              </w:rPr>
              <w:fldChar w:fldCharType="end"/>
            </w:r>
          </w:hyperlink>
        </w:p>
        <w:p w14:paraId="3751E945" w14:textId="07D7E79E" w:rsidR="0073180E" w:rsidRPr="00F153F6" w:rsidRDefault="00000000">
          <w:pPr>
            <w:pStyle w:val="TOC3"/>
            <w:tabs>
              <w:tab w:val="right" w:leader="dot" w:pos="9016"/>
            </w:tabs>
            <w:rPr>
              <w:rFonts w:ascii="Times New Roman" w:eastAsiaTheme="minorEastAsia" w:hAnsi="Times New Roman" w:cs="Times New Roman"/>
              <w:noProof/>
            </w:rPr>
          </w:pPr>
          <w:hyperlink w:anchor="_Toc133252155" w:history="1">
            <w:r w:rsidR="0073180E" w:rsidRPr="00F153F6">
              <w:rPr>
                <w:rStyle w:val="Hyperlink"/>
                <w:rFonts w:ascii="Times New Roman" w:hAnsi="Times New Roman" w:cs="Times New Roman"/>
                <w:noProof/>
              </w:rPr>
              <w:t>4.1.1 Organisation of the Chapter</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_Toc133252155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95</w:t>
            </w:r>
            <w:r w:rsidR="0073180E" w:rsidRPr="00F153F6">
              <w:rPr>
                <w:rFonts w:ascii="Times New Roman" w:hAnsi="Times New Roman" w:cs="Times New Roman"/>
                <w:noProof/>
                <w:webHidden/>
              </w:rPr>
              <w:fldChar w:fldCharType="end"/>
            </w:r>
          </w:hyperlink>
        </w:p>
        <w:p w14:paraId="5C6EBED3" w14:textId="4E9F9AC1" w:rsidR="0073180E" w:rsidRPr="00F153F6" w:rsidRDefault="00000000">
          <w:pPr>
            <w:pStyle w:val="TOC3"/>
            <w:tabs>
              <w:tab w:val="right" w:leader="dot" w:pos="9016"/>
            </w:tabs>
            <w:rPr>
              <w:rFonts w:ascii="Times New Roman" w:eastAsiaTheme="minorEastAsia" w:hAnsi="Times New Roman" w:cs="Times New Roman"/>
              <w:noProof/>
            </w:rPr>
          </w:pPr>
          <w:hyperlink w:anchor="_Toc133252156" w:history="1">
            <w:r w:rsidR="0073180E" w:rsidRPr="00F153F6">
              <w:rPr>
                <w:rStyle w:val="Hyperlink"/>
                <w:rFonts w:ascii="Times New Roman" w:hAnsi="Times New Roman" w:cs="Times New Roman"/>
                <w:noProof/>
              </w:rPr>
              <w:t>4.1.2 Overview of The Findings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_Toc133252156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95</w:t>
            </w:r>
            <w:r w:rsidR="0073180E" w:rsidRPr="00F153F6">
              <w:rPr>
                <w:rFonts w:ascii="Times New Roman" w:hAnsi="Times New Roman" w:cs="Times New Roman"/>
                <w:noProof/>
                <w:webHidden/>
              </w:rPr>
              <w:fldChar w:fldCharType="end"/>
            </w:r>
          </w:hyperlink>
        </w:p>
        <w:p w14:paraId="1F9B9ECA" w14:textId="0224F017" w:rsidR="0073180E" w:rsidRPr="00F153F6" w:rsidRDefault="00000000" w:rsidP="00AC2626">
          <w:pPr>
            <w:pStyle w:val="TOC2"/>
            <w:rPr>
              <w:rFonts w:ascii="Times New Roman" w:eastAsiaTheme="minorEastAsia" w:hAnsi="Times New Roman" w:cs="Times New Roman"/>
              <w:noProof/>
            </w:rPr>
          </w:pPr>
          <w:hyperlink w:anchor="_Toc133252157" w:history="1">
            <w:r w:rsidR="0073180E" w:rsidRPr="00F153F6">
              <w:rPr>
                <w:rStyle w:val="Hyperlink"/>
                <w:rFonts w:ascii="Times New Roman" w:hAnsi="Times New Roman" w:cs="Times New Roman"/>
                <w:noProof/>
              </w:rPr>
              <w:t>4.2. Inception Stage Finding</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_Toc133252157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99</w:t>
            </w:r>
            <w:r w:rsidR="0073180E" w:rsidRPr="00F153F6">
              <w:rPr>
                <w:rFonts w:ascii="Times New Roman" w:hAnsi="Times New Roman" w:cs="Times New Roman"/>
                <w:noProof/>
                <w:webHidden/>
              </w:rPr>
              <w:fldChar w:fldCharType="end"/>
            </w:r>
          </w:hyperlink>
        </w:p>
        <w:p w14:paraId="302761B5" w14:textId="2B8E801A" w:rsidR="0073180E" w:rsidRPr="00F153F6" w:rsidRDefault="00000000">
          <w:pPr>
            <w:pStyle w:val="TOC3"/>
            <w:tabs>
              <w:tab w:val="right" w:leader="dot" w:pos="9016"/>
            </w:tabs>
            <w:rPr>
              <w:rFonts w:ascii="Times New Roman" w:eastAsiaTheme="minorEastAsia" w:hAnsi="Times New Roman" w:cs="Times New Roman"/>
              <w:noProof/>
            </w:rPr>
          </w:pPr>
          <w:hyperlink w:anchor="_Toc133252158" w:history="1">
            <w:r w:rsidR="0073180E" w:rsidRPr="00F153F6">
              <w:rPr>
                <w:rStyle w:val="Hyperlink"/>
                <w:rFonts w:ascii="Times New Roman" w:hAnsi="Times New Roman" w:cs="Times New Roman"/>
                <w:noProof/>
              </w:rPr>
              <w:t>4.2.1. Inter-connecting and ICT</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_Toc133252158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104</w:t>
            </w:r>
            <w:r w:rsidR="0073180E" w:rsidRPr="00F153F6">
              <w:rPr>
                <w:rFonts w:ascii="Times New Roman" w:hAnsi="Times New Roman" w:cs="Times New Roman"/>
                <w:noProof/>
                <w:webHidden/>
              </w:rPr>
              <w:fldChar w:fldCharType="end"/>
            </w:r>
          </w:hyperlink>
        </w:p>
        <w:p w14:paraId="71DC2AAD" w14:textId="216EBCB1" w:rsidR="0073180E" w:rsidRPr="00F153F6" w:rsidRDefault="00000000">
          <w:pPr>
            <w:pStyle w:val="TOC3"/>
            <w:tabs>
              <w:tab w:val="right" w:leader="dot" w:pos="9016"/>
            </w:tabs>
            <w:rPr>
              <w:rFonts w:ascii="Times New Roman" w:eastAsiaTheme="minorEastAsia" w:hAnsi="Times New Roman" w:cs="Times New Roman"/>
              <w:noProof/>
            </w:rPr>
          </w:pPr>
          <w:hyperlink w:anchor="_Toc133252159" w:history="1">
            <w:r w:rsidR="0073180E" w:rsidRPr="00F153F6">
              <w:rPr>
                <w:rStyle w:val="Hyperlink"/>
                <w:rFonts w:ascii="Times New Roman" w:hAnsi="Times New Roman" w:cs="Times New Roman"/>
                <w:noProof/>
              </w:rPr>
              <w:t>4.2.2. Shared Understanding and ICT</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_Toc133252159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111</w:t>
            </w:r>
            <w:r w:rsidR="0073180E" w:rsidRPr="00F153F6">
              <w:rPr>
                <w:rFonts w:ascii="Times New Roman" w:hAnsi="Times New Roman" w:cs="Times New Roman"/>
                <w:noProof/>
                <w:webHidden/>
              </w:rPr>
              <w:fldChar w:fldCharType="end"/>
            </w:r>
          </w:hyperlink>
        </w:p>
        <w:p w14:paraId="265E2B75" w14:textId="314B4600" w:rsidR="0073180E" w:rsidRPr="00F153F6" w:rsidRDefault="00000000">
          <w:pPr>
            <w:pStyle w:val="TOC3"/>
            <w:tabs>
              <w:tab w:val="right" w:leader="dot" w:pos="9016"/>
            </w:tabs>
            <w:rPr>
              <w:rFonts w:ascii="Times New Roman" w:eastAsiaTheme="minorEastAsia" w:hAnsi="Times New Roman" w:cs="Times New Roman"/>
              <w:noProof/>
            </w:rPr>
          </w:pPr>
          <w:hyperlink w:anchor="_Toc133252160" w:history="1">
            <w:r w:rsidR="0073180E" w:rsidRPr="00F153F6">
              <w:rPr>
                <w:rStyle w:val="Hyperlink"/>
                <w:rFonts w:ascii="Times New Roman" w:hAnsi="Times New Roman" w:cs="Times New Roman"/>
                <w:noProof/>
              </w:rPr>
              <w:t>4.2.3. Interactive Commenting and ICT</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_Toc133252160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115</w:t>
            </w:r>
            <w:r w:rsidR="0073180E" w:rsidRPr="00F153F6">
              <w:rPr>
                <w:rFonts w:ascii="Times New Roman" w:hAnsi="Times New Roman" w:cs="Times New Roman"/>
                <w:noProof/>
                <w:webHidden/>
              </w:rPr>
              <w:fldChar w:fldCharType="end"/>
            </w:r>
          </w:hyperlink>
        </w:p>
        <w:p w14:paraId="05B5DDAE" w14:textId="01148682" w:rsidR="0073180E" w:rsidRPr="00F153F6" w:rsidRDefault="00000000">
          <w:pPr>
            <w:pStyle w:val="TOC3"/>
            <w:tabs>
              <w:tab w:val="right" w:leader="dot" w:pos="9016"/>
            </w:tabs>
            <w:rPr>
              <w:rFonts w:ascii="Times New Roman" w:eastAsiaTheme="minorEastAsia" w:hAnsi="Times New Roman" w:cs="Times New Roman"/>
              <w:noProof/>
            </w:rPr>
          </w:pPr>
          <w:hyperlink w:anchor="_Toc133252161" w:history="1">
            <w:r w:rsidR="0073180E" w:rsidRPr="00F153F6">
              <w:rPr>
                <w:rStyle w:val="Hyperlink"/>
                <w:rFonts w:ascii="Times New Roman" w:hAnsi="Times New Roman" w:cs="Times New Roman"/>
                <w:noProof/>
              </w:rPr>
              <w:t>4.2.4. Co-ordinating and ICT</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_Toc133252161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118</w:t>
            </w:r>
            <w:r w:rsidR="0073180E" w:rsidRPr="00F153F6">
              <w:rPr>
                <w:rFonts w:ascii="Times New Roman" w:hAnsi="Times New Roman" w:cs="Times New Roman"/>
                <w:noProof/>
                <w:webHidden/>
              </w:rPr>
              <w:fldChar w:fldCharType="end"/>
            </w:r>
          </w:hyperlink>
        </w:p>
        <w:p w14:paraId="2D061C34" w14:textId="42E1BDEB" w:rsidR="0073180E" w:rsidRPr="00F153F6" w:rsidRDefault="00000000" w:rsidP="00AC2626">
          <w:pPr>
            <w:pStyle w:val="TOC2"/>
            <w:rPr>
              <w:rFonts w:ascii="Times New Roman" w:eastAsiaTheme="minorEastAsia" w:hAnsi="Times New Roman" w:cs="Times New Roman"/>
              <w:noProof/>
            </w:rPr>
          </w:pPr>
          <w:hyperlink w:anchor="_Toc133252162" w:history="1">
            <w:r w:rsidR="0073180E" w:rsidRPr="00F153F6">
              <w:rPr>
                <w:rStyle w:val="Hyperlink"/>
                <w:rFonts w:ascii="Times New Roman" w:hAnsi="Times New Roman" w:cs="Times New Roman"/>
                <w:noProof/>
              </w:rPr>
              <w:t>4.3. Middle Stage Findings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_Toc133252162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122</w:t>
            </w:r>
            <w:r w:rsidR="0073180E" w:rsidRPr="00F153F6">
              <w:rPr>
                <w:rFonts w:ascii="Times New Roman" w:hAnsi="Times New Roman" w:cs="Times New Roman"/>
                <w:noProof/>
                <w:webHidden/>
              </w:rPr>
              <w:fldChar w:fldCharType="end"/>
            </w:r>
          </w:hyperlink>
        </w:p>
        <w:p w14:paraId="5E74AF03" w14:textId="57FBD116" w:rsidR="0073180E" w:rsidRPr="00F153F6" w:rsidRDefault="00000000">
          <w:pPr>
            <w:pStyle w:val="TOC3"/>
            <w:tabs>
              <w:tab w:val="right" w:leader="dot" w:pos="9016"/>
            </w:tabs>
            <w:rPr>
              <w:rFonts w:ascii="Times New Roman" w:eastAsiaTheme="minorEastAsia" w:hAnsi="Times New Roman" w:cs="Times New Roman"/>
              <w:noProof/>
            </w:rPr>
          </w:pPr>
          <w:hyperlink w:anchor="_Toc133252163" w:history="1">
            <w:r w:rsidR="0073180E" w:rsidRPr="00F153F6">
              <w:rPr>
                <w:rStyle w:val="Hyperlink"/>
                <w:rFonts w:ascii="Times New Roman" w:hAnsi="Times New Roman" w:cs="Times New Roman"/>
                <w:noProof/>
              </w:rPr>
              <w:t>4.3.1. Inter-connecting and ICT</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_Toc133252163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126</w:t>
            </w:r>
            <w:r w:rsidR="0073180E" w:rsidRPr="00F153F6">
              <w:rPr>
                <w:rFonts w:ascii="Times New Roman" w:hAnsi="Times New Roman" w:cs="Times New Roman"/>
                <w:noProof/>
                <w:webHidden/>
              </w:rPr>
              <w:fldChar w:fldCharType="end"/>
            </w:r>
          </w:hyperlink>
        </w:p>
        <w:p w14:paraId="3D6AE1CD" w14:textId="6C62F8A7" w:rsidR="0073180E" w:rsidRPr="00F153F6" w:rsidRDefault="00000000">
          <w:pPr>
            <w:pStyle w:val="TOC3"/>
            <w:tabs>
              <w:tab w:val="right" w:leader="dot" w:pos="9016"/>
            </w:tabs>
            <w:rPr>
              <w:rFonts w:ascii="Times New Roman" w:eastAsiaTheme="minorEastAsia" w:hAnsi="Times New Roman" w:cs="Times New Roman"/>
              <w:noProof/>
            </w:rPr>
          </w:pPr>
          <w:hyperlink w:anchor="_Toc133252164" w:history="1">
            <w:r w:rsidR="0073180E" w:rsidRPr="00F153F6">
              <w:rPr>
                <w:rStyle w:val="Hyperlink"/>
                <w:rFonts w:ascii="Times New Roman" w:hAnsi="Times New Roman" w:cs="Times New Roman"/>
                <w:noProof/>
              </w:rPr>
              <w:t>4.3.2. Expertise Accumulating and ICT</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_Toc133252164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131</w:t>
            </w:r>
            <w:r w:rsidR="0073180E" w:rsidRPr="00F153F6">
              <w:rPr>
                <w:rFonts w:ascii="Times New Roman" w:hAnsi="Times New Roman" w:cs="Times New Roman"/>
                <w:noProof/>
                <w:webHidden/>
              </w:rPr>
              <w:fldChar w:fldCharType="end"/>
            </w:r>
          </w:hyperlink>
        </w:p>
        <w:p w14:paraId="48655BE6" w14:textId="4BE11EAA" w:rsidR="0073180E" w:rsidRPr="00F153F6" w:rsidRDefault="00000000">
          <w:pPr>
            <w:pStyle w:val="TOC3"/>
            <w:tabs>
              <w:tab w:val="right" w:leader="dot" w:pos="9016"/>
            </w:tabs>
            <w:rPr>
              <w:rFonts w:ascii="Times New Roman" w:eastAsiaTheme="minorEastAsia" w:hAnsi="Times New Roman" w:cs="Times New Roman"/>
              <w:noProof/>
            </w:rPr>
          </w:pPr>
          <w:hyperlink w:anchor="_Toc133252165" w:history="1">
            <w:r w:rsidR="0073180E" w:rsidRPr="00F153F6">
              <w:rPr>
                <w:rStyle w:val="Hyperlink"/>
                <w:rFonts w:ascii="Times New Roman" w:hAnsi="Times New Roman" w:cs="Times New Roman"/>
                <w:noProof/>
              </w:rPr>
              <w:t>4.3.3. Collaborative Problem Solving and ICT</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_Toc133252165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139</w:t>
            </w:r>
            <w:r w:rsidR="0073180E" w:rsidRPr="00F153F6">
              <w:rPr>
                <w:rFonts w:ascii="Times New Roman" w:hAnsi="Times New Roman" w:cs="Times New Roman"/>
                <w:noProof/>
                <w:webHidden/>
              </w:rPr>
              <w:fldChar w:fldCharType="end"/>
            </w:r>
          </w:hyperlink>
        </w:p>
        <w:p w14:paraId="73836C01" w14:textId="25FBCA8A" w:rsidR="0073180E" w:rsidRPr="00F153F6" w:rsidRDefault="00000000">
          <w:pPr>
            <w:pStyle w:val="TOC3"/>
            <w:tabs>
              <w:tab w:val="right" w:leader="dot" w:pos="9016"/>
            </w:tabs>
            <w:rPr>
              <w:rFonts w:ascii="Times New Roman" w:eastAsiaTheme="minorEastAsia" w:hAnsi="Times New Roman" w:cs="Times New Roman"/>
              <w:noProof/>
            </w:rPr>
          </w:pPr>
          <w:hyperlink w:anchor="_Toc133252166" w:history="1">
            <w:r w:rsidR="0073180E" w:rsidRPr="00F153F6">
              <w:rPr>
                <w:rStyle w:val="Hyperlink"/>
                <w:rFonts w:ascii="Times New Roman" w:hAnsi="Times New Roman" w:cs="Times New Roman"/>
                <w:noProof/>
              </w:rPr>
              <w:t>4.3.4. Co-ordinating and ICT</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_Toc133252166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143</w:t>
            </w:r>
            <w:r w:rsidR="0073180E" w:rsidRPr="00F153F6">
              <w:rPr>
                <w:rFonts w:ascii="Times New Roman" w:hAnsi="Times New Roman" w:cs="Times New Roman"/>
                <w:noProof/>
                <w:webHidden/>
              </w:rPr>
              <w:fldChar w:fldCharType="end"/>
            </w:r>
          </w:hyperlink>
        </w:p>
        <w:p w14:paraId="13D36052" w14:textId="42DD2C1E" w:rsidR="0073180E" w:rsidRPr="00F153F6" w:rsidRDefault="00000000" w:rsidP="00AC2626">
          <w:pPr>
            <w:pStyle w:val="TOC2"/>
            <w:rPr>
              <w:rFonts w:ascii="Times New Roman" w:eastAsiaTheme="minorEastAsia" w:hAnsi="Times New Roman" w:cs="Times New Roman"/>
              <w:noProof/>
            </w:rPr>
          </w:pPr>
          <w:hyperlink w:anchor="_Toc133252167" w:history="1">
            <w:r w:rsidR="0073180E" w:rsidRPr="00F153F6">
              <w:rPr>
                <w:rStyle w:val="Hyperlink"/>
                <w:rFonts w:ascii="Times New Roman" w:hAnsi="Times New Roman" w:cs="Times New Roman"/>
                <w:noProof/>
              </w:rPr>
              <w:t>4.4. Completed Stage Finding</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_Toc133252167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147</w:t>
            </w:r>
            <w:r w:rsidR="0073180E" w:rsidRPr="00F153F6">
              <w:rPr>
                <w:rFonts w:ascii="Times New Roman" w:hAnsi="Times New Roman" w:cs="Times New Roman"/>
                <w:noProof/>
                <w:webHidden/>
              </w:rPr>
              <w:fldChar w:fldCharType="end"/>
            </w:r>
          </w:hyperlink>
        </w:p>
        <w:p w14:paraId="2F22EA4E" w14:textId="3348C672" w:rsidR="0073180E" w:rsidRPr="00F153F6" w:rsidRDefault="00000000">
          <w:pPr>
            <w:pStyle w:val="TOC3"/>
            <w:tabs>
              <w:tab w:val="right" w:leader="dot" w:pos="9016"/>
            </w:tabs>
            <w:rPr>
              <w:rFonts w:ascii="Times New Roman" w:eastAsiaTheme="minorEastAsia" w:hAnsi="Times New Roman" w:cs="Times New Roman"/>
              <w:noProof/>
            </w:rPr>
          </w:pPr>
          <w:hyperlink w:anchor="_Toc133252168" w:history="1">
            <w:r w:rsidR="0073180E" w:rsidRPr="00F153F6">
              <w:rPr>
                <w:rStyle w:val="Hyperlink"/>
                <w:rFonts w:ascii="Times New Roman" w:hAnsi="Times New Roman" w:cs="Times New Roman"/>
                <w:noProof/>
              </w:rPr>
              <w:t>4.4.1. Inter-connecting and ICT</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_Toc133252168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150</w:t>
            </w:r>
            <w:r w:rsidR="0073180E" w:rsidRPr="00F153F6">
              <w:rPr>
                <w:rFonts w:ascii="Times New Roman" w:hAnsi="Times New Roman" w:cs="Times New Roman"/>
                <w:noProof/>
                <w:webHidden/>
              </w:rPr>
              <w:fldChar w:fldCharType="end"/>
            </w:r>
          </w:hyperlink>
        </w:p>
        <w:p w14:paraId="698374DF" w14:textId="26D59AAF" w:rsidR="0073180E" w:rsidRPr="00F153F6" w:rsidRDefault="00000000">
          <w:pPr>
            <w:pStyle w:val="TOC3"/>
            <w:tabs>
              <w:tab w:val="right" w:leader="dot" w:pos="9016"/>
            </w:tabs>
            <w:rPr>
              <w:rFonts w:ascii="Times New Roman" w:eastAsiaTheme="minorEastAsia" w:hAnsi="Times New Roman" w:cs="Times New Roman"/>
              <w:noProof/>
            </w:rPr>
          </w:pPr>
          <w:hyperlink w:anchor="_Toc133252169" w:history="1">
            <w:r w:rsidR="0073180E" w:rsidRPr="00F153F6">
              <w:rPr>
                <w:rStyle w:val="Hyperlink"/>
                <w:rFonts w:ascii="Times New Roman" w:hAnsi="Times New Roman" w:cs="Times New Roman"/>
                <w:noProof/>
              </w:rPr>
              <w:t>4.4.2 Insights Spreading and ICT</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_Toc133252169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153</w:t>
            </w:r>
            <w:r w:rsidR="0073180E" w:rsidRPr="00F153F6">
              <w:rPr>
                <w:rFonts w:ascii="Times New Roman" w:hAnsi="Times New Roman" w:cs="Times New Roman"/>
                <w:noProof/>
                <w:webHidden/>
              </w:rPr>
              <w:fldChar w:fldCharType="end"/>
            </w:r>
          </w:hyperlink>
        </w:p>
        <w:p w14:paraId="7327743D" w14:textId="638661FC" w:rsidR="0073180E" w:rsidRPr="00F153F6" w:rsidRDefault="00000000">
          <w:pPr>
            <w:pStyle w:val="TOC3"/>
            <w:tabs>
              <w:tab w:val="right" w:leader="dot" w:pos="9016"/>
            </w:tabs>
            <w:rPr>
              <w:rFonts w:ascii="Times New Roman" w:eastAsiaTheme="minorEastAsia" w:hAnsi="Times New Roman" w:cs="Times New Roman"/>
              <w:noProof/>
            </w:rPr>
          </w:pPr>
          <w:hyperlink w:anchor="_Toc133252170" w:history="1">
            <w:r w:rsidR="0073180E" w:rsidRPr="00F153F6">
              <w:rPr>
                <w:rStyle w:val="Hyperlink"/>
                <w:rFonts w:ascii="Times New Roman" w:hAnsi="Times New Roman" w:cs="Times New Roman"/>
                <w:noProof/>
              </w:rPr>
              <w:t>4.4.3. Co-constructing and ICT</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_Toc133252170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156</w:t>
            </w:r>
            <w:r w:rsidR="0073180E" w:rsidRPr="00F153F6">
              <w:rPr>
                <w:rFonts w:ascii="Times New Roman" w:hAnsi="Times New Roman" w:cs="Times New Roman"/>
                <w:noProof/>
                <w:webHidden/>
              </w:rPr>
              <w:fldChar w:fldCharType="end"/>
            </w:r>
          </w:hyperlink>
        </w:p>
        <w:p w14:paraId="4BA33136" w14:textId="0645EB14" w:rsidR="0073180E" w:rsidRPr="00F153F6" w:rsidRDefault="00000000">
          <w:pPr>
            <w:pStyle w:val="TOC3"/>
            <w:tabs>
              <w:tab w:val="right" w:leader="dot" w:pos="9016"/>
            </w:tabs>
            <w:rPr>
              <w:rFonts w:ascii="Times New Roman" w:eastAsiaTheme="minorEastAsia" w:hAnsi="Times New Roman" w:cs="Times New Roman"/>
              <w:noProof/>
            </w:rPr>
          </w:pPr>
          <w:hyperlink w:anchor="_Toc133252171" w:history="1">
            <w:r w:rsidR="0073180E" w:rsidRPr="00F153F6">
              <w:rPr>
                <w:rStyle w:val="Hyperlink"/>
                <w:rFonts w:ascii="Times New Roman" w:hAnsi="Times New Roman" w:cs="Times New Roman"/>
                <w:noProof/>
              </w:rPr>
              <w:t>4.4.4. Co-ordinating and ICT</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_Toc133252171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158</w:t>
            </w:r>
            <w:r w:rsidR="0073180E" w:rsidRPr="00F153F6">
              <w:rPr>
                <w:rFonts w:ascii="Times New Roman" w:hAnsi="Times New Roman" w:cs="Times New Roman"/>
                <w:noProof/>
                <w:webHidden/>
              </w:rPr>
              <w:fldChar w:fldCharType="end"/>
            </w:r>
          </w:hyperlink>
        </w:p>
        <w:p w14:paraId="4EA3B191" w14:textId="3FBDF0D9" w:rsidR="0073180E" w:rsidRPr="00F153F6" w:rsidRDefault="00000000" w:rsidP="00AC2626">
          <w:pPr>
            <w:pStyle w:val="TOC2"/>
            <w:rPr>
              <w:rFonts w:ascii="Times New Roman" w:eastAsiaTheme="minorEastAsia" w:hAnsi="Times New Roman" w:cs="Times New Roman"/>
              <w:noProof/>
            </w:rPr>
          </w:pPr>
          <w:hyperlink w:anchor="_Toc133252172" w:history="1">
            <w:r w:rsidR="0073180E" w:rsidRPr="00F153F6">
              <w:rPr>
                <w:rStyle w:val="Hyperlink"/>
                <w:rFonts w:ascii="Times New Roman" w:hAnsi="Times New Roman" w:cs="Times New Roman"/>
                <w:noProof/>
              </w:rPr>
              <w:t>4.5 Cross Stage Analysis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_Toc133252172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162</w:t>
            </w:r>
            <w:r w:rsidR="0073180E" w:rsidRPr="00F153F6">
              <w:rPr>
                <w:rFonts w:ascii="Times New Roman" w:hAnsi="Times New Roman" w:cs="Times New Roman"/>
                <w:noProof/>
                <w:webHidden/>
              </w:rPr>
              <w:fldChar w:fldCharType="end"/>
            </w:r>
          </w:hyperlink>
        </w:p>
        <w:p w14:paraId="78DFF66B" w14:textId="34C82B1E" w:rsidR="0073180E" w:rsidRPr="00F153F6" w:rsidRDefault="00000000">
          <w:pPr>
            <w:pStyle w:val="TOC3"/>
            <w:tabs>
              <w:tab w:val="right" w:leader="dot" w:pos="9016"/>
            </w:tabs>
            <w:rPr>
              <w:rFonts w:ascii="Times New Roman" w:eastAsiaTheme="minorEastAsia" w:hAnsi="Times New Roman" w:cs="Times New Roman"/>
              <w:noProof/>
            </w:rPr>
          </w:pPr>
          <w:hyperlink w:anchor="_Toc133252173" w:history="1">
            <w:r w:rsidR="0073180E" w:rsidRPr="00F153F6">
              <w:rPr>
                <w:rStyle w:val="Hyperlink"/>
                <w:rFonts w:ascii="Times New Roman" w:hAnsi="Times New Roman" w:cs="Times New Roman"/>
                <w:noProof/>
              </w:rPr>
              <w:t>4.5.1 Inter-connecting as a conditional knowledgeability</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_Toc133252173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162</w:t>
            </w:r>
            <w:r w:rsidR="0073180E" w:rsidRPr="00F153F6">
              <w:rPr>
                <w:rFonts w:ascii="Times New Roman" w:hAnsi="Times New Roman" w:cs="Times New Roman"/>
                <w:noProof/>
                <w:webHidden/>
              </w:rPr>
              <w:fldChar w:fldCharType="end"/>
            </w:r>
          </w:hyperlink>
        </w:p>
        <w:p w14:paraId="42FD528B" w14:textId="0B3CA52C" w:rsidR="0073180E" w:rsidRPr="00F153F6" w:rsidRDefault="00000000">
          <w:pPr>
            <w:pStyle w:val="TOC3"/>
            <w:tabs>
              <w:tab w:val="right" w:leader="dot" w:pos="9016"/>
            </w:tabs>
            <w:rPr>
              <w:rFonts w:ascii="Times New Roman" w:eastAsiaTheme="minorEastAsia" w:hAnsi="Times New Roman" w:cs="Times New Roman"/>
              <w:noProof/>
            </w:rPr>
          </w:pPr>
          <w:hyperlink w:anchor="_Toc133252174" w:history="1">
            <w:r w:rsidR="0073180E" w:rsidRPr="00F153F6">
              <w:rPr>
                <w:rStyle w:val="Hyperlink"/>
                <w:rFonts w:ascii="Times New Roman" w:hAnsi="Times New Roman" w:cs="Times New Roman"/>
                <w:noProof/>
              </w:rPr>
              <w:t>4.5.2 Core knowledgeability across Different Stages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_Toc133252174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164</w:t>
            </w:r>
            <w:r w:rsidR="0073180E" w:rsidRPr="00F153F6">
              <w:rPr>
                <w:rFonts w:ascii="Times New Roman" w:hAnsi="Times New Roman" w:cs="Times New Roman"/>
                <w:noProof/>
                <w:webHidden/>
              </w:rPr>
              <w:fldChar w:fldCharType="end"/>
            </w:r>
          </w:hyperlink>
        </w:p>
        <w:p w14:paraId="0B547917" w14:textId="475ED922" w:rsidR="0073180E" w:rsidRPr="00F153F6" w:rsidRDefault="00000000">
          <w:pPr>
            <w:pStyle w:val="TOC3"/>
            <w:tabs>
              <w:tab w:val="right" w:leader="dot" w:pos="9016"/>
            </w:tabs>
            <w:rPr>
              <w:rFonts w:ascii="Times New Roman" w:eastAsiaTheme="minorEastAsia" w:hAnsi="Times New Roman" w:cs="Times New Roman"/>
              <w:noProof/>
            </w:rPr>
          </w:pPr>
          <w:hyperlink w:anchor="_Toc133252175" w:history="1">
            <w:r w:rsidR="0073180E" w:rsidRPr="00F153F6">
              <w:rPr>
                <w:rStyle w:val="Hyperlink"/>
                <w:rFonts w:ascii="Times New Roman" w:hAnsi="Times New Roman" w:cs="Times New Roman"/>
                <w:noProof/>
              </w:rPr>
              <w:t>4.5.3 Resulting Knowledgeability across Different Stages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_Toc133252175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167</w:t>
            </w:r>
            <w:r w:rsidR="0073180E" w:rsidRPr="00F153F6">
              <w:rPr>
                <w:rFonts w:ascii="Times New Roman" w:hAnsi="Times New Roman" w:cs="Times New Roman"/>
                <w:noProof/>
                <w:webHidden/>
              </w:rPr>
              <w:fldChar w:fldCharType="end"/>
            </w:r>
          </w:hyperlink>
        </w:p>
        <w:p w14:paraId="42B60B9F" w14:textId="47DFF6E9" w:rsidR="0073180E" w:rsidRPr="00F153F6" w:rsidRDefault="00000000">
          <w:pPr>
            <w:pStyle w:val="TOC3"/>
            <w:tabs>
              <w:tab w:val="right" w:leader="dot" w:pos="9016"/>
            </w:tabs>
            <w:rPr>
              <w:rFonts w:ascii="Times New Roman" w:eastAsiaTheme="minorEastAsia" w:hAnsi="Times New Roman" w:cs="Times New Roman"/>
              <w:noProof/>
            </w:rPr>
          </w:pPr>
          <w:hyperlink w:anchor="_Toc133252176" w:history="1">
            <w:r w:rsidR="0073180E" w:rsidRPr="00F153F6">
              <w:rPr>
                <w:rStyle w:val="Hyperlink"/>
                <w:rFonts w:ascii="Times New Roman" w:hAnsi="Times New Roman" w:cs="Times New Roman"/>
                <w:noProof/>
              </w:rPr>
              <w:t>4.5.4 Integrated framework of ICT-based IOKE practice</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_Toc133252176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168</w:t>
            </w:r>
            <w:r w:rsidR="0073180E" w:rsidRPr="00F153F6">
              <w:rPr>
                <w:rFonts w:ascii="Times New Roman" w:hAnsi="Times New Roman" w:cs="Times New Roman"/>
                <w:noProof/>
                <w:webHidden/>
              </w:rPr>
              <w:fldChar w:fldCharType="end"/>
            </w:r>
          </w:hyperlink>
        </w:p>
        <w:p w14:paraId="5CE8A94D" w14:textId="36DAF2C0" w:rsidR="0073180E" w:rsidRPr="00F153F6" w:rsidRDefault="00000000">
          <w:pPr>
            <w:pStyle w:val="TOC1"/>
            <w:rPr>
              <w:rFonts w:ascii="Times New Roman" w:eastAsiaTheme="minorEastAsia" w:hAnsi="Times New Roman" w:cs="Times New Roman"/>
              <w:noProof/>
            </w:rPr>
          </w:pPr>
          <w:hyperlink w:anchor="_Toc133252177" w:history="1">
            <w:r w:rsidR="0073180E" w:rsidRPr="00F153F6">
              <w:rPr>
                <w:rStyle w:val="Hyperlink"/>
                <w:rFonts w:ascii="Times New Roman" w:hAnsi="Times New Roman" w:cs="Times New Roman"/>
                <w:noProof/>
              </w:rPr>
              <w:t>CHAPTER 5   DISCUSSION</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_Toc133252177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170</w:t>
            </w:r>
            <w:r w:rsidR="0073180E" w:rsidRPr="00F153F6">
              <w:rPr>
                <w:rFonts w:ascii="Times New Roman" w:hAnsi="Times New Roman" w:cs="Times New Roman"/>
                <w:noProof/>
                <w:webHidden/>
              </w:rPr>
              <w:fldChar w:fldCharType="end"/>
            </w:r>
          </w:hyperlink>
        </w:p>
        <w:p w14:paraId="64B3E74E" w14:textId="5E479F91" w:rsidR="0073180E" w:rsidRPr="00F153F6" w:rsidRDefault="00000000" w:rsidP="00AC2626">
          <w:pPr>
            <w:pStyle w:val="TOC2"/>
            <w:rPr>
              <w:rFonts w:ascii="Times New Roman" w:eastAsiaTheme="minorEastAsia" w:hAnsi="Times New Roman" w:cs="Times New Roman"/>
              <w:noProof/>
            </w:rPr>
          </w:pPr>
          <w:hyperlink w:anchor="_Toc133252178" w:history="1">
            <w:r w:rsidR="0073180E" w:rsidRPr="00F153F6">
              <w:rPr>
                <w:rStyle w:val="Hyperlink"/>
                <w:rFonts w:ascii="Times New Roman" w:hAnsi="Times New Roman" w:cs="Times New Roman"/>
                <w:noProof/>
              </w:rPr>
              <w:t>5.1 Introduction</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_Toc133252178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170</w:t>
            </w:r>
            <w:r w:rsidR="0073180E" w:rsidRPr="00F153F6">
              <w:rPr>
                <w:rFonts w:ascii="Times New Roman" w:hAnsi="Times New Roman" w:cs="Times New Roman"/>
                <w:noProof/>
                <w:webHidden/>
              </w:rPr>
              <w:fldChar w:fldCharType="end"/>
            </w:r>
          </w:hyperlink>
        </w:p>
        <w:p w14:paraId="64BD9099" w14:textId="6E664491" w:rsidR="0073180E" w:rsidRPr="00F153F6" w:rsidRDefault="00000000" w:rsidP="00AC2626">
          <w:pPr>
            <w:pStyle w:val="TOC2"/>
            <w:rPr>
              <w:rFonts w:ascii="Times New Roman" w:eastAsiaTheme="minorEastAsia" w:hAnsi="Times New Roman" w:cs="Times New Roman"/>
              <w:noProof/>
            </w:rPr>
          </w:pPr>
          <w:hyperlink w:anchor="_Toc133252179" w:history="1">
            <w:r w:rsidR="0073180E" w:rsidRPr="00F153F6">
              <w:rPr>
                <w:rStyle w:val="Hyperlink"/>
                <w:rFonts w:ascii="Times New Roman" w:hAnsi="Times New Roman" w:cs="Times New Roman"/>
                <w:noProof/>
              </w:rPr>
              <w:t>5.2 Theoretical Implications: The Stage-based Frameworks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_Toc133252179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170</w:t>
            </w:r>
            <w:r w:rsidR="0073180E" w:rsidRPr="00F153F6">
              <w:rPr>
                <w:rFonts w:ascii="Times New Roman" w:hAnsi="Times New Roman" w:cs="Times New Roman"/>
                <w:noProof/>
                <w:webHidden/>
              </w:rPr>
              <w:fldChar w:fldCharType="end"/>
            </w:r>
          </w:hyperlink>
        </w:p>
        <w:p w14:paraId="576121AF" w14:textId="7FDEB36C" w:rsidR="0073180E" w:rsidRPr="00F153F6" w:rsidRDefault="00000000">
          <w:pPr>
            <w:pStyle w:val="TOC3"/>
            <w:tabs>
              <w:tab w:val="right" w:leader="dot" w:pos="9016"/>
            </w:tabs>
            <w:rPr>
              <w:rFonts w:ascii="Times New Roman" w:eastAsiaTheme="minorEastAsia" w:hAnsi="Times New Roman" w:cs="Times New Roman"/>
              <w:noProof/>
            </w:rPr>
          </w:pPr>
          <w:hyperlink w:anchor="_Toc133252180" w:history="1">
            <w:r w:rsidR="0073180E" w:rsidRPr="00F153F6">
              <w:rPr>
                <w:rStyle w:val="Hyperlink"/>
                <w:rFonts w:ascii="Times New Roman" w:hAnsi="Times New Roman" w:cs="Times New Roman"/>
                <w:noProof/>
              </w:rPr>
              <w:t>5.2.1 The Integrated Framework</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_Toc133252180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171</w:t>
            </w:r>
            <w:r w:rsidR="0073180E" w:rsidRPr="00F153F6">
              <w:rPr>
                <w:rFonts w:ascii="Times New Roman" w:hAnsi="Times New Roman" w:cs="Times New Roman"/>
                <w:noProof/>
                <w:webHidden/>
              </w:rPr>
              <w:fldChar w:fldCharType="end"/>
            </w:r>
          </w:hyperlink>
        </w:p>
        <w:p w14:paraId="44562A30" w14:textId="04EE6C7F" w:rsidR="0073180E" w:rsidRPr="00F153F6" w:rsidRDefault="00000000">
          <w:pPr>
            <w:pStyle w:val="TOC3"/>
            <w:tabs>
              <w:tab w:val="right" w:leader="dot" w:pos="9016"/>
            </w:tabs>
            <w:rPr>
              <w:rFonts w:ascii="Times New Roman" w:eastAsiaTheme="minorEastAsia" w:hAnsi="Times New Roman" w:cs="Times New Roman"/>
              <w:noProof/>
            </w:rPr>
          </w:pPr>
          <w:hyperlink w:anchor="_Toc133252181" w:history="1">
            <w:r w:rsidR="0073180E" w:rsidRPr="00F153F6">
              <w:rPr>
                <w:rStyle w:val="Hyperlink"/>
                <w:rFonts w:ascii="Times New Roman" w:hAnsi="Times New Roman" w:cs="Times New Roman"/>
                <w:noProof/>
              </w:rPr>
              <w:t>5.2.2 Inception Stage Framework</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_Toc133252181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177</w:t>
            </w:r>
            <w:r w:rsidR="0073180E" w:rsidRPr="00F153F6">
              <w:rPr>
                <w:rFonts w:ascii="Times New Roman" w:hAnsi="Times New Roman" w:cs="Times New Roman"/>
                <w:noProof/>
                <w:webHidden/>
              </w:rPr>
              <w:fldChar w:fldCharType="end"/>
            </w:r>
          </w:hyperlink>
        </w:p>
        <w:p w14:paraId="389D57B1" w14:textId="06A0D936" w:rsidR="0073180E" w:rsidRPr="00F153F6" w:rsidRDefault="00000000">
          <w:pPr>
            <w:pStyle w:val="TOC3"/>
            <w:tabs>
              <w:tab w:val="right" w:leader="dot" w:pos="9016"/>
            </w:tabs>
            <w:rPr>
              <w:rFonts w:ascii="Times New Roman" w:eastAsiaTheme="minorEastAsia" w:hAnsi="Times New Roman" w:cs="Times New Roman"/>
              <w:noProof/>
            </w:rPr>
          </w:pPr>
          <w:hyperlink w:anchor="_Toc133252182" w:history="1">
            <w:r w:rsidR="0073180E" w:rsidRPr="00F153F6">
              <w:rPr>
                <w:rStyle w:val="Hyperlink"/>
                <w:rFonts w:ascii="Times New Roman" w:hAnsi="Times New Roman" w:cs="Times New Roman"/>
                <w:noProof/>
              </w:rPr>
              <w:t>5.2.3 Middle Stage Framework</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_Toc133252182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182</w:t>
            </w:r>
            <w:r w:rsidR="0073180E" w:rsidRPr="00F153F6">
              <w:rPr>
                <w:rFonts w:ascii="Times New Roman" w:hAnsi="Times New Roman" w:cs="Times New Roman"/>
                <w:noProof/>
                <w:webHidden/>
              </w:rPr>
              <w:fldChar w:fldCharType="end"/>
            </w:r>
          </w:hyperlink>
        </w:p>
        <w:p w14:paraId="0739FC7E" w14:textId="0F5F7FAB" w:rsidR="0073180E" w:rsidRPr="00F153F6" w:rsidRDefault="00000000">
          <w:pPr>
            <w:pStyle w:val="TOC3"/>
            <w:tabs>
              <w:tab w:val="right" w:leader="dot" w:pos="9016"/>
            </w:tabs>
            <w:rPr>
              <w:rFonts w:ascii="Times New Roman" w:eastAsiaTheme="minorEastAsia" w:hAnsi="Times New Roman" w:cs="Times New Roman"/>
              <w:noProof/>
            </w:rPr>
          </w:pPr>
          <w:hyperlink w:anchor="_Toc133252183" w:history="1">
            <w:r w:rsidR="0073180E" w:rsidRPr="00F153F6">
              <w:rPr>
                <w:rStyle w:val="Hyperlink"/>
                <w:rFonts w:ascii="Times New Roman" w:hAnsi="Times New Roman" w:cs="Times New Roman"/>
                <w:noProof/>
              </w:rPr>
              <w:t>5.2.4 Completed Stage Framework</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_Toc133252183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186</w:t>
            </w:r>
            <w:r w:rsidR="0073180E" w:rsidRPr="00F153F6">
              <w:rPr>
                <w:rFonts w:ascii="Times New Roman" w:hAnsi="Times New Roman" w:cs="Times New Roman"/>
                <w:noProof/>
                <w:webHidden/>
              </w:rPr>
              <w:fldChar w:fldCharType="end"/>
            </w:r>
          </w:hyperlink>
        </w:p>
        <w:p w14:paraId="5698236C" w14:textId="7E28C95D" w:rsidR="0073180E" w:rsidRPr="00F153F6" w:rsidRDefault="00000000" w:rsidP="00AC2626">
          <w:pPr>
            <w:pStyle w:val="TOC2"/>
            <w:rPr>
              <w:rFonts w:ascii="Times New Roman" w:eastAsiaTheme="minorEastAsia" w:hAnsi="Times New Roman" w:cs="Times New Roman"/>
              <w:noProof/>
            </w:rPr>
          </w:pPr>
          <w:hyperlink w:anchor="_Toc133252184" w:history="1">
            <w:r w:rsidR="0073180E" w:rsidRPr="00F153F6">
              <w:rPr>
                <w:rStyle w:val="Hyperlink"/>
                <w:rFonts w:ascii="Times New Roman" w:hAnsi="Times New Roman" w:cs="Times New Roman"/>
                <w:noProof/>
              </w:rPr>
              <w:t>5.3 Re-conceptualisation of ICT-based IOKE Practice</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_Toc133252184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190</w:t>
            </w:r>
            <w:r w:rsidR="0073180E" w:rsidRPr="00F153F6">
              <w:rPr>
                <w:rFonts w:ascii="Times New Roman" w:hAnsi="Times New Roman" w:cs="Times New Roman"/>
                <w:noProof/>
                <w:webHidden/>
              </w:rPr>
              <w:fldChar w:fldCharType="end"/>
            </w:r>
          </w:hyperlink>
        </w:p>
        <w:p w14:paraId="2593C22C" w14:textId="6F2550BA" w:rsidR="0073180E" w:rsidRPr="00F153F6" w:rsidRDefault="00000000">
          <w:pPr>
            <w:pStyle w:val="TOC3"/>
            <w:tabs>
              <w:tab w:val="right" w:leader="dot" w:pos="9016"/>
            </w:tabs>
            <w:rPr>
              <w:rFonts w:ascii="Times New Roman" w:eastAsiaTheme="minorEastAsia" w:hAnsi="Times New Roman" w:cs="Times New Roman"/>
              <w:noProof/>
            </w:rPr>
          </w:pPr>
          <w:hyperlink w:anchor="_Toc133252185" w:history="1">
            <w:r w:rsidR="0073180E" w:rsidRPr="00F153F6">
              <w:rPr>
                <w:rStyle w:val="Hyperlink"/>
                <w:rFonts w:ascii="Times New Roman" w:hAnsi="Times New Roman" w:cs="Times New Roman"/>
                <w:noProof/>
              </w:rPr>
              <w:t xml:space="preserve">5.3.1 The </w:t>
            </w:r>
            <w:r w:rsidR="00F4778A" w:rsidRPr="00F153F6">
              <w:rPr>
                <w:rStyle w:val="Hyperlink"/>
                <w:rFonts w:ascii="Times New Roman" w:hAnsi="Times New Roman" w:cs="Times New Roman"/>
                <w:noProof/>
              </w:rPr>
              <w:t xml:space="preserve">Evolving </w:t>
            </w:r>
            <w:r w:rsidR="0073180E" w:rsidRPr="00F153F6">
              <w:rPr>
                <w:rStyle w:val="Hyperlink"/>
                <w:rFonts w:ascii="Times New Roman" w:hAnsi="Times New Roman" w:cs="Times New Roman"/>
                <w:noProof/>
              </w:rPr>
              <w:t>Dynamic Nature of ICT-based IOKE Practice</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_Toc133252185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190</w:t>
            </w:r>
            <w:r w:rsidR="0073180E" w:rsidRPr="00F153F6">
              <w:rPr>
                <w:rFonts w:ascii="Times New Roman" w:hAnsi="Times New Roman" w:cs="Times New Roman"/>
                <w:noProof/>
                <w:webHidden/>
              </w:rPr>
              <w:fldChar w:fldCharType="end"/>
            </w:r>
          </w:hyperlink>
        </w:p>
        <w:p w14:paraId="308CE6F4" w14:textId="6F9F1955" w:rsidR="0073180E" w:rsidRPr="00F153F6" w:rsidRDefault="00000000">
          <w:pPr>
            <w:pStyle w:val="TOC3"/>
            <w:tabs>
              <w:tab w:val="right" w:leader="dot" w:pos="9016"/>
            </w:tabs>
            <w:rPr>
              <w:rFonts w:ascii="Times New Roman" w:eastAsiaTheme="minorEastAsia" w:hAnsi="Times New Roman" w:cs="Times New Roman"/>
              <w:noProof/>
            </w:rPr>
          </w:pPr>
          <w:hyperlink w:anchor="_Toc133252186" w:history="1">
            <w:r w:rsidR="0073180E" w:rsidRPr="00F153F6">
              <w:rPr>
                <w:rStyle w:val="Hyperlink"/>
                <w:rFonts w:ascii="Times New Roman" w:hAnsi="Times New Roman" w:cs="Times New Roman"/>
                <w:noProof/>
              </w:rPr>
              <w:t>5.3.2 New Characteristics of Knowledgeabilities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_Toc133252186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198</w:t>
            </w:r>
            <w:r w:rsidR="0073180E" w:rsidRPr="00F153F6">
              <w:rPr>
                <w:rFonts w:ascii="Times New Roman" w:hAnsi="Times New Roman" w:cs="Times New Roman"/>
                <w:noProof/>
                <w:webHidden/>
              </w:rPr>
              <w:fldChar w:fldCharType="end"/>
            </w:r>
          </w:hyperlink>
        </w:p>
        <w:p w14:paraId="2884F7BB" w14:textId="57499909" w:rsidR="0073180E" w:rsidRPr="00F153F6" w:rsidRDefault="00000000">
          <w:pPr>
            <w:pStyle w:val="TOC3"/>
            <w:tabs>
              <w:tab w:val="right" w:leader="dot" w:pos="9016"/>
            </w:tabs>
            <w:rPr>
              <w:rFonts w:ascii="Times New Roman" w:eastAsiaTheme="minorEastAsia" w:hAnsi="Times New Roman" w:cs="Times New Roman"/>
              <w:noProof/>
            </w:rPr>
          </w:pPr>
          <w:hyperlink w:anchor="_Toc133252187" w:history="1">
            <w:r w:rsidR="0073180E" w:rsidRPr="00F153F6">
              <w:rPr>
                <w:rStyle w:val="Hyperlink"/>
                <w:rFonts w:ascii="Times New Roman" w:hAnsi="Times New Roman" w:cs="Times New Roman"/>
                <w:noProof/>
              </w:rPr>
              <w:t>5.3.3 The Evolving Multi-Layer Context</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_Toc133252187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201</w:t>
            </w:r>
            <w:r w:rsidR="0073180E" w:rsidRPr="00F153F6">
              <w:rPr>
                <w:rFonts w:ascii="Times New Roman" w:hAnsi="Times New Roman" w:cs="Times New Roman"/>
                <w:noProof/>
                <w:webHidden/>
              </w:rPr>
              <w:fldChar w:fldCharType="end"/>
            </w:r>
          </w:hyperlink>
        </w:p>
        <w:p w14:paraId="102099A7" w14:textId="13E79EE6" w:rsidR="0073180E" w:rsidRPr="00F153F6" w:rsidRDefault="00000000">
          <w:pPr>
            <w:pStyle w:val="TOC3"/>
            <w:tabs>
              <w:tab w:val="right" w:leader="dot" w:pos="9016"/>
            </w:tabs>
            <w:rPr>
              <w:rFonts w:ascii="Times New Roman" w:eastAsiaTheme="minorEastAsia" w:hAnsi="Times New Roman" w:cs="Times New Roman"/>
              <w:noProof/>
            </w:rPr>
          </w:pPr>
          <w:hyperlink w:anchor="_Toc133252188" w:history="1">
            <w:r w:rsidR="0073180E" w:rsidRPr="00F153F6">
              <w:rPr>
                <w:rStyle w:val="Hyperlink"/>
                <w:rFonts w:ascii="Times New Roman" w:hAnsi="Times New Roman" w:cs="Times New Roman"/>
                <w:noProof/>
              </w:rPr>
              <w:t xml:space="preserve">5.3.4 Knowledge and Project </w:t>
            </w:r>
            <w:r w:rsidR="00F37C0F" w:rsidRPr="00F153F6">
              <w:rPr>
                <w:rStyle w:val="Hyperlink"/>
                <w:rFonts w:ascii="Times New Roman" w:hAnsi="Times New Roman" w:cs="Times New Roman"/>
                <w:noProof/>
              </w:rPr>
              <w:t>Coordination</w:t>
            </w:r>
            <w:r w:rsidR="0073180E" w:rsidRPr="00F153F6">
              <w:rPr>
                <w:rStyle w:val="Hyperlink"/>
                <w:rFonts w:ascii="Times New Roman" w:hAnsi="Times New Roman" w:cs="Times New Roman"/>
                <w:noProof/>
              </w:rPr>
              <w:t>: Towards an Integration</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_Toc133252188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203</w:t>
            </w:r>
            <w:r w:rsidR="0073180E" w:rsidRPr="00F153F6">
              <w:rPr>
                <w:rFonts w:ascii="Times New Roman" w:hAnsi="Times New Roman" w:cs="Times New Roman"/>
                <w:noProof/>
                <w:webHidden/>
              </w:rPr>
              <w:fldChar w:fldCharType="end"/>
            </w:r>
          </w:hyperlink>
        </w:p>
        <w:p w14:paraId="4DB3518A" w14:textId="378008C7" w:rsidR="0073180E" w:rsidRPr="00F153F6" w:rsidRDefault="00000000">
          <w:pPr>
            <w:pStyle w:val="TOC1"/>
            <w:rPr>
              <w:rFonts w:ascii="Times New Roman" w:eastAsiaTheme="minorEastAsia" w:hAnsi="Times New Roman" w:cs="Times New Roman"/>
              <w:noProof/>
            </w:rPr>
          </w:pPr>
          <w:hyperlink w:anchor="_Toc133252189" w:history="1">
            <w:r w:rsidR="0073180E" w:rsidRPr="00F153F6">
              <w:rPr>
                <w:rStyle w:val="Hyperlink"/>
                <w:rFonts w:ascii="Times New Roman" w:hAnsi="Times New Roman" w:cs="Times New Roman"/>
                <w:noProof/>
              </w:rPr>
              <w:t>CHAPTER 6   CONCLUSIONS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_Toc133252189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205</w:t>
            </w:r>
            <w:r w:rsidR="0073180E" w:rsidRPr="00F153F6">
              <w:rPr>
                <w:rFonts w:ascii="Times New Roman" w:hAnsi="Times New Roman" w:cs="Times New Roman"/>
                <w:noProof/>
                <w:webHidden/>
              </w:rPr>
              <w:fldChar w:fldCharType="end"/>
            </w:r>
          </w:hyperlink>
        </w:p>
        <w:p w14:paraId="734C0BF9" w14:textId="7808D7F3" w:rsidR="0073180E" w:rsidRPr="00F153F6" w:rsidRDefault="00000000" w:rsidP="00AC2626">
          <w:pPr>
            <w:pStyle w:val="TOC2"/>
            <w:rPr>
              <w:rFonts w:ascii="Times New Roman" w:eastAsiaTheme="minorEastAsia" w:hAnsi="Times New Roman" w:cs="Times New Roman"/>
              <w:noProof/>
            </w:rPr>
          </w:pPr>
          <w:hyperlink w:anchor="_Toc133252190" w:history="1">
            <w:r w:rsidR="0073180E" w:rsidRPr="00F153F6">
              <w:rPr>
                <w:rStyle w:val="Hyperlink"/>
                <w:rFonts w:ascii="Times New Roman" w:hAnsi="Times New Roman" w:cs="Times New Roman"/>
                <w:noProof/>
              </w:rPr>
              <w:t>6.1 Answers to Research Questions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_Toc133252190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205</w:t>
            </w:r>
            <w:r w:rsidR="0073180E" w:rsidRPr="00F153F6">
              <w:rPr>
                <w:rFonts w:ascii="Times New Roman" w:hAnsi="Times New Roman" w:cs="Times New Roman"/>
                <w:noProof/>
                <w:webHidden/>
              </w:rPr>
              <w:fldChar w:fldCharType="end"/>
            </w:r>
          </w:hyperlink>
        </w:p>
        <w:p w14:paraId="47743E6D" w14:textId="4FDDF447" w:rsidR="0073180E" w:rsidRPr="00F153F6" w:rsidRDefault="00000000" w:rsidP="00AC2626">
          <w:pPr>
            <w:pStyle w:val="TOC2"/>
            <w:rPr>
              <w:rFonts w:ascii="Times New Roman" w:eastAsiaTheme="minorEastAsia" w:hAnsi="Times New Roman" w:cs="Times New Roman"/>
              <w:noProof/>
            </w:rPr>
          </w:pPr>
          <w:hyperlink w:anchor="_Toc133252191" w:history="1">
            <w:r w:rsidR="0073180E" w:rsidRPr="00F153F6">
              <w:rPr>
                <w:rStyle w:val="Hyperlink"/>
                <w:rFonts w:ascii="Times New Roman" w:hAnsi="Times New Roman" w:cs="Times New Roman"/>
                <w:noProof/>
              </w:rPr>
              <w:t>6.2 Theoretical Contribution</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_Toc133252191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207</w:t>
            </w:r>
            <w:r w:rsidR="0073180E" w:rsidRPr="00F153F6">
              <w:rPr>
                <w:rFonts w:ascii="Times New Roman" w:hAnsi="Times New Roman" w:cs="Times New Roman"/>
                <w:noProof/>
                <w:webHidden/>
              </w:rPr>
              <w:fldChar w:fldCharType="end"/>
            </w:r>
          </w:hyperlink>
        </w:p>
        <w:p w14:paraId="518BB5E3" w14:textId="60D08B4D" w:rsidR="0073180E" w:rsidRPr="00F153F6" w:rsidRDefault="00000000" w:rsidP="00AC2626">
          <w:pPr>
            <w:pStyle w:val="TOC2"/>
            <w:rPr>
              <w:rFonts w:ascii="Times New Roman" w:eastAsiaTheme="minorEastAsia" w:hAnsi="Times New Roman" w:cs="Times New Roman"/>
              <w:noProof/>
            </w:rPr>
          </w:pPr>
          <w:hyperlink w:anchor="_Toc133252192" w:history="1">
            <w:r w:rsidR="0073180E" w:rsidRPr="00F153F6">
              <w:rPr>
                <w:rStyle w:val="Hyperlink"/>
                <w:rFonts w:ascii="Times New Roman" w:hAnsi="Times New Roman" w:cs="Times New Roman"/>
                <w:noProof/>
              </w:rPr>
              <w:t>6.3 Practical Contribution</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_Toc133252192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209</w:t>
            </w:r>
            <w:r w:rsidR="0073180E" w:rsidRPr="00F153F6">
              <w:rPr>
                <w:rFonts w:ascii="Times New Roman" w:hAnsi="Times New Roman" w:cs="Times New Roman"/>
                <w:noProof/>
                <w:webHidden/>
              </w:rPr>
              <w:fldChar w:fldCharType="end"/>
            </w:r>
          </w:hyperlink>
        </w:p>
        <w:p w14:paraId="77CD9A95" w14:textId="1709A5B4" w:rsidR="0073180E" w:rsidRPr="00F153F6" w:rsidRDefault="00000000" w:rsidP="00AC2626">
          <w:pPr>
            <w:pStyle w:val="TOC2"/>
            <w:rPr>
              <w:rFonts w:ascii="Times New Roman" w:eastAsiaTheme="minorEastAsia" w:hAnsi="Times New Roman" w:cs="Times New Roman"/>
              <w:noProof/>
            </w:rPr>
          </w:pPr>
          <w:hyperlink w:anchor="_Toc133252193" w:history="1">
            <w:r w:rsidR="0073180E" w:rsidRPr="00F153F6">
              <w:rPr>
                <w:rStyle w:val="Hyperlink"/>
                <w:rFonts w:ascii="Times New Roman" w:hAnsi="Times New Roman" w:cs="Times New Roman"/>
                <w:noProof/>
              </w:rPr>
              <w:t>6.4 Limitations and Future Research</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_Toc133252193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210</w:t>
            </w:r>
            <w:r w:rsidR="0073180E" w:rsidRPr="00F153F6">
              <w:rPr>
                <w:rFonts w:ascii="Times New Roman" w:hAnsi="Times New Roman" w:cs="Times New Roman"/>
                <w:noProof/>
                <w:webHidden/>
              </w:rPr>
              <w:fldChar w:fldCharType="end"/>
            </w:r>
          </w:hyperlink>
        </w:p>
        <w:p w14:paraId="25B02D28" w14:textId="712346A1" w:rsidR="0073180E" w:rsidRPr="00F153F6" w:rsidRDefault="00000000">
          <w:pPr>
            <w:pStyle w:val="TOC1"/>
            <w:rPr>
              <w:rFonts w:ascii="Times New Roman" w:eastAsiaTheme="minorEastAsia" w:hAnsi="Times New Roman" w:cs="Times New Roman"/>
              <w:noProof/>
            </w:rPr>
          </w:pPr>
          <w:hyperlink w:anchor="_Toc133252194" w:history="1">
            <w:r w:rsidR="0073180E" w:rsidRPr="00F153F6">
              <w:rPr>
                <w:rStyle w:val="Hyperlink"/>
                <w:rFonts w:ascii="Times New Roman" w:hAnsi="Times New Roman" w:cs="Times New Roman"/>
                <w:noProof/>
              </w:rPr>
              <w:t>APPENDINCES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_Toc133252194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212</w:t>
            </w:r>
            <w:r w:rsidR="0073180E" w:rsidRPr="00F153F6">
              <w:rPr>
                <w:rFonts w:ascii="Times New Roman" w:hAnsi="Times New Roman" w:cs="Times New Roman"/>
                <w:noProof/>
                <w:webHidden/>
              </w:rPr>
              <w:fldChar w:fldCharType="end"/>
            </w:r>
          </w:hyperlink>
        </w:p>
        <w:p w14:paraId="72C12814" w14:textId="08EF9D0B" w:rsidR="0073180E" w:rsidRPr="00F153F6" w:rsidRDefault="00000000">
          <w:pPr>
            <w:pStyle w:val="TOC1"/>
            <w:rPr>
              <w:rFonts w:ascii="Times New Roman" w:eastAsiaTheme="minorEastAsia" w:hAnsi="Times New Roman" w:cs="Times New Roman"/>
              <w:noProof/>
            </w:rPr>
          </w:pPr>
          <w:hyperlink w:anchor="_Toc133252195" w:history="1">
            <w:r w:rsidR="0073180E" w:rsidRPr="00F153F6">
              <w:rPr>
                <w:rStyle w:val="Hyperlink"/>
                <w:rFonts w:ascii="Times New Roman" w:hAnsi="Times New Roman" w:cs="Times New Roman"/>
                <w:noProof/>
              </w:rPr>
              <w:t>ABBREVIATIONS</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_Toc133252195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222</w:t>
            </w:r>
            <w:r w:rsidR="0073180E" w:rsidRPr="00F153F6">
              <w:rPr>
                <w:rFonts w:ascii="Times New Roman" w:hAnsi="Times New Roman" w:cs="Times New Roman"/>
                <w:noProof/>
                <w:webHidden/>
              </w:rPr>
              <w:fldChar w:fldCharType="end"/>
            </w:r>
          </w:hyperlink>
        </w:p>
        <w:p w14:paraId="772B6B38" w14:textId="4870BE99" w:rsidR="0073180E" w:rsidRPr="00F153F6" w:rsidRDefault="00000000">
          <w:pPr>
            <w:pStyle w:val="TOC1"/>
            <w:rPr>
              <w:rFonts w:ascii="Times New Roman" w:eastAsiaTheme="minorEastAsia" w:hAnsi="Times New Roman" w:cs="Times New Roman"/>
              <w:noProof/>
            </w:rPr>
          </w:pPr>
          <w:hyperlink w:anchor="_Toc133252196" w:history="1">
            <w:r w:rsidR="0073180E" w:rsidRPr="00F153F6">
              <w:rPr>
                <w:rStyle w:val="Hyperlink"/>
                <w:rFonts w:ascii="Times New Roman" w:hAnsi="Times New Roman" w:cs="Times New Roman"/>
                <w:noProof/>
              </w:rPr>
              <w:t>REFERENCE</w:t>
            </w:r>
            <w:r w:rsidR="0073180E" w:rsidRPr="00F153F6">
              <w:rPr>
                <w:rFonts w:ascii="Times New Roman" w:hAnsi="Times New Roman" w:cs="Times New Roman"/>
                <w:noProof/>
                <w:webHidden/>
              </w:rPr>
              <w:tab/>
            </w:r>
            <w:r w:rsidR="0073180E" w:rsidRPr="00F153F6">
              <w:rPr>
                <w:rFonts w:ascii="Times New Roman" w:hAnsi="Times New Roman" w:cs="Times New Roman"/>
                <w:noProof/>
                <w:webHidden/>
              </w:rPr>
              <w:fldChar w:fldCharType="begin"/>
            </w:r>
            <w:r w:rsidR="0073180E" w:rsidRPr="00F153F6">
              <w:rPr>
                <w:rFonts w:ascii="Times New Roman" w:hAnsi="Times New Roman" w:cs="Times New Roman"/>
                <w:noProof/>
                <w:webHidden/>
              </w:rPr>
              <w:instrText xml:space="preserve"> PAGEREF _Toc133252196 \h </w:instrText>
            </w:r>
            <w:r w:rsidR="0073180E" w:rsidRPr="00F153F6">
              <w:rPr>
                <w:rFonts w:ascii="Times New Roman" w:hAnsi="Times New Roman" w:cs="Times New Roman"/>
                <w:noProof/>
                <w:webHidden/>
              </w:rPr>
            </w:r>
            <w:r w:rsidR="0073180E" w:rsidRPr="00F153F6">
              <w:rPr>
                <w:rFonts w:ascii="Times New Roman" w:hAnsi="Times New Roman" w:cs="Times New Roman"/>
                <w:noProof/>
                <w:webHidden/>
              </w:rPr>
              <w:fldChar w:fldCharType="separate"/>
            </w:r>
            <w:r w:rsidR="002D2931" w:rsidRPr="00F153F6">
              <w:rPr>
                <w:rFonts w:ascii="Times New Roman" w:hAnsi="Times New Roman" w:cs="Times New Roman"/>
                <w:noProof/>
                <w:webHidden/>
              </w:rPr>
              <w:t>223</w:t>
            </w:r>
            <w:r w:rsidR="0073180E" w:rsidRPr="00F153F6">
              <w:rPr>
                <w:rFonts w:ascii="Times New Roman" w:hAnsi="Times New Roman" w:cs="Times New Roman"/>
                <w:noProof/>
                <w:webHidden/>
              </w:rPr>
              <w:fldChar w:fldCharType="end"/>
            </w:r>
          </w:hyperlink>
        </w:p>
        <w:p w14:paraId="51F82096" w14:textId="77777777" w:rsidR="00DA1FE5" w:rsidRPr="00F153F6" w:rsidRDefault="00633A5E" w:rsidP="00DA1FE5">
          <w:pPr>
            <w:spacing w:line="360" w:lineRule="auto"/>
            <w:jc w:val="both"/>
            <w:rPr>
              <w:rFonts w:ascii="Times New Roman" w:hAnsi="Times New Roman" w:cs="Times New Roman"/>
              <w:bCs/>
              <w:noProof/>
            </w:rPr>
          </w:pPr>
          <w:r w:rsidRPr="00F153F6">
            <w:rPr>
              <w:rFonts w:ascii="Times New Roman" w:hAnsi="Times New Roman" w:cs="Times New Roman"/>
              <w:noProof/>
            </w:rPr>
            <w:fldChar w:fldCharType="end"/>
          </w:r>
        </w:p>
      </w:sdtContent>
    </w:sdt>
    <w:bookmarkStart w:id="3" w:name="_Toc133252095" w:displacedByCustomXml="prev"/>
    <w:p w14:paraId="48114966" w14:textId="2F3CFE64" w:rsidR="00633A5E" w:rsidRPr="00F153F6" w:rsidRDefault="00721305" w:rsidP="002D2931">
      <w:pPr>
        <w:pStyle w:val="Heading1"/>
        <w:jc w:val="center"/>
        <w:rPr>
          <w:rFonts w:ascii="Times New Roman" w:hAnsi="Times New Roman" w:cs="Times New Roman"/>
          <w:b w:val="0"/>
          <w:bCs/>
          <w:noProof/>
          <w:sz w:val="44"/>
          <w:szCs w:val="44"/>
        </w:rPr>
      </w:pPr>
      <w:r w:rsidRPr="00F153F6">
        <w:rPr>
          <w:rFonts w:ascii="Times New Roman" w:hAnsi="Times New Roman" w:cs="Times New Roman"/>
          <w:b w:val="0"/>
          <w:bCs/>
          <w:sz w:val="44"/>
          <w:szCs w:val="44"/>
        </w:rPr>
        <w:lastRenderedPageBreak/>
        <w:t>LIST OF TABLES</w:t>
      </w:r>
      <w:bookmarkEnd w:id="3"/>
    </w:p>
    <w:p w14:paraId="3AEEC4D9" w14:textId="0D8D04FA" w:rsidR="008F0B10" w:rsidRPr="00F153F6" w:rsidRDefault="008F0B10" w:rsidP="008F0B10">
      <w:pPr>
        <w:pStyle w:val="TableofFigures"/>
        <w:tabs>
          <w:tab w:val="right" w:leader="dot" w:pos="9016"/>
        </w:tabs>
        <w:spacing w:line="360" w:lineRule="auto"/>
        <w:rPr>
          <w:rFonts w:ascii="Times New Roman" w:hAnsi="Times New Roman" w:cs="Times New Roman"/>
          <w:b/>
          <w:bCs/>
          <w:sz w:val="24"/>
          <w:szCs w:val="24"/>
        </w:rPr>
      </w:pPr>
      <w:r w:rsidRPr="00F153F6">
        <w:rPr>
          <w:rFonts w:ascii="Times New Roman" w:hAnsi="Times New Roman" w:cs="Times New Roman"/>
          <w:b/>
          <w:bCs/>
          <w:sz w:val="24"/>
          <w:szCs w:val="24"/>
        </w:rPr>
        <w:t>Chapter 2</w:t>
      </w:r>
    </w:p>
    <w:p w14:paraId="7548B2DE" w14:textId="457EEC80"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sz w:val="32"/>
          <w:szCs w:val="32"/>
        </w:rPr>
        <w:fldChar w:fldCharType="begin"/>
      </w:r>
      <w:r w:rsidRPr="00F153F6">
        <w:rPr>
          <w:rFonts w:ascii="Times New Roman" w:hAnsi="Times New Roman" w:cs="Times New Roman"/>
          <w:sz w:val="32"/>
          <w:szCs w:val="32"/>
        </w:rPr>
        <w:instrText xml:space="preserve"> TOC \c "Table 2." </w:instrText>
      </w:r>
      <w:r w:rsidRPr="00F153F6">
        <w:rPr>
          <w:rFonts w:ascii="Times New Roman" w:hAnsi="Times New Roman" w:cs="Times New Roman"/>
          <w:sz w:val="32"/>
          <w:szCs w:val="32"/>
        </w:rPr>
        <w:fldChar w:fldCharType="separate"/>
      </w:r>
      <w:r w:rsidRPr="00F153F6">
        <w:rPr>
          <w:rFonts w:ascii="Times New Roman" w:hAnsi="Times New Roman" w:cs="Times New Roman"/>
          <w:noProof/>
        </w:rPr>
        <w:t>Table 2. 1 Key characteristics distinguishing data, information and knowledge</w:t>
      </w:r>
      <w:r w:rsidRPr="00F153F6">
        <w:rPr>
          <w:rFonts w:ascii="Times New Roman" w:hAnsi="Times New Roman" w:cs="Times New Roman"/>
          <w:noProof/>
        </w:rPr>
        <w:tab/>
      </w:r>
      <w:r w:rsidR="00787482" w:rsidRPr="00F153F6">
        <w:rPr>
          <w:rFonts w:ascii="Times New Roman" w:hAnsi="Times New Roman" w:cs="Times New Roman"/>
          <w:noProof/>
        </w:rPr>
        <w:t>1</w:t>
      </w:r>
      <w:r w:rsidR="00BE5D0A" w:rsidRPr="00F153F6">
        <w:rPr>
          <w:rFonts w:ascii="Times New Roman" w:hAnsi="Times New Roman" w:cs="Times New Roman"/>
          <w:noProof/>
        </w:rPr>
        <w:t>8</w:t>
      </w:r>
    </w:p>
    <w:p w14:paraId="0102F107" w14:textId="77A77B02"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2. 2 Different types of knowledge</w:t>
      </w:r>
      <w:r w:rsidRPr="00F153F6">
        <w:rPr>
          <w:rFonts w:ascii="Times New Roman" w:hAnsi="Times New Roman" w:cs="Times New Roman"/>
          <w:noProof/>
        </w:rPr>
        <w:tab/>
      </w:r>
      <w:r w:rsidR="00787482" w:rsidRPr="00F153F6">
        <w:rPr>
          <w:rFonts w:ascii="Times New Roman" w:hAnsi="Times New Roman" w:cs="Times New Roman"/>
          <w:noProof/>
        </w:rPr>
        <w:t>2</w:t>
      </w:r>
      <w:r w:rsidR="00BE5D0A" w:rsidRPr="00F153F6">
        <w:rPr>
          <w:rFonts w:ascii="Times New Roman" w:hAnsi="Times New Roman" w:cs="Times New Roman"/>
          <w:noProof/>
        </w:rPr>
        <w:t>1</w:t>
      </w:r>
    </w:p>
    <w:p w14:paraId="68E54F1D" w14:textId="252BF284"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val="fr-FR" w:eastAsia="zh-CN"/>
        </w:rPr>
      </w:pPr>
      <w:r w:rsidRPr="00F153F6">
        <w:rPr>
          <w:rFonts w:ascii="Times New Roman" w:hAnsi="Times New Roman" w:cs="Times New Roman"/>
          <w:noProof/>
          <w:lang w:val="fr-FR"/>
        </w:rPr>
        <w:t>Table 2. 3</w:t>
      </w:r>
      <w:r w:rsidRPr="00F153F6">
        <w:rPr>
          <w:rFonts w:ascii="Times New Roman" w:eastAsia="Times New Roman" w:hAnsi="Times New Roman" w:cs="Times New Roman"/>
          <w:noProof/>
          <w:lang w:val="fr-FR"/>
        </w:rPr>
        <w:t xml:space="preserve"> Inter-organisational collaboration definitions</w:t>
      </w:r>
      <w:r w:rsidRPr="00F153F6">
        <w:rPr>
          <w:rFonts w:ascii="Times New Roman" w:hAnsi="Times New Roman" w:cs="Times New Roman"/>
          <w:noProof/>
          <w:lang w:val="fr-FR"/>
        </w:rPr>
        <w:tab/>
      </w:r>
      <w:r w:rsidR="00787482" w:rsidRPr="00F153F6">
        <w:rPr>
          <w:rFonts w:ascii="Times New Roman" w:hAnsi="Times New Roman" w:cs="Times New Roman"/>
          <w:noProof/>
        </w:rPr>
        <w:t>3</w:t>
      </w:r>
      <w:r w:rsidR="00BE5D0A" w:rsidRPr="00F153F6">
        <w:rPr>
          <w:rFonts w:ascii="Times New Roman" w:hAnsi="Times New Roman" w:cs="Times New Roman"/>
          <w:noProof/>
        </w:rPr>
        <w:t>6</w:t>
      </w:r>
    </w:p>
    <w:p w14:paraId="401906DE" w14:textId="08B96D91"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2. 4 Perspectives and definitions of Living Labs</w:t>
      </w:r>
      <w:r w:rsidRPr="00F153F6">
        <w:rPr>
          <w:rFonts w:ascii="Times New Roman" w:hAnsi="Times New Roman" w:cs="Times New Roman"/>
          <w:noProof/>
        </w:rPr>
        <w:tab/>
      </w:r>
      <w:r w:rsidR="00787482" w:rsidRPr="00F153F6">
        <w:rPr>
          <w:rFonts w:ascii="Times New Roman" w:hAnsi="Times New Roman" w:cs="Times New Roman"/>
          <w:noProof/>
        </w:rPr>
        <w:t>5</w:t>
      </w:r>
      <w:r w:rsidR="00BE5D0A" w:rsidRPr="00F153F6">
        <w:rPr>
          <w:rFonts w:ascii="Times New Roman" w:hAnsi="Times New Roman" w:cs="Times New Roman"/>
          <w:noProof/>
        </w:rPr>
        <w:t>3</w:t>
      </w:r>
    </w:p>
    <w:p w14:paraId="1B295734" w14:textId="2A770C17"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2. 5 Key characteristics of Living Labs</w:t>
      </w:r>
      <w:r w:rsidRPr="00F153F6">
        <w:rPr>
          <w:rFonts w:ascii="Times New Roman" w:hAnsi="Times New Roman" w:cs="Times New Roman"/>
          <w:noProof/>
        </w:rPr>
        <w:tab/>
      </w:r>
      <w:r w:rsidR="00787482" w:rsidRPr="00F153F6">
        <w:rPr>
          <w:rFonts w:ascii="Times New Roman" w:hAnsi="Times New Roman" w:cs="Times New Roman"/>
          <w:noProof/>
        </w:rPr>
        <w:t>5</w:t>
      </w:r>
      <w:r w:rsidR="00BE5D0A" w:rsidRPr="00F153F6">
        <w:rPr>
          <w:rFonts w:ascii="Times New Roman" w:hAnsi="Times New Roman" w:cs="Times New Roman"/>
          <w:noProof/>
        </w:rPr>
        <w:t>7</w:t>
      </w:r>
    </w:p>
    <w:p w14:paraId="1C033697" w14:textId="3D9CA5FE"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2. 6 ENoLL Living Labs Selection Criteria</w:t>
      </w:r>
      <w:r w:rsidRPr="00F153F6">
        <w:rPr>
          <w:rFonts w:ascii="Times New Roman" w:hAnsi="Times New Roman" w:cs="Times New Roman"/>
          <w:noProof/>
        </w:rPr>
        <w:tab/>
      </w:r>
      <w:r w:rsidR="00787482" w:rsidRPr="00F153F6">
        <w:rPr>
          <w:rFonts w:ascii="Times New Roman" w:hAnsi="Times New Roman" w:cs="Times New Roman"/>
          <w:noProof/>
        </w:rPr>
        <w:t>6</w:t>
      </w:r>
      <w:r w:rsidR="00BE5D0A" w:rsidRPr="00F153F6">
        <w:rPr>
          <w:rFonts w:ascii="Times New Roman" w:hAnsi="Times New Roman" w:cs="Times New Roman"/>
          <w:noProof/>
        </w:rPr>
        <w:t>1</w:t>
      </w:r>
    </w:p>
    <w:p w14:paraId="0F358D1A" w14:textId="0F5D17E6" w:rsidR="005549E4" w:rsidRPr="00F153F6" w:rsidRDefault="005549E4" w:rsidP="008F0B10">
      <w:pPr>
        <w:spacing w:after="160" w:line="240" w:lineRule="auto"/>
        <w:contextualSpacing/>
        <w:jc w:val="both"/>
        <w:rPr>
          <w:rFonts w:ascii="Times New Roman" w:hAnsi="Times New Roman" w:cs="Times New Roman"/>
          <w:b/>
          <w:bCs/>
          <w:noProof/>
        </w:rPr>
      </w:pPr>
      <w:r w:rsidRPr="00F153F6">
        <w:rPr>
          <w:rFonts w:ascii="Times New Roman" w:hAnsi="Times New Roman" w:cs="Times New Roman"/>
          <w:sz w:val="32"/>
          <w:szCs w:val="32"/>
        </w:rPr>
        <w:fldChar w:fldCharType="end"/>
      </w:r>
      <w:r w:rsidR="008F0B10" w:rsidRPr="00F153F6">
        <w:rPr>
          <w:rFonts w:ascii="Times New Roman" w:hAnsi="Times New Roman" w:cs="Times New Roman"/>
          <w:b/>
          <w:bCs/>
          <w:sz w:val="24"/>
          <w:szCs w:val="24"/>
        </w:rPr>
        <w:t>Chapter 3</w:t>
      </w:r>
      <w:r w:rsidRPr="00F153F6">
        <w:rPr>
          <w:rFonts w:ascii="Times New Roman" w:hAnsi="Times New Roman" w:cs="Times New Roman"/>
          <w:b/>
          <w:bCs/>
          <w:sz w:val="32"/>
          <w:szCs w:val="32"/>
        </w:rPr>
        <w:fldChar w:fldCharType="begin"/>
      </w:r>
      <w:r w:rsidRPr="00F153F6">
        <w:rPr>
          <w:rFonts w:ascii="Times New Roman" w:hAnsi="Times New Roman" w:cs="Times New Roman"/>
          <w:b/>
          <w:bCs/>
          <w:sz w:val="32"/>
          <w:szCs w:val="32"/>
        </w:rPr>
        <w:instrText xml:space="preserve"> TOC \h \z \c "Table 3." </w:instrText>
      </w:r>
      <w:r w:rsidRPr="00F153F6">
        <w:rPr>
          <w:rFonts w:ascii="Times New Roman" w:hAnsi="Times New Roman" w:cs="Times New Roman"/>
          <w:b/>
          <w:bCs/>
          <w:sz w:val="32"/>
          <w:szCs w:val="32"/>
        </w:rPr>
        <w:fldChar w:fldCharType="separate"/>
      </w:r>
    </w:p>
    <w:p w14:paraId="27682F07" w14:textId="3F478056" w:rsidR="00BE5D0A" w:rsidRPr="00F153F6" w:rsidRDefault="00000000" w:rsidP="00BE5D0A">
      <w:pPr>
        <w:pStyle w:val="TableofFigures"/>
        <w:tabs>
          <w:tab w:val="right" w:leader="dot" w:pos="9016"/>
        </w:tabs>
        <w:spacing w:line="360" w:lineRule="auto"/>
        <w:rPr>
          <w:rFonts w:ascii="Times New Roman" w:eastAsiaTheme="minorEastAsia" w:hAnsi="Times New Roman" w:cs="Times New Roman"/>
          <w:noProof/>
          <w:lang w:eastAsia="zh-CN"/>
        </w:rPr>
      </w:pPr>
      <w:hyperlink w:anchor="_Toc119448012" w:history="1">
        <w:r w:rsidR="00BE5D0A" w:rsidRPr="00F153F6">
          <w:rPr>
            <w:rStyle w:val="Hyperlink"/>
            <w:rFonts w:ascii="Times New Roman" w:hAnsi="Times New Roman" w:cs="Times New Roman"/>
            <w:noProof/>
          </w:rPr>
          <w:t>Table 3. 1 Collected Project and Data Information</w:t>
        </w:r>
        <w:r w:rsidR="00BE5D0A" w:rsidRPr="00F153F6">
          <w:rPr>
            <w:rFonts w:ascii="Times New Roman" w:hAnsi="Times New Roman" w:cs="Times New Roman"/>
            <w:noProof/>
            <w:webHidden/>
          </w:rPr>
          <w:tab/>
          <w:t>86</w:t>
        </w:r>
      </w:hyperlink>
    </w:p>
    <w:p w14:paraId="1472D7EB" w14:textId="53A7AC17" w:rsidR="005549E4" w:rsidRPr="00F153F6" w:rsidRDefault="00000000" w:rsidP="008F0B10">
      <w:pPr>
        <w:pStyle w:val="TableofFigures"/>
        <w:tabs>
          <w:tab w:val="right" w:leader="dot" w:pos="9016"/>
        </w:tabs>
        <w:spacing w:line="360" w:lineRule="auto"/>
        <w:rPr>
          <w:rFonts w:ascii="Times New Roman" w:eastAsiaTheme="minorEastAsia" w:hAnsi="Times New Roman" w:cs="Times New Roman"/>
          <w:noProof/>
          <w:lang w:eastAsia="zh-CN"/>
        </w:rPr>
      </w:pPr>
      <w:hyperlink w:anchor="_Toc119448012" w:history="1">
        <w:r w:rsidR="005549E4" w:rsidRPr="00F153F6">
          <w:rPr>
            <w:rStyle w:val="Hyperlink"/>
            <w:rFonts w:ascii="Times New Roman" w:hAnsi="Times New Roman" w:cs="Times New Roman"/>
            <w:noProof/>
          </w:rPr>
          <w:t xml:space="preserve">Table 3. </w:t>
        </w:r>
        <w:r w:rsidR="00BE5D0A" w:rsidRPr="00F153F6">
          <w:rPr>
            <w:rStyle w:val="Hyperlink"/>
            <w:rFonts w:ascii="Times New Roman" w:hAnsi="Times New Roman" w:cs="Times New Roman"/>
            <w:noProof/>
          </w:rPr>
          <w:t>2</w:t>
        </w:r>
        <w:r w:rsidR="005549E4" w:rsidRPr="00F153F6">
          <w:rPr>
            <w:rStyle w:val="Hyperlink"/>
            <w:rFonts w:ascii="Times New Roman" w:hAnsi="Times New Roman" w:cs="Times New Roman"/>
            <w:noProof/>
          </w:rPr>
          <w:t xml:space="preserve"> Scaling up process of coding (Partial of inception stage analysis)</w:t>
        </w:r>
        <w:r w:rsidR="005549E4" w:rsidRPr="00F153F6">
          <w:rPr>
            <w:rFonts w:ascii="Times New Roman" w:hAnsi="Times New Roman" w:cs="Times New Roman"/>
            <w:noProof/>
            <w:webHidden/>
          </w:rPr>
          <w:tab/>
        </w:r>
        <w:r w:rsidR="00BE5D0A" w:rsidRPr="00F153F6">
          <w:rPr>
            <w:rFonts w:ascii="Times New Roman" w:hAnsi="Times New Roman" w:cs="Times New Roman"/>
            <w:noProof/>
            <w:webHidden/>
          </w:rPr>
          <w:t>90</w:t>
        </w:r>
      </w:hyperlink>
    </w:p>
    <w:p w14:paraId="726AC17A" w14:textId="72A4B513" w:rsidR="005549E4" w:rsidRPr="00F153F6" w:rsidRDefault="005549E4" w:rsidP="008F0B10">
      <w:pPr>
        <w:spacing w:after="160" w:line="240" w:lineRule="auto"/>
        <w:jc w:val="both"/>
        <w:rPr>
          <w:rFonts w:ascii="Times New Roman" w:hAnsi="Times New Roman" w:cs="Times New Roman"/>
          <w:b/>
          <w:bCs/>
          <w:noProof/>
        </w:rPr>
      </w:pPr>
      <w:r w:rsidRPr="00F153F6">
        <w:rPr>
          <w:rFonts w:ascii="Times New Roman" w:hAnsi="Times New Roman" w:cs="Times New Roman"/>
          <w:sz w:val="32"/>
          <w:szCs w:val="32"/>
        </w:rPr>
        <w:fldChar w:fldCharType="end"/>
      </w:r>
      <w:r w:rsidR="008F0B10" w:rsidRPr="00F153F6">
        <w:rPr>
          <w:rFonts w:ascii="Times New Roman" w:hAnsi="Times New Roman" w:cs="Times New Roman"/>
          <w:b/>
          <w:bCs/>
          <w:sz w:val="24"/>
          <w:szCs w:val="24"/>
        </w:rPr>
        <w:t>Chapter 4</w:t>
      </w:r>
      <w:r w:rsidRPr="00F153F6">
        <w:rPr>
          <w:rFonts w:ascii="Times New Roman" w:hAnsi="Times New Roman" w:cs="Times New Roman"/>
          <w:b/>
          <w:bCs/>
          <w:sz w:val="32"/>
          <w:szCs w:val="32"/>
        </w:rPr>
        <w:fldChar w:fldCharType="begin"/>
      </w:r>
      <w:r w:rsidRPr="00F153F6">
        <w:rPr>
          <w:rFonts w:ascii="Times New Roman" w:hAnsi="Times New Roman" w:cs="Times New Roman"/>
          <w:b/>
          <w:bCs/>
          <w:sz w:val="32"/>
          <w:szCs w:val="32"/>
        </w:rPr>
        <w:instrText xml:space="preserve"> TOC \c "Table 4." </w:instrText>
      </w:r>
      <w:r w:rsidRPr="00F153F6">
        <w:rPr>
          <w:rFonts w:ascii="Times New Roman" w:hAnsi="Times New Roman" w:cs="Times New Roman"/>
          <w:b/>
          <w:bCs/>
          <w:sz w:val="32"/>
          <w:szCs w:val="32"/>
        </w:rPr>
        <w:fldChar w:fldCharType="separate"/>
      </w:r>
    </w:p>
    <w:p w14:paraId="048D6B72" w14:textId="113A3EFC"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4. 1 Overview of knowledgeabilities, activities and ICT that promote or constrain abilities across the three project stages.</w:t>
      </w:r>
      <w:r w:rsidRPr="00F153F6">
        <w:rPr>
          <w:rFonts w:ascii="Times New Roman" w:hAnsi="Times New Roman" w:cs="Times New Roman"/>
          <w:noProof/>
        </w:rPr>
        <w:tab/>
      </w:r>
      <w:r w:rsidR="00787482" w:rsidRPr="00F153F6">
        <w:rPr>
          <w:rFonts w:ascii="Times New Roman" w:hAnsi="Times New Roman" w:cs="Times New Roman"/>
          <w:noProof/>
        </w:rPr>
        <w:t>9</w:t>
      </w:r>
      <w:r w:rsidR="00BE5D0A" w:rsidRPr="00F153F6">
        <w:rPr>
          <w:rFonts w:ascii="Times New Roman" w:hAnsi="Times New Roman" w:cs="Times New Roman"/>
          <w:noProof/>
        </w:rPr>
        <w:t>7</w:t>
      </w:r>
    </w:p>
    <w:p w14:paraId="405FAD49" w14:textId="452882D9"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4. 2 Summary of knowledgeabilities in ICT-based IOKE practice, its relevant activities, performed knowledge and ICT promotion and ICT constraints at the project inception stage</w:t>
      </w:r>
      <w:r w:rsidRPr="00F153F6">
        <w:rPr>
          <w:rFonts w:ascii="Times New Roman" w:hAnsi="Times New Roman" w:cs="Times New Roman"/>
          <w:noProof/>
        </w:rPr>
        <w:tab/>
      </w:r>
      <w:r w:rsidRPr="00F153F6">
        <w:rPr>
          <w:rFonts w:ascii="Times New Roman" w:hAnsi="Times New Roman" w:cs="Times New Roman"/>
          <w:noProof/>
        </w:rPr>
        <w:fldChar w:fldCharType="begin"/>
      </w:r>
      <w:r w:rsidRPr="00F153F6">
        <w:rPr>
          <w:rFonts w:ascii="Times New Roman" w:hAnsi="Times New Roman" w:cs="Times New Roman"/>
          <w:noProof/>
        </w:rPr>
        <w:instrText xml:space="preserve"> PAGEREF _Toc119448036 \h </w:instrText>
      </w:r>
      <w:r w:rsidRPr="00F153F6">
        <w:rPr>
          <w:rFonts w:ascii="Times New Roman" w:hAnsi="Times New Roman" w:cs="Times New Roman"/>
          <w:noProof/>
        </w:rPr>
      </w:r>
      <w:r w:rsidRPr="00F153F6">
        <w:rPr>
          <w:rFonts w:ascii="Times New Roman" w:hAnsi="Times New Roman" w:cs="Times New Roman"/>
          <w:noProof/>
        </w:rPr>
        <w:fldChar w:fldCharType="separate"/>
      </w:r>
      <w:r w:rsidR="00787482" w:rsidRPr="00F153F6">
        <w:rPr>
          <w:rFonts w:ascii="Times New Roman" w:hAnsi="Times New Roman" w:cs="Times New Roman"/>
          <w:noProof/>
        </w:rPr>
        <w:t>1</w:t>
      </w:r>
      <w:r w:rsidR="005B0BD1" w:rsidRPr="00F153F6">
        <w:rPr>
          <w:rFonts w:ascii="Times New Roman" w:hAnsi="Times New Roman" w:cs="Times New Roman"/>
          <w:noProof/>
        </w:rPr>
        <w:t>0</w:t>
      </w:r>
      <w:r w:rsidRPr="00F153F6">
        <w:rPr>
          <w:rFonts w:ascii="Times New Roman" w:hAnsi="Times New Roman" w:cs="Times New Roman"/>
          <w:noProof/>
        </w:rPr>
        <w:fldChar w:fldCharType="end"/>
      </w:r>
      <w:r w:rsidR="00BE5D0A" w:rsidRPr="00F153F6">
        <w:rPr>
          <w:rFonts w:ascii="Times New Roman" w:hAnsi="Times New Roman" w:cs="Times New Roman"/>
          <w:noProof/>
        </w:rPr>
        <w:t>3</w:t>
      </w:r>
    </w:p>
    <w:p w14:paraId="31879E31" w14:textId="69BFA2C3"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4. 3 Summary of the inter-connecting knowledgeability and its relevant elements</w:t>
      </w:r>
      <w:r w:rsidRPr="00F153F6">
        <w:rPr>
          <w:rFonts w:ascii="Times New Roman" w:hAnsi="Times New Roman" w:cs="Times New Roman"/>
          <w:noProof/>
        </w:rPr>
        <w:tab/>
      </w:r>
      <w:r w:rsidR="00787482" w:rsidRPr="00F153F6">
        <w:rPr>
          <w:rFonts w:ascii="Times New Roman" w:hAnsi="Times New Roman" w:cs="Times New Roman"/>
          <w:noProof/>
        </w:rPr>
        <w:t>10</w:t>
      </w:r>
      <w:r w:rsidR="00BE5D0A" w:rsidRPr="00F153F6">
        <w:rPr>
          <w:rFonts w:ascii="Times New Roman" w:hAnsi="Times New Roman" w:cs="Times New Roman"/>
          <w:noProof/>
        </w:rPr>
        <w:t>4</w:t>
      </w:r>
    </w:p>
    <w:p w14:paraId="3ACC7B05" w14:textId="18BE3A4A"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4. 4 Summary of the shared understanding knowledgeability and its relevant elements</w:t>
      </w:r>
      <w:r w:rsidRPr="00F153F6">
        <w:rPr>
          <w:rFonts w:ascii="Times New Roman" w:hAnsi="Times New Roman" w:cs="Times New Roman"/>
          <w:noProof/>
        </w:rPr>
        <w:tab/>
      </w:r>
      <w:r w:rsidR="00787482" w:rsidRPr="00F153F6">
        <w:rPr>
          <w:rFonts w:ascii="Times New Roman" w:hAnsi="Times New Roman" w:cs="Times New Roman"/>
          <w:noProof/>
        </w:rPr>
        <w:t>11</w:t>
      </w:r>
      <w:r w:rsidR="00BE5D0A" w:rsidRPr="00F153F6">
        <w:rPr>
          <w:rFonts w:ascii="Times New Roman" w:hAnsi="Times New Roman" w:cs="Times New Roman"/>
          <w:noProof/>
        </w:rPr>
        <w:t>2</w:t>
      </w:r>
    </w:p>
    <w:p w14:paraId="519831A7" w14:textId="39FBA47C"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4. 5 Summary of the interactive commenting knowledgeability and its relevant elements</w:t>
      </w:r>
      <w:r w:rsidRPr="00F153F6">
        <w:rPr>
          <w:rFonts w:ascii="Times New Roman" w:hAnsi="Times New Roman" w:cs="Times New Roman"/>
          <w:noProof/>
        </w:rPr>
        <w:tab/>
      </w:r>
      <w:r w:rsidR="00BE5D0A" w:rsidRPr="00F153F6">
        <w:rPr>
          <w:rFonts w:ascii="Times New Roman" w:hAnsi="Times New Roman" w:cs="Times New Roman"/>
          <w:noProof/>
        </w:rPr>
        <w:t>116</w:t>
      </w:r>
    </w:p>
    <w:p w14:paraId="56B5AE68" w14:textId="7D202950"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4. 6 Summary of the co-ordinating knowledgeability and its relevant elements</w:t>
      </w:r>
      <w:r w:rsidRPr="00F153F6">
        <w:rPr>
          <w:rFonts w:ascii="Times New Roman" w:hAnsi="Times New Roman" w:cs="Times New Roman"/>
          <w:noProof/>
        </w:rPr>
        <w:tab/>
      </w:r>
      <w:r w:rsidR="00BE5D0A" w:rsidRPr="00F153F6">
        <w:rPr>
          <w:rFonts w:ascii="Times New Roman" w:hAnsi="Times New Roman" w:cs="Times New Roman"/>
          <w:noProof/>
        </w:rPr>
        <w:t>119</w:t>
      </w:r>
    </w:p>
    <w:p w14:paraId="12F0A459" w14:textId="453C6B55"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4. 7 Summary of knowledgeabilities in ICT-based IOKE practice, its relevant activities, performed knowledge and ICT promoting and ICT constraints in the middle stage of the project.</w:t>
      </w:r>
      <w:r w:rsidRPr="00F153F6">
        <w:rPr>
          <w:rFonts w:ascii="Times New Roman" w:hAnsi="Times New Roman" w:cs="Times New Roman"/>
          <w:noProof/>
        </w:rPr>
        <w:tab/>
      </w:r>
      <w:r w:rsidR="00BE5D0A" w:rsidRPr="00F153F6">
        <w:rPr>
          <w:rFonts w:ascii="Times New Roman" w:hAnsi="Times New Roman" w:cs="Times New Roman"/>
          <w:noProof/>
        </w:rPr>
        <w:t>124</w:t>
      </w:r>
    </w:p>
    <w:p w14:paraId="34DDB8A2" w14:textId="0E462D14"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4. 8 Summary of the inter-connecting knowledgeability and its relevant elements</w:t>
      </w:r>
      <w:r w:rsidRPr="00F153F6">
        <w:rPr>
          <w:rFonts w:ascii="Times New Roman" w:hAnsi="Times New Roman" w:cs="Times New Roman"/>
          <w:noProof/>
        </w:rPr>
        <w:tab/>
      </w:r>
      <w:r w:rsidRPr="00F153F6">
        <w:rPr>
          <w:rFonts w:ascii="Times New Roman" w:hAnsi="Times New Roman" w:cs="Times New Roman"/>
          <w:noProof/>
        </w:rPr>
        <w:fldChar w:fldCharType="begin"/>
      </w:r>
      <w:r w:rsidRPr="00F153F6">
        <w:rPr>
          <w:rFonts w:ascii="Times New Roman" w:hAnsi="Times New Roman" w:cs="Times New Roman"/>
          <w:noProof/>
        </w:rPr>
        <w:instrText xml:space="preserve"> PAGEREF _Toc119448042 \h </w:instrText>
      </w:r>
      <w:r w:rsidRPr="00F153F6">
        <w:rPr>
          <w:rFonts w:ascii="Times New Roman" w:hAnsi="Times New Roman" w:cs="Times New Roman"/>
          <w:noProof/>
        </w:rPr>
      </w:r>
      <w:r w:rsidRPr="00F153F6">
        <w:rPr>
          <w:rFonts w:ascii="Times New Roman" w:hAnsi="Times New Roman" w:cs="Times New Roman"/>
          <w:noProof/>
        </w:rPr>
        <w:fldChar w:fldCharType="separate"/>
      </w:r>
      <w:r w:rsidR="005B0BD1" w:rsidRPr="00F153F6">
        <w:rPr>
          <w:rFonts w:ascii="Times New Roman" w:hAnsi="Times New Roman" w:cs="Times New Roman"/>
          <w:noProof/>
        </w:rPr>
        <w:t>1</w:t>
      </w:r>
      <w:r w:rsidR="00787482" w:rsidRPr="00F153F6">
        <w:rPr>
          <w:rFonts w:ascii="Times New Roman" w:hAnsi="Times New Roman" w:cs="Times New Roman"/>
          <w:noProof/>
        </w:rPr>
        <w:t>2</w:t>
      </w:r>
      <w:r w:rsidR="00BE5D0A" w:rsidRPr="00F153F6">
        <w:rPr>
          <w:rFonts w:ascii="Times New Roman" w:hAnsi="Times New Roman" w:cs="Times New Roman"/>
          <w:noProof/>
        </w:rPr>
        <w:t>6</w:t>
      </w:r>
      <w:r w:rsidRPr="00F153F6">
        <w:rPr>
          <w:rFonts w:ascii="Times New Roman" w:hAnsi="Times New Roman" w:cs="Times New Roman"/>
          <w:noProof/>
        </w:rPr>
        <w:fldChar w:fldCharType="end"/>
      </w:r>
    </w:p>
    <w:p w14:paraId="3900F193" w14:textId="59CC7E84"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4. 9 Summary of activities and explanation in expertise accumulating knowledgeability</w:t>
      </w:r>
      <w:r w:rsidRPr="00F153F6">
        <w:rPr>
          <w:rFonts w:ascii="Times New Roman" w:hAnsi="Times New Roman" w:cs="Times New Roman"/>
          <w:noProof/>
        </w:rPr>
        <w:tab/>
      </w:r>
      <w:r w:rsidRPr="00F153F6">
        <w:rPr>
          <w:rFonts w:ascii="Times New Roman" w:hAnsi="Times New Roman" w:cs="Times New Roman"/>
          <w:noProof/>
        </w:rPr>
        <w:fldChar w:fldCharType="begin"/>
      </w:r>
      <w:r w:rsidRPr="00F153F6">
        <w:rPr>
          <w:rFonts w:ascii="Times New Roman" w:hAnsi="Times New Roman" w:cs="Times New Roman"/>
          <w:noProof/>
        </w:rPr>
        <w:instrText xml:space="preserve"> PAGEREF _Toc119448043 \h </w:instrText>
      </w:r>
      <w:r w:rsidRPr="00F153F6">
        <w:rPr>
          <w:rFonts w:ascii="Times New Roman" w:hAnsi="Times New Roman" w:cs="Times New Roman"/>
          <w:noProof/>
        </w:rPr>
      </w:r>
      <w:r w:rsidRPr="00F153F6">
        <w:rPr>
          <w:rFonts w:ascii="Times New Roman" w:hAnsi="Times New Roman" w:cs="Times New Roman"/>
          <w:noProof/>
        </w:rPr>
        <w:fldChar w:fldCharType="separate"/>
      </w:r>
      <w:r w:rsidR="005B0BD1" w:rsidRPr="00F153F6">
        <w:rPr>
          <w:rFonts w:ascii="Times New Roman" w:hAnsi="Times New Roman" w:cs="Times New Roman"/>
          <w:noProof/>
        </w:rPr>
        <w:t>1</w:t>
      </w:r>
      <w:r w:rsidR="00787482" w:rsidRPr="00F153F6">
        <w:rPr>
          <w:rFonts w:ascii="Times New Roman" w:hAnsi="Times New Roman" w:cs="Times New Roman"/>
          <w:noProof/>
        </w:rPr>
        <w:t>3</w:t>
      </w:r>
      <w:r w:rsidR="00BE5D0A" w:rsidRPr="00F153F6">
        <w:rPr>
          <w:rFonts w:ascii="Times New Roman" w:hAnsi="Times New Roman" w:cs="Times New Roman"/>
          <w:noProof/>
        </w:rPr>
        <w:t>2</w:t>
      </w:r>
      <w:r w:rsidRPr="00F153F6">
        <w:rPr>
          <w:rFonts w:ascii="Times New Roman" w:hAnsi="Times New Roman" w:cs="Times New Roman"/>
          <w:noProof/>
        </w:rPr>
        <w:fldChar w:fldCharType="end"/>
      </w:r>
    </w:p>
    <w:p w14:paraId="74405C41" w14:textId="3AABE468"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4. 10 Summary of activities and explanations in co-creating knowledgeability</w:t>
      </w:r>
      <w:r w:rsidRPr="00F153F6">
        <w:rPr>
          <w:rFonts w:ascii="Times New Roman" w:hAnsi="Times New Roman" w:cs="Times New Roman"/>
          <w:noProof/>
        </w:rPr>
        <w:tab/>
      </w:r>
      <w:r w:rsidRPr="00F153F6">
        <w:rPr>
          <w:rFonts w:ascii="Times New Roman" w:hAnsi="Times New Roman" w:cs="Times New Roman"/>
          <w:noProof/>
        </w:rPr>
        <w:fldChar w:fldCharType="begin"/>
      </w:r>
      <w:r w:rsidRPr="00F153F6">
        <w:rPr>
          <w:rFonts w:ascii="Times New Roman" w:hAnsi="Times New Roman" w:cs="Times New Roman"/>
          <w:noProof/>
        </w:rPr>
        <w:instrText xml:space="preserve"> PAGEREF _Toc119448044 \h </w:instrText>
      </w:r>
      <w:r w:rsidRPr="00F153F6">
        <w:rPr>
          <w:rFonts w:ascii="Times New Roman" w:hAnsi="Times New Roman" w:cs="Times New Roman"/>
          <w:noProof/>
        </w:rPr>
      </w:r>
      <w:r w:rsidRPr="00F153F6">
        <w:rPr>
          <w:rFonts w:ascii="Times New Roman" w:hAnsi="Times New Roman" w:cs="Times New Roman"/>
          <w:noProof/>
        </w:rPr>
        <w:fldChar w:fldCharType="separate"/>
      </w:r>
      <w:r w:rsidR="005B0BD1" w:rsidRPr="00F153F6">
        <w:rPr>
          <w:rFonts w:ascii="Times New Roman" w:hAnsi="Times New Roman" w:cs="Times New Roman"/>
          <w:noProof/>
        </w:rPr>
        <w:t>1</w:t>
      </w:r>
      <w:r w:rsidR="00BE5D0A" w:rsidRPr="00F153F6">
        <w:rPr>
          <w:rFonts w:ascii="Times New Roman" w:hAnsi="Times New Roman" w:cs="Times New Roman"/>
          <w:noProof/>
        </w:rPr>
        <w:t>39</w:t>
      </w:r>
      <w:r w:rsidRPr="00F153F6">
        <w:rPr>
          <w:rFonts w:ascii="Times New Roman" w:hAnsi="Times New Roman" w:cs="Times New Roman"/>
          <w:noProof/>
        </w:rPr>
        <w:fldChar w:fldCharType="end"/>
      </w:r>
    </w:p>
    <w:p w14:paraId="6420313B" w14:textId="41E3B4EF"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4. 11 Summary of the co-ordinating knowledgeability and its relevant elements</w:t>
      </w:r>
      <w:r w:rsidRPr="00F153F6">
        <w:rPr>
          <w:rFonts w:ascii="Times New Roman" w:hAnsi="Times New Roman" w:cs="Times New Roman"/>
          <w:noProof/>
        </w:rPr>
        <w:tab/>
      </w:r>
      <w:r w:rsidRPr="00F153F6">
        <w:rPr>
          <w:rFonts w:ascii="Times New Roman" w:hAnsi="Times New Roman" w:cs="Times New Roman"/>
          <w:noProof/>
        </w:rPr>
        <w:fldChar w:fldCharType="begin"/>
      </w:r>
      <w:r w:rsidRPr="00F153F6">
        <w:rPr>
          <w:rFonts w:ascii="Times New Roman" w:hAnsi="Times New Roman" w:cs="Times New Roman"/>
          <w:noProof/>
        </w:rPr>
        <w:instrText xml:space="preserve"> PAGEREF _Toc119448045 \h </w:instrText>
      </w:r>
      <w:r w:rsidRPr="00F153F6">
        <w:rPr>
          <w:rFonts w:ascii="Times New Roman" w:hAnsi="Times New Roman" w:cs="Times New Roman"/>
          <w:noProof/>
        </w:rPr>
      </w:r>
      <w:r w:rsidRPr="00F153F6">
        <w:rPr>
          <w:rFonts w:ascii="Times New Roman" w:hAnsi="Times New Roman" w:cs="Times New Roman"/>
          <w:noProof/>
        </w:rPr>
        <w:fldChar w:fldCharType="separate"/>
      </w:r>
      <w:r w:rsidR="005B0BD1" w:rsidRPr="00F153F6">
        <w:rPr>
          <w:rFonts w:ascii="Times New Roman" w:hAnsi="Times New Roman" w:cs="Times New Roman"/>
          <w:noProof/>
        </w:rPr>
        <w:t>1</w:t>
      </w:r>
      <w:r w:rsidR="00787482" w:rsidRPr="00F153F6">
        <w:rPr>
          <w:rFonts w:ascii="Times New Roman" w:hAnsi="Times New Roman" w:cs="Times New Roman"/>
          <w:noProof/>
        </w:rPr>
        <w:t>4</w:t>
      </w:r>
      <w:r w:rsidR="00BE5D0A" w:rsidRPr="00F153F6">
        <w:rPr>
          <w:rFonts w:ascii="Times New Roman" w:hAnsi="Times New Roman" w:cs="Times New Roman"/>
          <w:noProof/>
        </w:rPr>
        <w:t>4</w:t>
      </w:r>
      <w:r w:rsidRPr="00F153F6">
        <w:rPr>
          <w:rFonts w:ascii="Times New Roman" w:hAnsi="Times New Roman" w:cs="Times New Roman"/>
          <w:noProof/>
        </w:rPr>
        <w:fldChar w:fldCharType="end"/>
      </w:r>
    </w:p>
    <w:p w14:paraId="420D9BF2" w14:textId="63D747E8"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4. 12 Summary of knowledgeabilities in ICT-based IOKE practice, its relevant activities, performed knowledge and ICT promoting and ICT constraints in the project completion stage</w:t>
      </w:r>
      <w:r w:rsidRPr="00F153F6">
        <w:rPr>
          <w:rFonts w:ascii="Times New Roman" w:hAnsi="Times New Roman" w:cs="Times New Roman"/>
          <w:noProof/>
        </w:rPr>
        <w:tab/>
      </w:r>
      <w:r w:rsidRPr="00F153F6">
        <w:rPr>
          <w:rFonts w:ascii="Times New Roman" w:hAnsi="Times New Roman" w:cs="Times New Roman"/>
          <w:noProof/>
        </w:rPr>
        <w:fldChar w:fldCharType="begin"/>
      </w:r>
      <w:r w:rsidRPr="00F153F6">
        <w:rPr>
          <w:rFonts w:ascii="Times New Roman" w:hAnsi="Times New Roman" w:cs="Times New Roman"/>
          <w:noProof/>
        </w:rPr>
        <w:instrText xml:space="preserve"> PAGEREF _Toc119448046 \h </w:instrText>
      </w:r>
      <w:r w:rsidRPr="00F153F6">
        <w:rPr>
          <w:rFonts w:ascii="Times New Roman" w:hAnsi="Times New Roman" w:cs="Times New Roman"/>
          <w:noProof/>
        </w:rPr>
      </w:r>
      <w:r w:rsidRPr="00F153F6">
        <w:rPr>
          <w:rFonts w:ascii="Times New Roman" w:hAnsi="Times New Roman" w:cs="Times New Roman"/>
          <w:noProof/>
        </w:rPr>
        <w:fldChar w:fldCharType="separate"/>
      </w:r>
      <w:r w:rsidR="005B0BD1" w:rsidRPr="00F153F6">
        <w:rPr>
          <w:rFonts w:ascii="Times New Roman" w:hAnsi="Times New Roman" w:cs="Times New Roman"/>
          <w:noProof/>
        </w:rPr>
        <w:t>1</w:t>
      </w:r>
      <w:r w:rsidR="00BE5D0A" w:rsidRPr="00F153F6">
        <w:rPr>
          <w:rFonts w:ascii="Times New Roman" w:hAnsi="Times New Roman" w:cs="Times New Roman"/>
          <w:noProof/>
        </w:rPr>
        <w:t>49</w:t>
      </w:r>
      <w:r w:rsidRPr="00F153F6">
        <w:rPr>
          <w:rFonts w:ascii="Times New Roman" w:hAnsi="Times New Roman" w:cs="Times New Roman"/>
          <w:noProof/>
        </w:rPr>
        <w:fldChar w:fldCharType="end"/>
      </w:r>
    </w:p>
    <w:p w14:paraId="1F2461E4" w14:textId="5C0F5BBB"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4. 13 Summary of the inter-connecting knowledgeability and its relevant elements</w:t>
      </w:r>
      <w:r w:rsidRPr="00F153F6">
        <w:rPr>
          <w:rFonts w:ascii="Times New Roman" w:hAnsi="Times New Roman" w:cs="Times New Roman"/>
          <w:noProof/>
        </w:rPr>
        <w:tab/>
      </w:r>
      <w:r w:rsidRPr="00F153F6">
        <w:rPr>
          <w:rFonts w:ascii="Times New Roman" w:hAnsi="Times New Roman" w:cs="Times New Roman"/>
          <w:noProof/>
        </w:rPr>
        <w:fldChar w:fldCharType="begin"/>
      </w:r>
      <w:r w:rsidRPr="00F153F6">
        <w:rPr>
          <w:rFonts w:ascii="Times New Roman" w:hAnsi="Times New Roman" w:cs="Times New Roman"/>
          <w:noProof/>
        </w:rPr>
        <w:instrText xml:space="preserve"> PAGEREF _Toc119448047 \h </w:instrText>
      </w:r>
      <w:r w:rsidRPr="00F153F6">
        <w:rPr>
          <w:rFonts w:ascii="Times New Roman" w:hAnsi="Times New Roman" w:cs="Times New Roman"/>
          <w:noProof/>
        </w:rPr>
      </w:r>
      <w:r w:rsidRPr="00F153F6">
        <w:rPr>
          <w:rFonts w:ascii="Times New Roman" w:hAnsi="Times New Roman" w:cs="Times New Roman"/>
          <w:noProof/>
        </w:rPr>
        <w:fldChar w:fldCharType="separate"/>
      </w:r>
      <w:r w:rsidR="005B0BD1" w:rsidRPr="00F153F6">
        <w:rPr>
          <w:rFonts w:ascii="Times New Roman" w:hAnsi="Times New Roman" w:cs="Times New Roman"/>
          <w:noProof/>
        </w:rPr>
        <w:t>1</w:t>
      </w:r>
      <w:r w:rsidR="00787482" w:rsidRPr="00F153F6">
        <w:rPr>
          <w:rFonts w:ascii="Times New Roman" w:hAnsi="Times New Roman" w:cs="Times New Roman"/>
          <w:noProof/>
        </w:rPr>
        <w:t>5</w:t>
      </w:r>
      <w:r w:rsidR="00BE5D0A" w:rsidRPr="00F153F6">
        <w:rPr>
          <w:rFonts w:ascii="Times New Roman" w:hAnsi="Times New Roman" w:cs="Times New Roman"/>
          <w:noProof/>
        </w:rPr>
        <w:t>1</w:t>
      </w:r>
      <w:r w:rsidRPr="00F153F6">
        <w:rPr>
          <w:rFonts w:ascii="Times New Roman" w:hAnsi="Times New Roman" w:cs="Times New Roman"/>
          <w:noProof/>
        </w:rPr>
        <w:fldChar w:fldCharType="end"/>
      </w:r>
    </w:p>
    <w:p w14:paraId="51CC2C89" w14:textId="0EBC83B3"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4. 14 Summary of activities and an explanation of insights spreading knowledgeability</w:t>
      </w:r>
      <w:r w:rsidRPr="00F153F6">
        <w:rPr>
          <w:rFonts w:ascii="Times New Roman" w:hAnsi="Times New Roman" w:cs="Times New Roman"/>
          <w:noProof/>
        </w:rPr>
        <w:tab/>
      </w:r>
      <w:r w:rsidRPr="00F153F6">
        <w:rPr>
          <w:rFonts w:ascii="Times New Roman" w:hAnsi="Times New Roman" w:cs="Times New Roman"/>
          <w:noProof/>
        </w:rPr>
        <w:fldChar w:fldCharType="begin"/>
      </w:r>
      <w:r w:rsidRPr="00F153F6">
        <w:rPr>
          <w:rFonts w:ascii="Times New Roman" w:hAnsi="Times New Roman" w:cs="Times New Roman"/>
          <w:noProof/>
        </w:rPr>
        <w:instrText xml:space="preserve"> PAGEREF _Toc119448048 \h </w:instrText>
      </w:r>
      <w:r w:rsidRPr="00F153F6">
        <w:rPr>
          <w:rFonts w:ascii="Times New Roman" w:hAnsi="Times New Roman" w:cs="Times New Roman"/>
          <w:noProof/>
        </w:rPr>
      </w:r>
      <w:r w:rsidRPr="00F153F6">
        <w:rPr>
          <w:rFonts w:ascii="Times New Roman" w:hAnsi="Times New Roman" w:cs="Times New Roman"/>
          <w:noProof/>
        </w:rPr>
        <w:fldChar w:fldCharType="separate"/>
      </w:r>
      <w:r w:rsidR="005B0BD1" w:rsidRPr="00F153F6">
        <w:rPr>
          <w:rFonts w:ascii="Times New Roman" w:hAnsi="Times New Roman" w:cs="Times New Roman"/>
          <w:noProof/>
        </w:rPr>
        <w:t>1</w:t>
      </w:r>
      <w:r w:rsidR="00787482" w:rsidRPr="00F153F6">
        <w:rPr>
          <w:rFonts w:ascii="Times New Roman" w:hAnsi="Times New Roman" w:cs="Times New Roman"/>
          <w:noProof/>
        </w:rPr>
        <w:t>5</w:t>
      </w:r>
      <w:r w:rsidR="00BE5D0A" w:rsidRPr="00F153F6">
        <w:rPr>
          <w:rFonts w:ascii="Times New Roman" w:hAnsi="Times New Roman" w:cs="Times New Roman"/>
          <w:noProof/>
        </w:rPr>
        <w:t>4</w:t>
      </w:r>
      <w:r w:rsidRPr="00F153F6">
        <w:rPr>
          <w:rFonts w:ascii="Times New Roman" w:hAnsi="Times New Roman" w:cs="Times New Roman"/>
          <w:noProof/>
        </w:rPr>
        <w:fldChar w:fldCharType="end"/>
      </w:r>
    </w:p>
    <w:p w14:paraId="20D57344" w14:textId="50CF1E68"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4. 15 Summary of the co-constructing knowledgeability and its relevant elements</w:t>
      </w:r>
      <w:r w:rsidRPr="00F153F6">
        <w:rPr>
          <w:rFonts w:ascii="Times New Roman" w:hAnsi="Times New Roman" w:cs="Times New Roman"/>
          <w:noProof/>
        </w:rPr>
        <w:tab/>
      </w:r>
      <w:r w:rsidRPr="00F153F6">
        <w:rPr>
          <w:rFonts w:ascii="Times New Roman" w:hAnsi="Times New Roman" w:cs="Times New Roman"/>
          <w:noProof/>
        </w:rPr>
        <w:fldChar w:fldCharType="begin"/>
      </w:r>
      <w:r w:rsidRPr="00F153F6">
        <w:rPr>
          <w:rFonts w:ascii="Times New Roman" w:hAnsi="Times New Roman" w:cs="Times New Roman"/>
          <w:noProof/>
        </w:rPr>
        <w:instrText xml:space="preserve"> PAGEREF _Toc119448049 \h </w:instrText>
      </w:r>
      <w:r w:rsidRPr="00F153F6">
        <w:rPr>
          <w:rFonts w:ascii="Times New Roman" w:hAnsi="Times New Roman" w:cs="Times New Roman"/>
          <w:noProof/>
        </w:rPr>
      </w:r>
      <w:r w:rsidRPr="00F153F6">
        <w:rPr>
          <w:rFonts w:ascii="Times New Roman" w:hAnsi="Times New Roman" w:cs="Times New Roman"/>
          <w:noProof/>
        </w:rPr>
        <w:fldChar w:fldCharType="separate"/>
      </w:r>
      <w:r w:rsidR="005B0BD1" w:rsidRPr="00F153F6">
        <w:rPr>
          <w:rFonts w:ascii="Times New Roman" w:hAnsi="Times New Roman" w:cs="Times New Roman"/>
          <w:noProof/>
        </w:rPr>
        <w:t>1</w:t>
      </w:r>
      <w:r w:rsidR="00787482" w:rsidRPr="00F153F6">
        <w:rPr>
          <w:rFonts w:ascii="Times New Roman" w:hAnsi="Times New Roman" w:cs="Times New Roman"/>
          <w:noProof/>
        </w:rPr>
        <w:t>5</w:t>
      </w:r>
      <w:r w:rsidR="00BE5D0A" w:rsidRPr="00F153F6">
        <w:rPr>
          <w:rFonts w:ascii="Times New Roman" w:hAnsi="Times New Roman" w:cs="Times New Roman"/>
          <w:noProof/>
        </w:rPr>
        <w:t>6</w:t>
      </w:r>
      <w:r w:rsidRPr="00F153F6">
        <w:rPr>
          <w:rFonts w:ascii="Times New Roman" w:hAnsi="Times New Roman" w:cs="Times New Roman"/>
          <w:noProof/>
        </w:rPr>
        <w:fldChar w:fldCharType="end"/>
      </w:r>
    </w:p>
    <w:p w14:paraId="37B3B5F8" w14:textId="6E15F678" w:rsidR="005549E4" w:rsidRPr="00F153F6" w:rsidRDefault="005549E4" w:rsidP="008F0B10">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Table 4. 16 Summary of the co-ordinating knowledgeability and its relevant elements</w:t>
      </w:r>
      <w:r w:rsidRPr="00F153F6">
        <w:rPr>
          <w:rFonts w:ascii="Times New Roman" w:hAnsi="Times New Roman" w:cs="Times New Roman"/>
          <w:noProof/>
        </w:rPr>
        <w:tab/>
      </w:r>
      <w:r w:rsidRPr="00F153F6">
        <w:rPr>
          <w:rFonts w:ascii="Times New Roman" w:hAnsi="Times New Roman" w:cs="Times New Roman"/>
          <w:noProof/>
        </w:rPr>
        <w:fldChar w:fldCharType="begin"/>
      </w:r>
      <w:r w:rsidRPr="00F153F6">
        <w:rPr>
          <w:rFonts w:ascii="Times New Roman" w:hAnsi="Times New Roman" w:cs="Times New Roman"/>
          <w:noProof/>
        </w:rPr>
        <w:instrText xml:space="preserve"> PAGEREF _Toc119448050 \h </w:instrText>
      </w:r>
      <w:r w:rsidRPr="00F153F6">
        <w:rPr>
          <w:rFonts w:ascii="Times New Roman" w:hAnsi="Times New Roman" w:cs="Times New Roman"/>
          <w:noProof/>
        </w:rPr>
      </w:r>
      <w:r w:rsidRPr="00F153F6">
        <w:rPr>
          <w:rFonts w:ascii="Times New Roman" w:hAnsi="Times New Roman" w:cs="Times New Roman"/>
          <w:noProof/>
        </w:rPr>
        <w:fldChar w:fldCharType="separate"/>
      </w:r>
      <w:r w:rsidR="005B0BD1" w:rsidRPr="00F153F6">
        <w:rPr>
          <w:rFonts w:ascii="Times New Roman" w:hAnsi="Times New Roman" w:cs="Times New Roman"/>
          <w:noProof/>
        </w:rPr>
        <w:t>1</w:t>
      </w:r>
      <w:r w:rsidR="00BE5D0A" w:rsidRPr="00F153F6">
        <w:rPr>
          <w:rFonts w:ascii="Times New Roman" w:hAnsi="Times New Roman" w:cs="Times New Roman"/>
          <w:noProof/>
        </w:rPr>
        <w:t>59</w:t>
      </w:r>
      <w:r w:rsidRPr="00F153F6">
        <w:rPr>
          <w:rFonts w:ascii="Times New Roman" w:hAnsi="Times New Roman" w:cs="Times New Roman"/>
          <w:noProof/>
        </w:rPr>
        <w:fldChar w:fldCharType="end"/>
      </w:r>
    </w:p>
    <w:p w14:paraId="5620EC2C" w14:textId="43C83374" w:rsidR="00633A5E" w:rsidRPr="00F153F6" w:rsidRDefault="005549E4" w:rsidP="008F0B10">
      <w:pPr>
        <w:spacing w:after="160" w:line="240" w:lineRule="auto"/>
        <w:jc w:val="both"/>
        <w:rPr>
          <w:rFonts w:ascii="Times New Roman" w:hAnsi="Times New Roman" w:cs="Times New Roman"/>
          <w:sz w:val="32"/>
          <w:szCs w:val="32"/>
        </w:rPr>
      </w:pPr>
      <w:r w:rsidRPr="00F153F6">
        <w:rPr>
          <w:rFonts w:ascii="Times New Roman" w:hAnsi="Times New Roman" w:cs="Times New Roman"/>
          <w:sz w:val="32"/>
          <w:szCs w:val="32"/>
        </w:rPr>
        <w:fldChar w:fldCharType="end"/>
      </w:r>
      <w:r w:rsidR="00633A5E" w:rsidRPr="00F153F6">
        <w:rPr>
          <w:rFonts w:ascii="Times New Roman" w:hAnsi="Times New Roman" w:cs="Times New Roman"/>
          <w:sz w:val="32"/>
          <w:szCs w:val="32"/>
        </w:rPr>
        <w:br w:type="page"/>
      </w:r>
    </w:p>
    <w:p w14:paraId="6E04D890" w14:textId="11E57263" w:rsidR="00633A5E" w:rsidRPr="00F153F6" w:rsidRDefault="00721305" w:rsidP="004424B4">
      <w:pPr>
        <w:pStyle w:val="Heading1"/>
        <w:spacing w:line="360" w:lineRule="auto"/>
        <w:jc w:val="center"/>
        <w:rPr>
          <w:rFonts w:ascii="Times New Roman" w:hAnsi="Times New Roman" w:cs="Times New Roman"/>
          <w:b w:val="0"/>
          <w:bCs/>
          <w:sz w:val="44"/>
          <w:szCs w:val="44"/>
        </w:rPr>
      </w:pPr>
      <w:bookmarkStart w:id="4" w:name="_Toc133252096"/>
      <w:r w:rsidRPr="00F153F6">
        <w:rPr>
          <w:rFonts w:ascii="Times New Roman" w:hAnsi="Times New Roman" w:cs="Times New Roman"/>
          <w:b w:val="0"/>
          <w:bCs/>
          <w:sz w:val="44"/>
          <w:szCs w:val="44"/>
        </w:rPr>
        <w:lastRenderedPageBreak/>
        <w:t>LIST OF FIGURES</w:t>
      </w:r>
      <w:bookmarkEnd w:id="4"/>
    </w:p>
    <w:p w14:paraId="1E27495B" w14:textId="2FD71D89" w:rsidR="008F0B10" w:rsidRPr="00F153F6" w:rsidRDefault="008F0B10" w:rsidP="004842BD">
      <w:pPr>
        <w:pStyle w:val="TableofFigures"/>
        <w:tabs>
          <w:tab w:val="right" w:leader="dot" w:pos="9016"/>
        </w:tabs>
        <w:spacing w:line="360" w:lineRule="auto"/>
        <w:rPr>
          <w:rFonts w:ascii="Times New Roman" w:hAnsi="Times New Roman" w:cs="Times New Roman"/>
          <w:b/>
          <w:bCs/>
          <w:sz w:val="24"/>
          <w:szCs w:val="24"/>
          <w:lang w:eastAsia="zh-CN"/>
        </w:rPr>
      </w:pPr>
      <w:r w:rsidRPr="00F153F6">
        <w:rPr>
          <w:rFonts w:ascii="Times New Roman" w:hAnsi="Times New Roman" w:cs="Times New Roman"/>
          <w:b/>
          <w:bCs/>
          <w:sz w:val="24"/>
          <w:szCs w:val="24"/>
          <w:lang w:eastAsia="zh-CN"/>
        </w:rPr>
        <w:t>Chapter 2</w:t>
      </w:r>
    </w:p>
    <w:p w14:paraId="6C4163DD" w14:textId="0CEB4681" w:rsidR="008F0B10" w:rsidRPr="00F153F6" w:rsidRDefault="008F0B10" w:rsidP="004842BD">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lang w:eastAsia="zh-CN"/>
        </w:rPr>
        <w:fldChar w:fldCharType="begin"/>
      </w:r>
      <w:r w:rsidRPr="00F153F6">
        <w:rPr>
          <w:rFonts w:ascii="Times New Roman" w:hAnsi="Times New Roman" w:cs="Times New Roman"/>
          <w:lang w:eastAsia="zh-CN"/>
        </w:rPr>
        <w:instrText xml:space="preserve"> TOC \c "Figure 2." </w:instrText>
      </w:r>
      <w:r w:rsidRPr="00F153F6">
        <w:rPr>
          <w:rFonts w:ascii="Times New Roman" w:hAnsi="Times New Roman" w:cs="Times New Roman"/>
          <w:lang w:eastAsia="zh-CN"/>
        </w:rPr>
        <w:fldChar w:fldCharType="separate"/>
      </w:r>
      <w:r w:rsidRPr="00F153F6">
        <w:rPr>
          <w:rFonts w:ascii="Times New Roman" w:hAnsi="Times New Roman" w:cs="Times New Roman"/>
          <w:noProof/>
        </w:rPr>
        <w:t>Figure 2. 1  Knowledge terms and transformations</w:t>
      </w:r>
      <w:r w:rsidRPr="00F153F6">
        <w:rPr>
          <w:rFonts w:ascii="Times New Roman" w:hAnsi="Times New Roman" w:cs="Times New Roman"/>
          <w:noProof/>
        </w:rPr>
        <w:tab/>
      </w:r>
      <w:r w:rsidR="00BE5D0A" w:rsidRPr="00F153F6">
        <w:rPr>
          <w:rFonts w:ascii="Times New Roman" w:hAnsi="Times New Roman" w:cs="Times New Roman"/>
          <w:noProof/>
        </w:rPr>
        <w:t>19</w:t>
      </w:r>
    </w:p>
    <w:p w14:paraId="23A10F6C" w14:textId="5038DC1D" w:rsidR="008F0B10" w:rsidRPr="00F153F6" w:rsidRDefault="008F0B10" w:rsidP="004842BD">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 xml:space="preserve">Figure 2. 2 </w:t>
      </w:r>
      <w:r w:rsidRPr="00F153F6">
        <w:rPr>
          <w:rFonts w:ascii="Times New Roman" w:eastAsia="Times New Roman" w:hAnsi="Times New Roman" w:cs="Times New Roman"/>
          <w:noProof/>
        </w:rPr>
        <w:t>Knowledge-to-Action model</w:t>
      </w:r>
      <w:r w:rsidRPr="00F153F6">
        <w:rPr>
          <w:rFonts w:ascii="Times New Roman" w:hAnsi="Times New Roman" w:cs="Times New Roman"/>
          <w:noProof/>
        </w:rPr>
        <w:tab/>
      </w:r>
      <w:r w:rsidR="00BE5D0A" w:rsidRPr="00F153F6">
        <w:rPr>
          <w:rFonts w:ascii="Times New Roman" w:hAnsi="Times New Roman" w:cs="Times New Roman"/>
          <w:noProof/>
        </w:rPr>
        <w:t>29</w:t>
      </w:r>
    </w:p>
    <w:p w14:paraId="74D966F1" w14:textId="1963F436" w:rsidR="008F0B10" w:rsidRPr="00F153F6" w:rsidRDefault="008F0B10" w:rsidP="004842BD">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 xml:space="preserve">Figure 2. 3 </w:t>
      </w:r>
      <w:r w:rsidRPr="00F153F6">
        <w:rPr>
          <w:rFonts w:ascii="Times New Roman" w:eastAsia="Times New Roman" w:hAnsi="Times New Roman" w:cs="Times New Roman"/>
          <w:noProof/>
        </w:rPr>
        <w:t>Knowledge transfer framework</w:t>
      </w:r>
      <w:r w:rsidRPr="00F153F6">
        <w:rPr>
          <w:rFonts w:ascii="Times New Roman" w:hAnsi="Times New Roman" w:cs="Times New Roman"/>
          <w:noProof/>
        </w:rPr>
        <w:tab/>
      </w:r>
      <w:r w:rsidR="00787482" w:rsidRPr="00F153F6">
        <w:rPr>
          <w:rFonts w:ascii="Times New Roman" w:hAnsi="Times New Roman" w:cs="Times New Roman"/>
          <w:noProof/>
        </w:rPr>
        <w:t>3</w:t>
      </w:r>
      <w:r w:rsidR="00BE5D0A" w:rsidRPr="00F153F6">
        <w:rPr>
          <w:rFonts w:ascii="Times New Roman" w:hAnsi="Times New Roman" w:cs="Times New Roman"/>
          <w:noProof/>
        </w:rPr>
        <w:t>0</w:t>
      </w:r>
    </w:p>
    <w:p w14:paraId="534F1B0B" w14:textId="52892D69" w:rsidR="008F0B10" w:rsidRPr="00F153F6" w:rsidRDefault="008F0B10" w:rsidP="004842BD">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 xml:space="preserve">Figure 2. 4 </w:t>
      </w:r>
      <w:r w:rsidRPr="00F153F6">
        <w:rPr>
          <w:rFonts w:ascii="Times New Roman" w:eastAsia="Times New Roman" w:hAnsi="Times New Roman" w:cs="Times New Roman"/>
          <w:noProof/>
        </w:rPr>
        <w:t>Revised knowledge exchange framework</w:t>
      </w:r>
      <w:r w:rsidRPr="00F153F6">
        <w:rPr>
          <w:rFonts w:ascii="Times New Roman" w:hAnsi="Times New Roman" w:cs="Times New Roman"/>
          <w:noProof/>
        </w:rPr>
        <w:tab/>
      </w:r>
      <w:r w:rsidR="00787482" w:rsidRPr="00F153F6">
        <w:rPr>
          <w:rFonts w:ascii="Times New Roman" w:hAnsi="Times New Roman" w:cs="Times New Roman"/>
          <w:noProof/>
        </w:rPr>
        <w:t>3</w:t>
      </w:r>
      <w:r w:rsidR="00BE5D0A" w:rsidRPr="00F153F6">
        <w:rPr>
          <w:rFonts w:ascii="Times New Roman" w:hAnsi="Times New Roman" w:cs="Times New Roman"/>
          <w:noProof/>
        </w:rPr>
        <w:t>1</w:t>
      </w:r>
    </w:p>
    <w:p w14:paraId="1CCD59A1" w14:textId="5A66624B" w:rsidR="008F0B10" w:rsidRPr="00F153F6" w:rsidRDefault="008F0B10" w:rsidP="004842BD">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Figure 2. 5</w:t>
      </w:r>
      <w:r w:rsidRPr="00F153F6">
        <w:rPr>
          <w:rFonts w:ascii="Times New Roman" w:eastAsia="Times New Roman" w:hAnsi="Times New Roman" w:cs="Times New Roman"/>
          <w:noProof/>
        </w:rPr>
        <w:t xml:space="preserve"> Evidence-based model for the Transfer and Exchange of Research Knowledge</w:t>
      </w:r>
      <w:r w:rsidRPr="00F153F6">
        <w:rPr>
          <w:rFonts w:ascii="Times New Roman" w:hAnsi="Times New Roman" w:cs="Times New Roman"/>
          <w:noProof/>
        </w:rPr>
        <w:tab/>
      </w:r>
      <w:r w:rsidR="00787482" w:rsidRPr="00F153F6">
        <w:rPr>
          <w:rFonts w:ascii="Times New Roman" w:hAnsi="Times New Roman" w:cs="Times New Roman"/>
          <w:noProof/>
        </w:rPr>
        <w:t>3</w:t>
      </w:r>
      <w:r w:rsidR="00BE5D0A" w:rsidRPr="00F153F6">
        <w:rPr>
          <w:rFonts w:ascii="Times New Roman" w:hAnsi="Times New Roman" w:cs="Times New Roman"/>
          <w:noProof/>
        </w:rPr>
        <w:t>2</w:t>
      </w:r>
    </w:p>
    <w:p w14:paraId="0CF426CB" w14:textId="142E44C9" w:rsidR="008F0B10" w:rsidRPr="00F153F6" w:rsidRDefault="008F0B10" w:rsidP="004842BD">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Figure 2. 6 Inter-organisational knowledge management process</w:t>
      </w:r>
      <w:r w:rsidRPr="00F153F6">
        <w:rPr>
          <w:rFonts w:ascii="Times New Roman" w:hAnsi="Times New Roman" w:cs="Times New Roman"/>
          <w:noProof/>
        </w:rPr>
        <w:tab/>
      </w:r>
      <w:r w:rsidR="00BE5D0A" w:rsidRPr="00F153F6">
        <w:rPr>
          <w:rFonts w:ascii="Times New Roman" w:hAnsi="Times New Roman" w:cs="Times New Roman"/>
          <w:noProof/>
        </w:rPr>
        <w:t>39</w:t>
      </w:r>
    </w:p>
    <w:p w14:paraId="0D810128" w14:textId="14C2C0E2" w:rsidR="008F0B10" w:rsidRPr="00F153F6" w:rsidRDefault="008F0B10" w:rsidP="004842BD">
      <w:pPr>
        <w:pStyle w:val="TableofFigures"/>
        <w:tabs>
          <w:tab w:val="right" w:leader="dot" w:pos="9016"/>
        </w:tabs>
        <w:spacing w:line="360" w:lineRule="auto"/>
        <w:rPr>
          <w:rFonts w:ascii="Times New Roman" w:eastAsiaTheme="minorEastAsia" w:hAnsi="Times New Roman" w:cs="Times New Roman"/>
          <w:noProof/>
          <w:lang w:eastAsia="zh-CN"/>
        </w:rPr>
      </w:pPr>
      <w:r w:rsidRPr="00F153F6">
        <w:rPr>
          <w:rFonts w:ascii="Times New Roman" w:hAnsi="Times New Roman" w:cs="Times New Roman"/>
          <w:noProof/>
        </w:rPr>
        <w:t>Figure 2. 7 Inter-organisational Knowledge Exchange Process</w:t>
      </w:r>
      <w:r w:rsidRPr="00F153F6">
        <w:rPr>
          <w:rFonts w:ascii="Times New Roman" w:hAnsi="Times New Roman" w:cs="Times New Roman"/>
          <w:noProof/>
        </w:rPr>
        <w:tab/>
      </w:r>
      <w:r w:rsidR="00787482" w:rsidRPr="00F153F6">
        <w:rPr>
          <w:rFonts w:ascii="Times New Roman" w:hAnsi="Times New Roman" w:cs="Times New Roman"/>
          <w:noProof/>
        </w:rPr>
        <w:t>4</w:t>
      </w:r>
      <w:r w:rsidR="00BE5D0A" w:rsidRPr="00F153F6">
        <w:rPr>
          <w:rFonts w:ascii="Times New Roman" w:hAnsi="Times New Roman" w:cs="Times New Roman"/>
          <w:noProof/>
        </w:rPr>
        <w:t>1</w:t>
      </w:r>
    </w:p>
    <w:p w14:paraId="4AA789C1" w14:textId="5A610E72" w:rsidR="008F0B10" w:rsidRPr="00F153F6" w:rsidRDefault="008F0B10" w:rsidP="004842BD">
      <w:pPr>
        <w:pStyle w:val="TableofFigures"/>
        <w:tabs>
          <w:tab w:val="right" w:leader="dot" w:pos="9016"/>
        </w:tabs>
        <w:spacing w:line="360" w:lineRule="auto"/>
        <w:rPr>
          <w:rFonts w:ascii="Times New Roman" w:hAnsi="Times New Roman" w:cs="Times New Roman"/>
          <w:b/>
          <w:bCs/>
          <w:noProof/>
          <w:sz w:val="24"/>
          <w:szCs w:val="24"/>
          <w:lang w:eastAsia="zh-CN"/>
        </w:rPr>
      </w:pPr>
      <w:r w:rsidRPr="00F153F6">
        <w:rPr>
          <w:rFonts w:ascii="Times New Roman" w:hAnsi="Times New Roman" w:cs="Times New Roman"/>
          <w:lang w:eastAsia="zh-CN"/>
        </w:rPr>
        <w:fldChar w:fldCharType="end"/>
      </w:r>
      <w:r w:rsidRPr="00F153F6">
        <w:rPr>
          <w:rFonts w:ascii="Times New Roman" w:hAnsi="Times New Roman" w:cs="Times New Roman"/>
          <w:b/>
          <w:bCs/>
          <w:sz w:val="24"/>
          <w:szCs w:val="24"/>
          <w:lang w:eastAsia="zh-CN"/>
        </w:rPr>
        <w:t>Chapter 3</w:t>
      </w:r>
      <w:r w:rsidRPr="00F153F6">
        <w:rPr>
          <w:rFonts w:ascii="Times New Roman" w:hAnsi="Times New Roman" w:cs="Times New Roman"/>
          <w:lang w:eastAsia="zh-CN"/>
        </w:rPr>
        <w:fldChar w:fldCharType="begin"/>
      </w:r>
      <w:r w:rsidRPr="00F153F6">
        <w:rPr>
          <w:rFonts w:ascii="Times New Roman" w:hAnsi="Times New Roman" w:cs="Times New Roman"/>
          <w:lang w:eastAsia="zh-CN"/>
        </w:rPr>
        <w:instrText xml:space="preserve"> TOC \h \z \c "Figure 3." </w:instrText>
      </w:r>
      <w:r w:rsidRPr="00F153F6">
        <w:rPr>
          <w:rFonts w:ascii="Times New Roman" w:hAnsi="Times New Roman" w:cs="Times New Roman"/>
          <w:lang w:eastAsia="zh-CN"/>
        </w:rPr>
        <w:fldChar w:fldCharType="separate"/>
      </w:r>
    </w:p>
    <w:p w14:paraId="185C9658" w14:textId="2C3D6F73" w:rsidR="008F0B10" w:rsidRPr="00F153F6" w:rsidRDefault="00000000" w:rsidP="004842BD">
      <w:pPr>
        <w:pStyle w:val="TableofFigures"/>
        <w:tabs>
          <w:tab w:val="right" w:leader="dot" w:pos="9016"/>
        </w:tabs>
        <w:spacing w:line="360" w:lineRule="auto"/>
        <w:rPr>
          <w:rFonts w:ascii="Times New Roman" w:eastAsiaTheme="minorEastAsia" w:hAnsi="Times New Roman" w:cs="Times New Roman"/>
          <w:noProof/>
          <w:lang w:eastAsia="zh-CN"/>
        </w:rPr>
      </w:pPr>
      <w:hyperlink w:anchor="_Toc119448460" w:history="1">
        <w:r w:rsidR="008F0B10" w:rsidRPr="00F153F6">
          <w:rPr>
            <w:rStyle w:val="Hyperlink"/>
            <w:rFonts w:ascii="Times New Roman" w:hAnsi="Times New Roman" w:cs="Times New Roman"/>
            <w:noProof/>
          </w:rPr>
          <w:t>Figure 3. 1 Screenshot of an open coding process of an interview transcript</w:t>
        </w:r>
        <w:r w:rsidR="008F0B10" w:rsidRPr="00F153F6">
          <w:rPr>
            <w:rFonts w:ascii="Times New Roman" w:hAnsi="Times New Roman" w:cs="Times New Roman"/>
            <w:noProof/>
            <w:webHidden/>
          </w:rPr>
          <w:tab/>
        </w:r>
        <w:r w:rsidR="00BE5D0A" w:rsidRPr="00F153F6">
          <w:rPr>
            <w:rFonts w:ascii="Times New Roman" w:hAnsi="Times New Roman" w:cs="Times New Roman"/>
            <w:noProof/>
            <w:webHidden/>
          </w:rPr>
          <w:t>89</w:t>
        </w:r>
      </w:hyperlink>
    </w:p>
    <w:p w14:paraId="330070A8" w14:textId="01CFB8AF" w:rsidR="008F0B10" w:rsidRPr="00F153F6" w:rsidRDefault="00000000" w:rsidP="004842BD">
      <w:pPr>
        <w:pStyle w:val="TableofFigures"/>
        <w:tabs>
          <w:tab w:val="right" w:leader="dot" w:pos="9016"/>
        </w:tabs>
        <w:spacing w:line="360" w:lineRule="auto"/>
        <w:rPr>
          <w:rFonts w:ascii="Times New Roman" w:eastAsiaTheme="minorEastAsia" w:hAnsi="Times New Roman" w:cs="Times New Roman"/>
          <w:noProof/>
          <w:lang w:eastAsia="zh-CN"/>
        </w:rPr>
      </w:pPr>
      <w:hyperlink w:anchor="_Toc119448461" w:history="1">
        <w:r w:rsidR="008F0B10" w:rsidRPr="00F153F6">
          <w:rPr>
            <w:rStyle w:val="Hyperlink"/>
            <w:rFonts w:ascii="Times New Roman" w:hAnsi="Times New Roman" w:cs="Times New Roman"/>
            <w:noProof/>
          </w:rPr>
          <w:t>Figure 3. 2 Screenshot of an open coding process of document information (website)</w:t>
        </w:r>
        <w:r w:rsidR="008F0B10" w:rsidRPr="00F153F6">
          <w:rPr>
            <w:rFonts w:ascii="Times New Roman" w:hAnsi="Times New Roman" w:cs="Times New Roman"/>
            <w:noProof/>
            <w:webHidden/>
          </w:rPr>
          <w:tab/>
        </w:r>
        <w:r w:rsidR="00BE5D0A" w:rsidRPr="00F153F6">
          <w:rPr>
            <w:rFonts w:ascii="Times New Roman" w:hAnsi="Times New Roman" w:cs="Times New Roman"/>
            <w:noProof/>
            <w:webHidden/>
          </w:rPr>
          <w:t>89</w:t>
        </w:r>
      </w:hyperlink>
    </w:p>
    <w:p w14:paraId="32EEA9D5" w14:textId="4433EB28" w:rsidR="008F0B10" w:rsidRPr="00F153F6" w:rsidRDefault="00000000" w:rsidP="004842BD">
      <w:pPr>
        <w:pStyle w:val="TableofFigures"/>
        <w:tabs>
          <w:tab w:val="right" w:leader="dot" w:pos="9016"/>
        </w:tabs>
        <w:spacing w:line="360" w:lineRule="auto"/>
        <w:rPr>
          <w:rFonts w:ascii="Times New Roman" w:eastAsiaTheme="minorEastAsia" w:hAnsi="Times New Roman" w:cs="Times New Roman"/>
          <w:noProof/>
          <w:lang w:eastAsia="zh-CN"/>
        </w:rPr>
      </w:pPr>
      <w:hyperlink w:anchor="_Toc119448462" w:history="1">
        <w:r w:rsidR="008F0B10" w:rsidRPr="00F153F6">
          <w:rPr>
            <w:rStyle w:val="Hyperlink"/>
            <w:rFonts w:ascii="Times New Roman" w:hAnsi="Times New Roman" w:cs="Times New Roman"/>
            <w:noProof/>
          </w:rPr>
          <w:t>Figure 3. 3 Research methodology depiction</w:t>
        </w:r>
        <w:r w:rsidR="008F0B10" w:rsidRPr="00F153F6">
          <w:rPr>
            <w:rFonts w:ascii="Times New Roman" w:hAnsi="Times New Roman" w:cs="Times New Roman"/>
            <w:noProof/>
            <w:webHidden/>
          </w:rPr>
          <w:tab/>
        </w:r>
        <w:r w:rsidR="00740903" w:rsidRPr="00F153F6">
          <w:rPr>
            <w:rFonts w:ascii="Times New Roman" w:hAnsi="Times New Roman" w:cs="Times New Roman"/>
            <w:noProof/>
            <w:webHidden/>
          </w:rPr>
          <w:t>9</w:t>
        </w:r>
        <w:r w:rsidR="00BE5D0A" w:rsidRPr="00F153F6">
          <w:rPr>
            <w:rFonts w:ascii="Times New Roman" w:hAnsi="Times New Roman" w:cs="Times New Roman"/>
            <w:noProof/>
            <w:webHidden/>
          </w:rPr>
          <w:t>2</w:t>
        </w:r>
      </w:hyperlink>
    </w:p>
    <w:p w14:paraId="58B02538" w14:textId="58740B2C" w:rsidR="008F0B10" w:rsidRPr="00F153F6" w:rsidRDefault="008F0B10" w:rsidP="004842BD">
      <w:pPr>
        <w:pStyle w:val="TableofFigures"/>
        <w:tabs>
          <w:tab w:val="right" w:leader="dot" w:pos="9016"/>
        </w:tabs>
        <w:spacing w:line="360" w:lineRule="auto"/>
        <w:rPr>
          <w:rFonts w:ascii="Times New Roman" w:hAnsi="Times New Roman" w:cs="Times New Roman"/>
          <w:b/>
          <w:bCs/>
          <w:noProof/>
          <w:sz w:val="24"/>
          <w:szCs w:val="24"/>
          <w:lang w:eastAsia="zh-CN"/>
        </w:rPr>
      </w:pPr>
      <w:r w:rsidRPr="00F153F6">
        <w:rPr>
          <w:rFonts w:ascii="Times New Roman" w:hAnsi="Times New Roman" w:cs="Times New Roman"/>
          <w:lang w:eastAsia="zh-CN"/>
        </w:rPr>
        <w:fldChar w:fldCharType="end"/>
      </w:r>
      <w:r w:rsidRPr="00F153F6">
        <w:rPr>
          <w:rFonts w:ascii="Times New Roman" w:hAnsi="Times New Roman" w:cs="Times New Roman"/>
          <w:b/>
          <w:bCs/>
          <w:sz w:val="24"/>
          <w:szCs w:val="24"/>
          <w:lang w:eastAsia="zh-CN"/>
        </w:rPr>
        <w:t>Chapter 4</w:t>
      </w:r>
      <w:r w:rsidRPr="00F153F6">
        <w:rPr>
          <w:rFonts w:ascii="Times New Roman" w:hAnsi="Times New Roman" w:cs="Times New Roman"/>
          <w:lang w:eastAsia="zh-CN"/>
        </w:rPr>
        <w:fldChar w:fldCharType="begin"/>
      </w:r>
      <w:r w:rsidRPr="00F153F6">
        <w:rPr>
          <w:rFonts w:ascii="Times New Roman" w:hAnsi="Times New Roman" w:cs="Times New Roman"/>
          <w:lang w:eastAsia="zh-CN"/>
        </w:rPr>
        <w:instrText xml:space="preserve"> TOC \h \z \c "Figure 4." </w:instrText>
      </w:r>
      <w:r w:rsidRPr="00F153F6">
        <w:rPr>
          <w:rFonts w:ascii="Times New Roman" w:hAnsi="Times New Roman" w:cs="Times New Roman"/>
          <w:lang w:eastAsia="zh-CN"/>
        </w:rPr>
        <w:fldChar w:fldCharType="separate"/>
      </w:r>
    </w:p>
    <w:p w14:paraId="7890B014" w14:textId="45D4B208" w:rsidR="008F0B10" w:rsidRPr="00F153F6" w:rsidRDefault="00000000" w:rsidP="004842BD">
      <w:pPr>
        <w:pStyle w:val="TableofFigures"/>
        <w:tabs>
          <w:tab w:val="right" w:leader="dot" w:pos="9016"/>
        </w:tabs>
        <w:spacing w:line="360" w:lineRule="auto"/>
        <w:rPr>
          <w:rFonts w:ascii="Times New Roman" w:eastAsiaTheme="minorEastAsia" w:hAnsi="Times New Roman" w:cs="Times New Roman"/>
          <w:noProof/>
          <w:lang w:eastAsia="zh-CN"/>
        </w:rPr>
      </w:pPr>
      <w:hyperlink w:anchor="_Toc119448465" w:history="1">
        <w:r w:rsidR="008F0B10" w:rsidRPr="00F153F6">
          <w:rPr>
            <w:rStyle w:val="Hyperlink"/>
            <w:rFonts w:ascii="Times New Roman" w:hAnsi="Times New Roman" w:cs="Times New Roman"/>
            <w:noProof/>
          </w:rPr>
          <w:t>Figure 4. 1 ICT-based Inter-organisational Knowledge Exchange Practice (Inception Stage)</w:t>
        </w:r>
        <w:r w:rsidR="008F0B10" w:rsidRPr="00F153F6">
          <w:rPr>
            <w:rFonts w:ascii="Times New Roman" w:hAnsi="Times New Roman" w:cs="Times New Roman"/>
            <w:noProof/>
            <w:webHidden/>
          </w:rPr>
          <w:tab/>
        </w:r>
        <w:r w:rsidR="00BE5D0A" w:rsidRPr="00F153F6">
          <w:rPr>
            <w:rFonts w:ascii="Times New Roman" w:hAnsi="Times New Roman" w:cs="Times New Roman"/>
            <w:noProof/>
            <w:webHidden/>
          </w:rPr>
          <w:t>99</w:t>
        </w:r>
      </w:hyperlink>
    </w:p>
    <w:p w14:paraId="61BFEE31" w14:textId="2DA3B880" w:rsidR="008F0B10" w:rsidRPr="00F153F6" w:rsidRDefault="00000000" w:rsidP="004842BD">
      <w:pPr>
        <w:pStyle w:val="TableofFigures"/>
        <w:tabs>
          <w:tab w:val="right" w:leader="dot" w:pos="9016"/>
        </w:tabs>
        <w:spacing w:line="360" w:lineRule="auto"/>
        <w:rPr>
          <w:rFonts w:ascii="Times New Roman" w:eastAsiaTheme="minorEastAsia" w:hAnsi="Times New Roman" w:cs="Times New Roman"/>
          <w:noProof/>
          <w:lang w:eastAsia="zh-CN"/>
        </w:rPr>
      </w:pPr>
      <w:hyperlink w:anchor="_Toc119448466" w:history="1">
        <w:r w:rsidR="008F0B10" w:rsidRPr="00F153F6">
          <w:rPr>
            <w:rStyle w:val="Hyperlink"/>
            <w:rFonts w:ascii="Times New Roman" w:hAnsi="Times New Roman" w:cs="Times New Roman"/>
            <w:noProof/>
          </w:rPr>
          <w:t>Figure 4. 2 ICT-based Inter-organisational Knowledge Exchange Practice (Middle Stage)</w:t>
        </w:r>
        <w:r w:rsidR="008F0B10" w:rsidRPr="00F153F6">
          <w:rPr>
            <w:rFonts w:ascii="Times New Roman" w:hAnsi="Times New Roman" w:cs="Times New Roman"/>
            <w:noProof/>
            <w:webHidden/>
          </w:rPr>
          <w:tab/>
        </w:r>
        <w:r w:rsidR="008F0B10" w:rsidRPr="00F153F6">
          <w:rPr>
            <w:rFonts w:ascii="Times New Roman" w:hAnsi="Times New Roman" w:cs="Times New Roman"/>
            <w:noProof/>
            <w:webHidden/>
          </w:rPr>
          <w:fldChar w:fldCharType="begin"/>
        </w:r>
        <w:r w:rsidR="008F0B10" w:rsidRPr="00F153F6">
          <w:rPr>
            <w:rFonts w:ascii="Times New Roman" w:hAnsi="Times New Roman" w:cs="Times New Roman"/>
            <w:noProof/>
            <w:webHidden/>
          </w:rPr>
          <w:instrText xml:space="preserve"> PAGEREF _Toc119448466 \h </w:instrText>
        </w:r>
        <w:r w:rsidR="008F0B10" w:rsidRPr="00F153F6">
          <w:rPr>
            <w:rFonts w:ascii="Times New Roman" w:hAnsi="Times New Roman" w:cs="Times New Roman"/>
            <w:noProof/>
            <w:webHidden/>
          </w:rPr>
        </w:r>
        <w:r w:rsidR="008F0B10" w:rsidRPr="00F153F6">
          <w:rPr>
            <w:rFonts w:ascii="Times New Roman" w:hAnsi="Times New Roman" w:cs="Times New Roman"/>
            <w:noProof/>
            <w:webHidden/>
          </w:rPr>
          <w:fldChar w:fldCharType="separate"/>
        </w:r>
        <w:r w:rsidR="005B0BD1" w:rsidRPr="00F153F6">
          <w:rPr>
            <w:rFonts w:ascii="Times New Roman" w:hAnsi="Times New Roman" w:cs="Times New Roman"/>
            <w:noProof/>
            <w:webHidden/>
          </w:rPr>
          <w:t>1</w:t>
        </w:r>
        <w:r w:rsidR="00740903" w:rsidRPr="00F153F6">
          <w:rPr>
            <w:rFonts w:ascii="Times New Roman" w:hAnsi="Times New Roman" w:cs="Times New Roman"/>
            <w:noProof/>
            <w:webHidden/>
          </w:rPr>
          <w:t>2</w:t>
        </w:r>
        <w:r w:rsidR="00BE5D0A" w:rsidRPr="00F153F6">
          <w:rPr>
            <w:rFonts w:ascii="Times New Roman" w:hAnsi="Times New Roman" w:cs="Times New Roman"/>
            <w:noProof/>
            <w:webHidden/>
          </w:rPr>
          <w:t>3</w:t>
        </w:r>
        <w:r w:rsidR="008F0B10" w:rsidRPr="00F153F6">
          <w:rPr>
            <w:rFonts w:ascii="Times New Roman" w:hAnsi="Times New Roman" w:cs="Times New Roman"/>
            <w:noProof/>
            <w:webHidden/>
          </w:rPr>
          <w:fldChar w:fldCharType="end"/>
        </w:r>
      </w:hyperlink>
    </w:p>
    <w:p w14:paraId="1B21C29E" w14:textId="32562688" w:rsidR="008F0B10" w:rsidRPr="00F153F6" w:rsidRDefault="00000000" w:rsidP="004842BD">
      <w:pPr>
        <w:pStyle w:val="TableofFigures"/>
        <w:tabs>
          <w:tab w:val="right" w:leader="dot" w:pos="9016"/>
        </w:tabs>
        <w:spacing w:line="360" w:lineRule="auto"/>
        <w:rPr>
          <w:rFonts w:ascii="Times New Roman" w:eastAsiaTheme="minorEastAsia" w:hAnsi="Times New Roman" w:cs="Times New Roman"/>
          <w:noProof/>
          <w:lang w:eastAsia="zh-CN"/>
        </w:rPr>
      </w:pPr>
      <w:hyperlink w:anchor="_Toc119448467" w:history="1">
        <w:r w:rsidR="008F0B10" w:rsidRPr="00F153F6">
          <w:rPr>
            <w:rStyle w:val="Hyperlink"/>
            <w:rFonts w:ascii="Times New Roman" w:hAnsi="Times New Roman" w:cs="Times New Roman"/>
            <w:noProof/>
          </w:rPr>
          <w:t>Figure 4. 3 ICT-based Inter-organisational Knowledge Exchange Practice (Completed Stage)</w:t>
        </w:r>
        <w:r w:rsidR="008F0B10" w:rsidRPr="00F153F6">
          <w:rPr>
            <w:rFonts w:ascii="Times New Roman" w:hAnsi="Times New Roman" w:cs="Times New Roman"/>
            <w:noProof/>
            <w:webHidden/>
          </w:rPr>
          <w:tab/>
        </w:r>
        <w:r w:rsidR="008F0B10" w:rsidRPr="00F153F6">
          <w:rPr>
            <w:rFonts w:ascii="Times New Roman" w:hAnsi="Times New Roman" w:cs="Times New Roman"/>
            <w:noProof/>
            <w:webHidden/>
          </w:rPr>
          <w:fldChar w:fldCharType="begin"/>
        </w:r>
        <w:r w:rsidR="008F0B10" w:rsidRPr="00F153F6">
          <w:rPr>
            <w:rFonts w:ascii="Times New Roman" w:hAnsi="Times New Roman" w:cs="Times New Roman"/>
            <w:noProof/>
            <w:webHidden/>
          </w:rPr>
          <w:instrText xml:space="preserve"> PAGEREF _Toc119448467 \h </w:instrText>
        </w:r>
        <w:r w:rsidR="008F0B10" w:rsidRPr="00F153F6">
          <w:rPr>
            <w:rFonts w:ascii="Times New Roman" w:hAnsi="Times New Roman" w:cs="Times New Roman"/>
            <w:noProof/>
            <w:webHidden/>
          </w:rPr>
        </w:r>
        <w:r w:rsidR="008F0B10" w:rsidRPr="00F153F6">
          <w:rPr>
            <w:rFonts w:ascii="Times New Roman" w:hAnsi="Times New Roman" w:cs="Times New Roman"/>
            <w:noProof/>
            <w:webHidden/>
          </w:rPr>
          <w:fldChar w:fldCharType="separate"/>
        </w:r>
        <w:r w:rsidR="005B0BD1" w:rsidRPr="00F153F6">
          <w:rPr>
            <w:rFonts w:ascii="Times New Roman" w:hAnsi="Times New Roman" w:cs="Times New Roman"/>
            <w:noProof/>
            <w:webHidden/>
          </w:rPr>
          <w:t>1</w:t>
        </w:r>
        <w:r w:rsidR="00740903" w:rsidRPr="00F153F6">
          <w:rPr>
            <w:rFonts w:ascii="Times New Roman" w:hAnsi="Times New Roman" w:cs="Times New Roman"/>
            <w:noProof/>
            <w:webHidden/>
          </w:rPr>
          <w:t>3</w:t>
        </w:r>
        <w:r w:rsidR="00BE5D0A" w:rsidRPr="00F153F6">
          <w:rPr>
            <w:rFonts w:ascii="Times New Roman" w:hAnsi="Times New Roman" w:cs="Times New Roman"/>
            <w:noProof/>
            <w:webHidden/>
          </w:rPr>
          <w:t>8</w:t>
        </w:r>
        <w:r w:rsidR="008F0B10" w:rsidRPr="00F153F6">
          <w:rPr>
            <w:rFonts w:ascii="Times New Roman" w:hAnsi="Times New Roman" w:cs="Times New Roman"/>
            <w:noProof/>
            <w:webHidden/>
          </w:rPr>
          <w:fldChar w:fldCharType="end"/>
        </w:r>
      </w:hyperlink>
    </w:p>
    <w:p w14:paraId="7933E1B1" w14:textId="4084AF83" w:rsidR="008F0B10" w:rsidRPr="00F153F6" w:rsidRDefault="00000000" w:rsidP="004842BD">
      <w:pPr>
        <w:pStyle w:val="TableofFigures"/>
        <w:tabs>
          <w:tab w:val="right" w:leader="dot" w:pos="9016"/>
        </w:tabs>
        <w:spacing w:line="360" w:lineRule="auto"/>
        <w:rPr>
          <w:rFonts w:ascii="Times New Roman" w:eastAsiaTheme="minorEastAsia" w:hAnsi="Times New Roman" w:cs="Times New Roman"/>
          <w:noProof/>
          <w:lang w:eastAsia="zh-CN"/>
        </w:rPr>
      </w:pPr>
      <w:hyperlink w:anchor="_Toc119448468" w:history="1">
        <w:r w:rsidR="008F0B10" w:rsidRPr="00F153F6">
          <w:rPr>
            <w:rStyle w:val="Hyperlink"/>
            <w:rFonts w:ascii="Times New Roman" w:hAnsi="Times New Roman" w:cs="Times New Roman"/>
            <w:noProof/>
          </w:rPr>
          <w:t>Figure 4. 4 An Integrated Framework of ICT-based IOKE</w:t>
        </w:r>
        <w:r w:rsidR="008F0B10" w:rsidRPr="00F153F6">
          <w:rPr>
            <w:rFonts w:ascii="Times New Roman" w:hAnsi="Times New Roman" w:cs="Times New Roman"/>
            <w:noProof/>
            <w:webHidden/>
          </w:rPr>
          <w:tab/>
        </w:r>
        <w:r w:rsidR="008F0B10" w:rsidRPr="00F153F6">
          <w:rPr>
            <w:rFonts w:ascii="Times New Roman" w:hAnsi="Times New Roman" w:cs="Times New Roman"/>
            <w:noProof/>
            <w:webHidden/>
          </w:rPr>
          <w:fldChar w:fldCharType="begin"/>
        </w:r>
        <w:r w:rsidR="008F0B10" w:rsidRPr="00F153F6">
          <w:rPr>
            <w:rFonts w:ascii="Times New Roman" w:hAnsi="Times New Roman" w:cs="Times New Roman"/>
            <w:noProof/>
            <w:webHidden/>
          </w:rPr>
          <w:instrText xml:space="preserve"> PAGEREF _Toc119448468 \h </w:instrText>
        </w:r>
        <w:r w:rsidR="008F0B10" w:rsidRPr="00F153F6">
          <w:rPr>
            <w:rFonts w:ascii="Times New Roman" w:hAnsi="Times New Roman" w:cs="Times New Roman"/>
            <w:noProof/>
            <w:webHidden/>
          </w:rPr>
        </w:r>
        <w:r w:rsidR="008F0B10" w:rsidRPr="00F153F6">
          <w:rPr>
            <w:rFonts w:ascii="Times New Roman" w:hAnsi="Times New Roman" w:cs="Times New Roman"/>
            <w:noProof/>
            <w:webHidden/>
          </w:rPr>
          <w:fldChar w:fldCharType="separate"/>
        </w:r>
        <w:r w:rsidR="005B0BD1" w:rsidRPr="00F153F6">
          <w:rPr>
            <w:rFonts w:ascii="Times New Roman" w:hAnsi="Times New Roman" w:cs="Times New Roman"/>
            <w:noProof/>
            <w:webHidden/>
          </w:rPr>
          <w:t>1</w:t>
        </w:r>
        <w:r w:rsidR="00BE5D0A" w:rsidRPr="00F153F6">
          <w:rPr>
            <w:rFonts w:ascii="Times New Roman" w:hAnsi="Times New Roman" w:cs="Times New Roman"/>
            <w:noProof/>
            <w:webHidden/>
          </w:rPr>
          <w:t>69</w:t>
        </w:r>
        <w:r w:rsidR="008F0B10" w:rsidRPr="00F153F6">
          <w:rPr>
            <w:rFonts w:ascii="Times New Roman" w:hAnsi="Times New Roman" w:cs="Times New Roman"/>
            <w:noProof/>
            <w:webHidden/>
          </w:rPr>
          <w:fldChar w:fldCharType="end"/>
        </w:r>
      </w:hyperlink>
    </w:p>
    <w:p w14:paraId="2B694E0B" w14:textId="76DD7611" w:rsidR="008F0B10" w:rsidRPr="00F153F6" w:rsidRDefault="008F0B10" w:rsidP="004842BD">
      <w:pPr>
        <w:pStyle w:val="TableofFigures"/>
        <w:tabs>
          <w:tab w:val="right" w:leader="dot" w:pos="9016"/>
        </w:tabs>
        <w:spacing w:line="360" w:lineRule="auto"/>
        <w:rPr>
          <w:rFonts w:ascii="Times New Roman" w:hAnsi="Times New Roman" w:cs="Times New Roman"/>
          <w:b/>
          <w:bCs/>
          <w:noProof/>
          <w:sz w:val="24"/>
          <w:szCs w:val="24"/>
          <w:lang w:eastAsia="zh-CN"/>
        </w:rPr>
      </w:pPr>
      <w:r w:rsidRPr="00F153F6">
        <w:rPr>
          <w:rFonts w:ascii="Times New Roman" w:hAnsi="Times New Roman" w:cs="Times New Roman"/>
          <w:lang w:eastAsia="zh-CN"/>
        </w:rPr>
        <w:fldChar w:fldCharType="end"/>
      </w:r>
      <w:r w:rsidRPr="00F153F6">
        <w:rPr>
          <w:rFonts w:ascii="Times New Roman" w:hAnsi="Times New Roman" w:cs="Times New Roman"/>
          <w:b/>
          <w:bCs/>
          <w:sz w:val="24"/>
          <w:szCs w:val="24"/>
          <w:lang w:eastAsia="zh-CN"/>
        </w:rPr>
        <w:t>Chapter 5</w:t>
      </w:r>
      <w:r w:rsidRPr="00F153F6">
        <w:rPr>
          <w:rFonts w:ascii="Times New Roman" w:hAnsi="Times New Roman" w:cs="Times New Roman"/>
          <w:lang w:eastAsia="zh-CN"/>
        </w:rPr>
        <w:fldChar w:fldCharType="begin"/>
      </w:r>
      <w:r w:rsidRPr="00F153F6">
        <w:rPr>
          <w:rFonts w:ascii="Times New Roman" w:hAnsi="Times New Roman" w:cs="Times New Roman"/>
          <w:lang w:eastAsia="zh-CN"/>
        </w:rPr>
        <w:instrText xml:space="preserve"> TOC \h \z \c "Figure 5." </w:instrText>
      </w:r>
      <w:r w:rsidRPr="00F153F6">
        <w:rPr>
          <w:rFonts w:ascii="Times New Roman" w:hAnsi="Times New Roman" w:cs="Times New Roman"/>
          <w:lang w:eastAsia="zh-CN"/>
        </w:rPr>
        <w:fldChar w:fldCharType="separate"/>
      </w:r>
    </w:p>
    <w:p w14:paraId="01E3B7B8" w14:textId="78B72AAB" w:rsidR="008F0B10" w:rsidRPr="00F153F6" w:rsidRDefault="00000000" w:rsidP="004842BD">
      <w:pPr>
        <w:pStyle w:val="TableofFigures"/>
        <w:tabs>
          <w:tab w:val="right" w:leader="dot" w:pos="9016"/>
        </w:tabs>
        <w:spacing w:line="360" w:lineRule="auto"/>
        <w:rPr>
          <w:rFonts w:ascii="Times New Roman" w:eastAsiaTheme="minorEastAsia" w:hAnsi="Times New Roman" w:cs="Times New Roman"/>
          <w:noProof/>
          <w:lang w:eastAsia="zh-CN"/>
        </w:rPr>
      </w:pPr>
      <w:hyperlink w:anchor="_Toc119448469" w:history="1">
        <w:r w:rsidR="008F0B10" w:rsidRPr="00F153F6">
          <w:rPr>
            <w:rStyle w:val="Hyperlink"/>
            <w:rFonts w:ascii="Times New Roman" w:hAnsi="Times New Roman" w:cs="Times New Roman"/>
            <w:noProof/>
          </w:rPr>
          <w:t>Figure 5. 1 A Copy of Figure 4.4 An Integrated Framework of ICT-based IOKE</w:t>
        </w:r>
        <w:r w:rsidR="008F0B10" w:rsidRPr="00F153F6">
          <w:rPr>
            <w:rFonts w:ascii="Times New Roman" w:hAnsi="Times New Roman" w:cs="Times New Roman"/>
            <w:noProof/>
            <w:webHidden/>
          </w:rPr>
          <w:tab/>
        </w:r>
        <w:r w:rsidR="008F0B10" w:rsidRPr="00F153F6">
          <w:rPr>
            <w:rFonts w:ascii="Times New Roman" w:hAnsi="Times New Roman" w:cs="Times New Roman"/>
            <w:noProof/>
            <w:webHidden/>
          </w:rPr>
          <w:fldChar w:fldCharType="begin"/>
        </w:r>
        <w:r w:rsidR="008F0B10" w:rsidRPr="00F153F6">
          <w:rPr>
            <w:rFonts w:ascii="Times New Roman" w:hAnsi="Times New Roman" w:cs="Times New Roman"/>
            <w:noProof/>
            <w:webHidden/>
          </w:rPr>
          <w:instrText xml:space="preserve"> PAGEREF _Toc119448469 \h </w:instrText>
        </w:r>
        <w:r w:rsidR="008F0B10" w:rsidRPr="00F153F6">
          <w:rPr>
            <w:rFonts w:ascii="Times New Roman" w:hAnsi="Times New Roman" w:cs="Times New Roman"/>
            <w:noProof/>
            <w:webHidden/>
          </w:rPr>
        </w:r>
        <w:r w:rsidR="008F0B10" w:rsidRPr="00F153F6">
          <w:rPr>
            <w:rFonts w:ascii="Times New Roman" w:hAnsi="Times New Roman" w:cs="Times New Roman"/>
            <w:noProof/>
            <w:webHidden/>
          </w:rPr>
          <w:fldChar w:fldCharType="separate"/>
        </w:r>
        <w:r w:rsidR="005B0BD1" w:rsidRPr="00F153F6">
          <w:rPr>
            <w:rFonts w:ascii="Times New Roman" w:hAnsi="Times New Roman" w:cs="Times New Roman"/>
            <w:noProof/>
            <w:webHidden/>
          </w:rPr>
          <w:t>1</w:t>
        </w:r>
        <w:r w:rsidR="00740903" w:rsidRPr="00F153F6">
          <w:rPr>
            <w:rFonts w:ascii="Times New Roman" w:hAnsi="Times New Roman" w:cs="Times New Roman"/>
            <w:noProof/>
            <w:webHidden/>
          </w:rPr>
          <w:t>7</w:t>
        </w:r>
        <w:r w:rsidR="00BE5D0A" w:rsidRPr="00F153F6">
          <w:rPr>
            <w:rFonts w:ascii="Times New Roman" w:hAnsi="Times New Roman" w:cs="Times New Roman"/>
            <w:noProof/>
            <w:webHidden/>
          </w:rPr>
          <w:t>2</w:t>
        </w:r>
        <w:r w:rsidR="008F0B10" w:rsidRPr="00F153F6">
          <w:rPr>
            <w:rFonts w:ascii="Times New Roman" w:hAnsi="Times New Roman" w:cs="Times New Roman"/>
            <w:noProof/>
            <w:webHidden/>
          </w:rPr>
          <w:fldChar w:fldCharType="end"/>
        </w:r>
      </w:hyperlink>
    </w:p>
    <w:p w14:paraId="180BB868" w14:textId="0D2BEB09" w:rsidR="008F0B10" w:rsidRPr="00F153F6" w:rsidRDefault="00000000" w:rsidP="004842BD">
      <w:pPr>
        <w:pStyle w:val="TableofFigures"/>
        <w:tabs>
          <w:tab w:val="right" w:leader="dot" w:pos="9016"/>
        </w:tabs>
        <w:spacing w:line="360" w:lineRule="auto"/>
        <w:rPr>
          <w:rFonts w:ascii="Times New Roman" w:eastAsiaTheme="minorEastAsia" w:hAnsi="Times New Roman" w:cs="Times New Roman"/>
          <w:noProof/>
          <w:lang w:eastAsia="zh-CN"/>
        </w:rPr>
      </w:pPr>
      <w:hyperlink w:anchor="_Toc119448470" w:history="1">
        <w:r w:rsidR="008F0B10" w:rsidRPr="00F153F6">
          <w:rPr>
            <w:rStyle w:val="Hyperlink"/>
            <w:rFonts w:ascii="Times New Roman" w:hAnsi="Times New Roman" w:cs="Times New Roman"/>
            <w:noProof/>
          </w:rPr>
          <w:t>Figure 5. 2 A Copy of Figure 4.1 ICT-based Inter-organisational Knowledge Exchange Practice (Inception Stage)</w:t>
        </w:r>
        <w:r w:rsidR="008F0B10" w:rsidRPr="00F153F6">
          <w:rPr>
            <w:rFonts w:ascii="Times New Roman" w:hAnsi="Times New Roman" w:cs="Times New Roman"/>
            <w:noProof/>
            <w:webHidden/>
          </w:rPr>
          <w:tab/>
        </w:r>
        <w:r w:rsidR="008F0B10" w:rsidRPr="00F153F6">
          <w:rPr>
            <w:rFonts w:ascii="Times New Roman" w:hAnsi="Times New Roman" w:cs="Times New Roman"/>
            <w:noProof/>
            <w:webHidden/>
          </w:rPr>
          <w:fldChar w:fldCharType="begin"/>
        </w:r>
        <w:r w:rsidR="008F0B10" w:rsidRPr="00F153F6">
          <w:rPr>
            <w:rFonts w:ascii="Times New Roman" w:hAnsi="Times New Roman" w:cs="Times New Roman"/>
            <w:noProof/>
            <w:webHidden/>
          </w:rPr>
          <w:instrText xml:space="preserve"> PAGEREF _Toc119448470 \h </w:instrText>
        </w:r>
        <w:r w:rsidR="008F0B10" w:rsidRPr="00F153F6">
          <w:rPr>
            <w:rFonts w:ascii="Times New Roman" w:hAnsi="Times New Roman" w:cs="Times New Roman"/>
            <w:noProof/>
            <w:webHidden/>
          </w:rPr>
        </w:r>
        <w:r w:rsidR="008F0B10" w:rsidRPr="00F153F6">
          <w:rPr>
            <w:rFonts w:ascii="Times New Roman" w:hAnsi="Times New Roman" w:cs="Times New Roman"/>
            <w:noProof/>
            <w:webHidden/>
          </w:rPr>
          <w:fldChar w:fldCharType="separate"/>
        </w:r>
        <w:r w:rsidR="005B0BD1" w:rsidRPr="00F153F6">
          <w:rPr>
            <w:rFonts w:ascii="Times New Roman" w:hAnsi="Times New Roman" w:cs="Times New Roman"/>
            <w:noProof/>
            <w:webHidden/>
          </w:rPr>
          <w:t>1</w:t>
        </w:r>
        <w:r w:rsidR="00740903" w:rsidRPr="00F153F6">
          <w:rPr>
            <w:rFonts w:ascii="Times New Roman" w:hAnsi="Times New Roman" w:cs="Times New Roman"/>
            <w:noProof/>
            <w:webHidden/>
          </w:rPr>
          <w:t>7</w:t>
        </w:r>
        <w:r w:rsidR="00BE5D0A" w:rsidRPr="00F153F6">
          <w:rPr>
            <w:rFonts w:ascii="Times New Roman" w:hAnsi="Times New Roman" w:cs="Times New Roman"/>
            <w:noProof/>
            <w:webHidden/>
          </w:rPr>
          <w:t>8</w:t>
        </w:r>
        <w:r w:rsidR="008F0B10" w:rsidRPr="00F153F6">
          <w:rPr>
            <w:rFonts w:ascii="Times New Roman" w:hAnsi="Times New Roman" w:cs="Times New Roman"/>
            <w:noProof/>
            <w:webHidden/>
          </w:rPr>
          <w:fldChar w:fldCharType="end"/>
        </w:r>
      </w:hyperlink>
    </w:p>
    <w:p w14:paraId="14AE27DB" w14:textId="1FA15D91" w:rsidR="008F0B10" w:rsidRPr="00F153F6" w:rsidRDefault="00000000" w:rsidP="004842BD">
      <w:pPr>
        <w:pStyle w:val="TableofFigures"/>
        <w:tabs>
          <w:tab w:val="right" w:leader="dot" w:pos="9016"/>
        </w:tabs>
        <w:spacing w:line="360" w:lineRule="auto"/>
        <w:rPr>
          <w:rFonts w:ascii="Times New Roman" w:eastAsiaTheme="minorEastAsia" w:hAnsi="Times New Roman" w:cs="Times New Roman"/>
          <w:noProof/>
          <w:lang w:eastAsia="zh-CN"/>
        </w:rPr>
      </w:pPr>
      <w:hyperlink w:anchor="_Toc119448471" w:history="1">
        <w:r w:rsidR="008F0B10" w:rsidRPr="00F153F6">
          <w:rPr>
            <w:rStyle w:val="Hyperlink"/>
            <w:rFonts w:ascii="Times New Roman" w:hAnsi="Times New Roman" w:cs="Times New Roman"/>
            <w:noProof/>
          </w:rPr>
          <w:t>Figure 5. 3 A Copy of Figure 4.2 ICT-based Inter-organisational Knowledge Exchange Practice (Middle Stage)</w:t>
        </w:r>
        <w:r w:rsidR="008F0B10" w:rsidRPr="00F153F6">
          <w:rPr>
            <w:rFonts w:ascii="Times New Roman" w:hAnsi="Times New Roman" w:cs="Times New Roman"/>
            <w:noProof/>
            <w:webHidden/>
          </w:rPr>
          <w:tab/>
        </w:r>
        <w:r w:rsidR="008F0B10" w:rsidRPr="00F153F6">
          <w:rPr>
            <w:rFonts w:ascii="Times New Roman" w:hAnsi="Times New Roman" w:cs="Times New Roman"/>
            <w:noProof/>
            <w:webHidden/>
          </w:rPr>
          <w:fldChar w:fldCharType="begin"/>
        </w:r>
        <w:r w:rsidR="008F0B10" w:rsidRPr="00F153F6">
          <w:rPr>
            <w:rFonts w:ascii="Times New Roman" w:hAnsi="Times New Roman" w:cs="Times New Roman"/>
            <w:noProof/>
            <w:webHidden/>
          </w:rPr>
          <w:instrText xml:space="preserve"> PAGEREF _Toc119448471 \h </w:instrText>
        </w:r>
        <w:r w:rsidR="008F0B10" w:rsidRPr="00F153F6">
          <w:rPr>
            <w:rFonts w:ascii="Times New Roman" w:hAnsi="Times New Roman" w:cs="Times New Roman"/>
            <w:noProof/>
            <w:webHidden/>
          </w:rPr>
        </w:r>
        <w:r w:rsidR="008F0B10" w:rsidRPr="00F153F6">
          <w:rPr>
            <w:rFonts w:ascii="Times New Roman" w:hAnsi="Times New Roman" w:cs="Times New Roman"/>
            <w:noProof/>
            <w:webHidden/>
          </w:rPr>
          <w:fldChar w:fldCharType="separate"/>
        </w:r>
        <w:r w:rsidR="005B0BD1" w:rsidRPr="00F153F6">
          <w:rPr>
            <w:rFonts w:ascii="Times New Roman" w:hAnsi="Times New Roman" w:cs="Times New Roman"/>
            <w:noProof/>
            <w:webHidden/>
          </w:rPr>
          <w:t>1</w:t>
        </w:r>
        <w:r w:rsidR="00740903" w:rsidRPr="00F153F6">
          <w:rPr>
            <w:rFonts w:ascii="Times New Roman" w:hAnsi="Times New Roman" w:cs="Times New Roman"/>
            <w:noProof/>
            <w:webHidden/>
          </w:rPr>
          <w:t>8</w:t>
        </w:r>
        <w:r w:rsidR="00BE5D0A" w:rsidRPr="00F153F6">
          <w:rPr>
            <w:rFonts w:ascii="Times New Roman" w:hAnsi="Times New Roman" w:cs="Times New Roman"/>
            <w:noProof/>
            <w:webHidden/>
          </w:rPr>
          <w:t>3</w:t>
        </w:r>
        <w:r w:rsidR="008F0B10" w:rsidRPr="00F153F6">
          <w:rPr>
            <w:rFonts w:ascii="Times New Roman" w:hAnsi="Times New Roman" w:cs="Times New Roman"/>
            <w:noProof/>
            <w:webHidden/>
          </w:rPr>
          <w:fldChar w:fldCharType="end"/>
        </w:r>
      </w:hyperlink>
    </w:p>
    <w:p w14:paraId="783BBE45" w14:textId="70DE5B53" w:rsidR="008F0B10" w:rsidRPr="00F153F6" w:rsidRDefault="00000000" w:rsidP="004842BD">
      <w:pPr>
        <w:pStyle w:val="TableofFigures"/>
        <w:tabs>
          <w:tab w:val="right" w:leader="dot" w:pos="9016"/>
        </w:tabs>
        <w:spacing w:line="360" w:lineRule="auto"/>
        <w:rPr>
          <w:rFonts w:ascii="Times New Roman" w:eastAsiaTheme="minorEastAsia" w:hAnsi="Times New Roman" w:cs="Times New Roman"/>
          <w:noProof/>
          <w:lang w:eastAsia="zh-CN"/>
        </w:rPr>
      </w:pPr>
      <w:hyperlink w:anchor="_Toc119448472" w:history="1">
        <w:r w:rsidR="008F0B10" w:rsidRPr="00F153F6">
          <w:rPr>
            <w:rStyle w:val="Hyperlink"/>
            <w:rFonts w:ascii="Times New Roman" w:hAnsi="Times New Roman" w:cs="Times New Roman"/>
            <w:noProof/>
          </w:rPr>
          <w:t>Figure 5. 4 A Copy of Figure 4.3 ICT-based Inter-organisational Knowledge Exchange Practice (Completed Stage)</w:t>
        </w:r>
        <w:r w:rsidR="008F0B10" w:rsidRPr="00F153F6">
          <w:rPr>
            <w:rFonts w:ascii="Times New Roman" w:hAnsi="Times New Roman" w:cs="Times New Roman"/>
            <w:noProof/>
            <w:webHidden/>
          </w:rPr>
          <w:tab/>
        </w:r>
        <w:r w:rsidR="008F0B10" w:rsidRPr="00F153F6">
          <w:rPr>
            <w:rFonts w:ascii="Times New Roman" w:hAnsi="Times New Roman" w:cs="Times New Roman"/>
            <w:noProof/>
            <w:webHidden/>
          </w:rPr>
          <w:fldChar w:fldCharType="begin"/>
        </w:r>
        <w:r w:rsidR="008F0B10" w:rsidRPr="00F153F6">
          <w:rPr>
            <w:rFonts w:ascii="Times New Roman" w:hAnsi="Times New Roman" w:cs="Times New Roman"/>
            <w:noProof/>
            <w:webHidden/>
          </w:rPr>
          <w:instrText xml:space="preserve"> PAGEREF _Toc119448472 \h </w:instrText>
        </w:r>
        <w:r w:rsidR="008F0B10" w:rsidRPr="00F153F6">
          <w:rPr>
            <w:rFonts w:ascii="Times New Roman" w:hAnsi="Times New Roman" w:cs="Times New Roman"/>
            <w:noProof/>
            <w:webHidden/>
          </w:rPr>
        </w:r>
        <w:r w:rsidR="008F0B10" w:rsidRPr="00F153F6">
          <w:rPr>
            <w:rFonts w:ascii="Times New Roman" w:hAnsi="Times New Roman" w:cs="Times New Roman"/>
            <w:noProof/>
            <w:webHidden/>
          </w:rPr>
          <w:fldChar w:fldCharType="separate"/>
        </w:r>
        <w:r w:rsidR="005B0BD1" w:rsidRPr="00F153F6">
          <w:rPr>
            <w:rFonts w:ascii="Times New Roman" w:hAnsi="Times New Roman" w:cs="Times New Roman"/>
            <w:noProof/>
            <w:webHidden/>
          </w:rPr>
          <w:t>1</w:t>
        </w:r>
        <w:r w:rsidR="00740903" w:rsidRPr="00F153F6">
          <w:rPr>
            <w:rFonts w:ascii="Times New Roman" w:hAnsi="Times New Roman" w:cs="Times New Roman"/>
            <w:noProof/>
            <w:webHidden/>
          </w:rPr>
          <w:t>8</w:t>
        </w:r>
        <w:r w:rsidR="00BE5D0A" w:rsidRPr="00F153F6">
          <w:rPr>
            <w:rFonts w:ascii="Times New Roman" w:hAnsi="Times New Roman" w:cs="Times New Roman"/>
            <w:noProof/>
            <w:webHidden/>
          </w:rPr>
          <w:t>7</w:t>
        </w:r>
        <w:r w:rsidR="008F0B10" w:rsidRPr="00F153F6">
          <w:rPr>
            <w:rFonts w:ascii="Times New Roman" w:hAnsi="Times New Roman" w:cs="Times New Roman"/>
            <w:noProof/>
            <w:webHidden/>
          </w:rPr>
          <w:fldChar w:fldCharType="end"/>
        </w:r>
      </w:hyperlink>
    </w:p>
    <w:p w14:paraId="7ACCB03D" w14:textId="377F5840" w:rsidR="00721305" w:rsidRPr="00F153F6" w:rsidRDefault="008F0B10" w:rsidP="004842BD">
      <w:pPr>
        <w:spacing w:after="160" w:line="360" w:lineRule="auto"/>
        <w:jc w:val="both"/>
        <w:rPr>
          <w:rFonts w:ascii="Times New Roman" w:hAnsi="Times New Roman" w:cs="Times New Roman"/>
          <w:lang w:eastAsia="zh-CN"/>
        </w:rPr>
      </w:pPr>
      <w:r w:rsidRPr="00F153F6">
        <w:rPr>
          <w:rFonts w:ascii="Times New Roman" w:hAnsi="Times New Roman" w:cs="Times New Roman"/>
          <w:lang w:eastAsia="zh-CN"/>
        </w:rPr>
        <w:fldChar w:fldCharType="end"/>
      </w:r>
      <w:r w:rsidR="00721305" w:rsidRPr="00F153F6">
        <w:rPr>
          <w:rFonts w:ascii="Times New Roman" w:hAnsi="Times New Roman" w:cs="Times New Roman"/>
          <w:lang w:eastAsia="zh-CN"/>
        </w:rPr>
        <w:br w:type="page"/>
      </w:r>
    </w:p>
    <w:p w14:paraId="31802B95" w14:textId="6F7F76BD" w:rsidR="00721305" w:rsidRPr="00F153F6" w:rsidRDefault="00721305" w:rsidP="004424B4">
      <w:pPr>
        <w:pStyle w:val="Heading1"/>
        <w:spacing w:line="360" w:lineRule="auto"/>
        <w:jc w:val="center"/>
        <w:rPr>
          <w:rFonts w:ascii="Times New Roman" w:hAnsi="Times New Roman" w:cs="Times New Roman"/>
          <w:b w:val="0"/>
          <w:bCs/>
          <w:sz w:val="40"/>
          <w:szCs w:val="40"/>
        </w:rPr>
      </w:pPr>
      <w:bookmarkStart w:id="5" w:name="_Toc133252097"/>
      <w:r w:rsidRPr="00F153F6">
        <w:rPr>
          <w:rFonts w:ascii="Times New Roman" w:hAnsi="Times New Roman" w:cs="Times New Roman"/>
          <w:b w:val="0"/>
          <w:bCs/>
          <w:sz w:val="44"/>
          <w:szCs w:val="44"/>
        </w:rPr>
        <w:lastRenderedPageBreak/>
        <w:t>DECLARATION</w:t>
      </w:r>
      <w:bookmarkEnd w:id="5"/>
    </w:p>
    <w:p w14:paraId="50CB8FAC" w14:textId="553D6DD5" w:rsidR="00721305" w:rsidRPr="00F153F6" w:rsidRDefault="00721305" w:rsidP="004424B4">
      <w:pPr>
        <w:spacing w:line="360" w:lineRule="auto"/>
        <w:jc w:val="both"/>
        <w:rPr>
          <w:lang w:eastAsia="zh-CN"/>
        </w:rPr>
      </w:pPr>
      <w:r w:rsidRPr="00F153F6">
        <w:rPr>
          <w:rFonts w:ascii="Times New Roman" w:hAnsi="Times New Roman" w:cs="Times New Roman"/>
        </w:rPr>
        <w:t>I, the author, confirm that the Thesis is my own work. I am aware of the University’s Guidance on the Use of Unfair Means (</w:t>
      </w:r>
      <w:hyperlink r:id="rId9" w:history="1">
        <w:r w:rsidRPr="00F153F6">
          <w:rPr>
            <w:rStyle w:val="Hyperlink"/>
            <w:rFonts w:ascii="Times New Roman" w:hAnsi="Times New Roman" w:cs="Times New Roman"/>
            <w:sz w:val="24"/>
            <w:szCs w:val="24"/>
          </w:rPr>
          <w:t>www.sheffield.ac.uk/ssid/unfair-means</w:t>
        </w:r>
      </w:hyperlink>
      <w:r w:rsidRPr="00F153F6">
        <w:rPr>
          <w:rFonts w:ascii="Times New Roman" w:hAnsi="Times New Roman" w:cs="Times New Roman"/>
        </w:rPr>
        <w:t>).  This work has not previously been presented for an award at this, or any other, university.</w:t>
      </w:r>
    </w:p>
    <w:p w14:paraId="2C539C2B" w14:textId="28C26E2C" w:rsidR="00721305" w:rsidRPr="00F153F6" w:rsidRDefault="00721305" w:rsidP="004424B4">
      <w:pPr>
        <w:pStyle w:val="Heading1"/>
        <w:spacing w:line="360" w:lineRule="auto"/>
        <w:jc w:val="center"/>
        <w:rPr>
          <w:rFonts w:ascii="Times New Roman" w:hAnsi="Times New Roman" w:cs="Times New Roman"/>
          <w:b w:val="0"/>
          <w:bCs/>
          <w:sz w:val="44"/>
          <w:szCs w:val="44"/>
          <w:lang w:val="fr-FR"/>
        </w:rPr>
      </w:pPr>
      <w:bookmarkStart w:id="6" w:name="_Toc133252098"/>
      <w:r w:rsidRPr="00F153F6">
        <w:rPr>
          <w:rFonts w:ascii="Times New Roman" w:hAnsi="Times New Roman" w:cs="Times New Roman"/>
          <w:b w:val="0"/>
          <w:bCs/>
          <w:sz w:val="44"/>
          <w:szCs w:val="44"/>
          <w:lang w:val="fr-FR"/>
        </w:rPr>
        <w:t>PUBLICATIONS</w:t>
      </w:r>
      <w:bookmarkEnd w:id="6"/>
    </w:p>
    <w:p w14:paraId="1616B109" w14:textId="77777777" w:rsidR="00E1497A" w:rsidRPr="00F153F6" w:rsidRDefault="00E1497A" w:rsidP="004424B4">
      <w:pPr>
        <w:pStyle w:val="ResumeAlignRight"/>
        <w:tabs>
          <w:tab w:val="left" w:pos="360"/>
        </w:tabs>
        <w:spacing w:line="360" w:lineRule="auto"/>
        <w:rPr>
          <w:b/>
          <w:sz w:val="22"/>
          <w:szCs w:val="22"/>
          <w:lang w:val="fr-FR"/>
        </w:rPr>
      </w:pPr>
      <w:r w:rsidRPr="00F153F6">
        <w:rPr>
          <w:b/>
          <w:sz w:val="22"/>
          <w:szCs w:val="22"/>
          <w:lang w:val="fr-FR"/>
        </w:rPr>
        <w:t>Journal Articles</w:t>
      </w:r>
    </w:p>
    <w:p w14:paraId="364EE65F" w14:textId="54D3BF2B" w:rsidR="00E1497A" w:rsidRPr="00F153F6" w:rsidRDefault="00E1497A" w:rsidP="004424B4">
      <w:pPr>
        <w:pStyle w:val="ResumeAlignRight"/>
        <w:tabs>
          <w:tab w:val="left" w:pos="360"/>
        </w:tabs>
        <w:spacing w:line="360" w:lineRule="auto"/>
        <w:rPr>
          <w:bCs/>
          <w:sz w:val="22"/>
          <w:szCs w:val="22"/>
          <w:lang w:val="en-GB"/>
        </w:rPr>
      </w:pPr>
      <w:r w:rsidRPr="00F153F6">
        <w:rPr>
          <w:bCs/>
          <w:sz w:val="22"/>
          <w:szCs w:val="22"/>
          <w:lang w:val="fr-FR"/>
        </w:rPr>
        <w:t xml:space="preserve">Li, S., Wang, Y., Filieri, R., &amp; </w:t>
      </w:r>
      <w:r w:rsidRPr="00F153F6">
        <w:rPr>
          <w:b/>
          <w:sz w:val="22"/>
          <w:szCs w:val="22"/>
          <w:u w:val="single"/>
          <w:lang w:val="fr-FR"/>
        </w:rPr>
        <w:t>Zhu, Y.</w:t>
      </w:r>
      <w:r w:rsidRPr="00F153F6">
        <w:rPr>
          <w:bCs/>
          <w:sz w:val="22"/>
          <w:szCs w:val="22"/>
          <w:lang w:val="fr-FR"/>
        </w:rPr>
        <w:t xml:space="preserve"> (2022). </w:t>
      </w:r>
      <w:r w:rsidRPr="00F153F6">
        <w:rPr>
          <w:bCs/>
          <w:sz w:val="22"/>
          <w:szCs w:val="22"/>
          <w:lang w:val="en-GB"/>
        </w:rPr>
        <w:t xml:space="preserve">Eliciting positive emotion through strategic responses to COVID-19 crisis: Evidence from the tourism sector. </w:t>
      </w:r>
      <w:r w:rsidRPr="00F153F6">
        <w:rPr>
          <w:bCs/>
          <w:i/>
          <w:iCs/>
          <w:sz w:val="22"/>
          <w:szCs w:val="22"/>
          <w:lang w:val="en-GB"/>
        </w:rPr>
        <w:t>Tourism management</w:t>
      </w:r>
      <w:r w:rsidRPr="00F153F6">
        <w:rPr>
          <w:bCs/>
          <w:sz w:val="22"/>
          <w:szCs w:val="22"/>
          <w:lang w:val="en-GB"/>
        </w:rPr>
        <w:t>, 90, 104485.</w:t>
      </w:r>
    </w:p>
    <w:p w14:paraId="5A59AB63" w14:textId="77777777" w:rsidR="004424B4" w:rsidRPr="00F153F6" w:rsidRDefault="004424B4" w:rsidP="004424B4">
      <w:pPr>
        <w:pStyle w:val="ResumeAlignRight"/>
        <w:tabs>
          <w:tab w:val="left" w:pos="360"/>
        </w:tabs>
        <w:spacing w:line="360" w:lineRule="auto"/>
        <w:rPr>
          <w:b/>
          <w:sz w:val="22"/>
          <w:szCs w:val="22"/>
          <w:lang w:val="en-GB"/>
        </w:rPr>
      </w:pPr>
    </w:p>
    <w:p w14:paraId="0BE892E5" w14:textId="77777777" w:rsidR="00E1497A" w:rsidRPr="00F153F6" w:rsidRDefault="00E1497A" w:rsidP="004424B4">
      <w:pPr>
        <w:pStyle w:val="ResumeAlignRight"/>
        <w:tabs>
          <w:tab w:val="left" w:pos="360"/>
        </w:tabs>
        <w:spacing w:line="360" w:lineRule="auto"/>
        <w:rPr>
          <w:b/>
          <w:sz w:val="22"/>
          <w:szCs w:val="22"/>
          <w:lang w:val="en-GB"/>
        </w:rPr>
      </w:pPr>
      <w:r w:rsidRPr="00F153F6">
        <w:rPr>
          <w:b/>
          <w:sz w:val="22"/>
          <w:szCs w:val="22"/>
          <w:lang w:val="en-GB"/>
        </w:rPr>
        <w:t>Conference Proceedings</w:t>
      </w:r>
    </w:p>
    <w:p w14:paraId="7458207F" w14:textId="77777777" w:rsidR="00E1497A" w:rsidRPr="00F153F6" w:rsidRDefault="00E1497A" w:rsidP="004424B4">
      <w:pPr>
        <w:pStyle w:val="ResumeAlignRight"/>
        <w:tabs>
          <w:tab w:val="left" w:pos="360"/>
        </w:tabs>
        <w:spacing w:line="360" w:lineRule="auto"/>
        <w:rPr>
          <w:bCs/>
          <w:sz w:val="22"/>
          <w:szCs w:val="22"/>
          <w:lang w:val="en-GB"/>
        </w:rPr>
      </w:pPr>
      <w:r w:rsidRPr="00F153F6">
        <w:rPr>
          <w:b/>
          <w:sz w:val="22"/>
          <w:szCs w:val="22"/>
          <w:u w:val="single"/>
          <w:lang w:val="en-GB"/>
        </w:rPr>
        <w:t>Zhu, Y.</w:t>
      </w:r>
      <w:r w:rsidRPr="00F153F6">
        <w:rPr>
          <w:bCs/>
          <w:sz w:val="22"/>
          <w:szCs w:val="22"/>
          <w:lang w:val="en-GB"/>
        </w:rPr>
        <w:t>, Zamani, E. D., Martins, J. T., &amp; Vasconcelos, A. C. (2021, September). ICT-Based Inter-organisational Knowledge Exchange: A Narrative Literature Review Approach. In Conference on e-Business, e-Services and e-Society (pp. 411-422). Springer, Cham.</w:t>
      </w:r>
    </w:p>
    <w:p w14:paraId="0DEEE81B" w14:textId="77777777" w:rsidR="004424B4" w:rsidRPr="00F153F6" w:rsidRDefault="004424B4" w:rsidP="004424B4">
      <w:pPr>
        <w:pStyle w:val="ResumeAlignRight"/>
        <w:tabs>
          <w:tab w:val="left" w:pos="360"/>
        </w:tabs>
        <w:spacing w:line="360" w:lineRule="auto"/>
        <w:rPr>
          <w:b/>
          <w:sz w:val="22"/>
          <w:szCs w:val="22"/>
          <w:lang w:val="en-GB"/>
        </w:rPr>
      </w:pPr>
    </w:p>
    <w:p w14:paraId="133EAD47" w14:textId="77777777" w:rsidR="00E1497A" w:rsidRPr="00F153F6" w:rsidRDefault="00E1497A" w:rsidP="004424B4">
      <w:pPr>
        <w:pStyle w:val="ResumeAlignRight"/>
        <w:tabs>
          <w:tab w:val="left" w:pos="360"/>
        </w:tabs>
        <w:spacing w:line="360" w:lineRule="auto"/>
        <w:rPr>
          <w:b/>
          <w:sz w:val="22"/>
          <w:szCs w:val="22"/>
          <w:lang w:val="en-GB"/>
        </w:rPr>
      </w:pPr>
      <w:r w:rsidRPr="00F153F6">
        <w:rPr>
          <w:b/>
          <w:sz w:val="22"/>
          <w:szCs w:val="22"/>
          <w:lang w:val="en-GB"/>
        </w:rPr>
        <w:t>Book Series</w:t>
      </w:r>
    </w:p>
    <w:p w14:paraId="668A2F11" w14:textId="77777777" w:rsidR="00E1497A" w:rsidRPr="00F153F6" w:rsidRDefault="00E1497A" w:rsidP="004424B4">
      <w:pPr>
        <w:pStyle w:val="ResumeAlignRight"/>
        <w:tabs>
          <w:tab w:val="left" w:pos="360"/>
        </w:tabs>
        <w:spacing w:line="360" w:lineRule="auto"/>
        <w:rPr>
          <w:bCs/>
          <w:sz w:val="22"/>
          <w:szCs w:val="22"/>
          <w:lang w:val="en-GB"/>
        </w:rPr>
      </w:pPr>
      <w:r w:rsidRPr="00F153F6">
        <w:rPr>
          <w:b/>
          <w:sz w:val="22"/>
          <w:szCs w:val="22"/>
          <w:u w:val="single"/>
          <w:lang w:val="en-GB"/>
        </w:rPr>
        <w:t>Zhu, Y.</w:t>
      </w:r>
      <w:r w:rsidRPr="00F153F6">
        <w:rPr>
          <w:bCs/>
          <w:sz w:val="22"/>
          <w:szCs w:val="22"/>
          <w:lang w:val="en-GB"/>
        </w:rPr>
        <w:t>, &amp; Zhao, X. (2022). International Student Mobility and Employability: An Employer Perspective on the Impact of Study Abroad Experiences. STAR Scholar Book Series, 145-162.</w:t>
      </w:r>
    </w:p>
    <w:p w14:paraId="560BC5CC" w14:textId="77777777" w:rsidR="00E1497A" w:rsidRPr="00F153F6" w:rsidRDefault="00E1497A" w:rsidP="004424B4">
      <w:pPr>
        <w:pStyle w:val="ResumeAlignRight"/>
        <w:tabs>
          <w:tab w:val="left" w:pos="360"/>
        </w:tabs>
        <w:spacing w:line="360" w:lineRule="auto"/>
        <w:rPr>
          <w:bCs/>
          <w:sz w:val="22"/>
          <w:szCs w:val="22"/>
          <w:lang w:val="en-GB"/>
        </w:rPr>
      </w:pPr>
    </w:p>
    <w:p w14:paraId="1CB011B5" w14:textId="18E1B243" w:rsidR="00E1497A" w:rsidRPr="00F153F6" w:rsidRDefault="00E1497A" w:rsidP="004424B4">
      <w:pPr>
        <w:pStyle w:val="ResumeAlignRight"/>
        <w:tabs>
          <w:tab w:val="clear" w:pos="10080"/>
          <w:tab w:val="left" w:pos="360"/>
          <w:tab w:val="left" w:pos="5175"/>
        </w:tabs>
        <w:spacing w:line="360" w:lineRule="auto"/>
        <w:rPr>
          <w:b/>
          <w:bCs/>
          <w:sz w:val="22"/>
          <w:szCs w:val="22"/>
          <w:lang w:val="en-GB"/>
        </w:rPr>
      </w:pPr>
      <w:r w:rsidRPr="00F153F6">
        <w:rPr>
          <w:b/>
          <w:bCs/>
          <w:sz w:val="22"/>
          <w:szCs w:val="22"/>
          <w:lang w:val="en-GB"/>
        </w:rPr>
        <w:t>Paper Under Revision</w:t>
      </w:r>
      <w:r w:rsidRPr="00F153F6">
        <w:rPr>
          <w:b/>
          <w:bCs/>
          <w:sz w:val="22"/>
          <w:szCs w:val="22"/>
          <w:lang w:val="en-GB"/>
        </w:rPr>
        <w:tab/>
      </w:r>
    </w:p>
    <w:p w14:paraId="29A40421" w14:textId="6112E3C2" w:rsidR="00E1497A" w:rsidRPr="00F153F6" w:rsidRDefault="00E1497A" w:rsidP="004424B4">
      <w:pPr>
        <w:pStyle w:val="ResumeAlignRight"/>
        <w:tabs>
          <w:tab w:val="left" w:pos="360"/>
        </w:tabs>
        <w:spacing w:line="360" w:lineRule="auto"/>
        <w:rPr>
          <w:b/>
          <w:bCs/>
          <w:sz w:val="22"/>
          <w:szCs w:val="22"/>
          <w:lang w:val="en-GB"/>
        </w:rPr>
      </w:pPr>
      <w:r w:rsidRPr="00F153F6">
        <w:rPr>
          <w:bCs/>
          <w:sz w:val="22"/>
          <w:szCs w:val="22"/>
          <w:lang w:val="en-GB"/>
        </w:rPr>
        <w:t xml:space="preserve">Mikalef, P., Zamani, E.D., &amp; </w:t>
      </w:r>
      <w:r w:rsidRPr="00F153F6">
        <w:rPr>
          <w:b/>
          <w:sz w:val="22"/>
          <w:szCs w:val="22"/>
          <w:u w:val="single"/>
          <w:lang w:val="en-GB"/>
        </w:rPr>
        <w:t>Zhu, Y.</w:t>
      </w:r>
      <w:r w:rsidRPr="00F153F6">
        <w:rPr>
          <w:bCs/>
          <w:sz w:val="22"/>
          <w:szCs w:val="22"/>
          <w:lang w:val="en-GB"/>
        </w:rPr>
        <w:t xml:space="preserve"> “Artificial Intelligence (AI) and User Experience (UX) design: A systematic literature review”. </w:t>
      </w:r>
      <w:r w:rsidRPr="00F153F6">
        <w:rPr>
          <w:b/>
          <w:bCs/>
          <w:sz w:val="22"/>
          <w:szCs w:val="22"/>
          <w:lang w:val="en-GB"/>
        </w:rPr>
        <w:t>(</w:t>
      </w:r>
      <w:r w:rsidRPr="00F153F6">
        <w:rPr>
          <w:sz w:val="22"/>
          <w:szCs w:val="22"/>
          <w:lang w:val="en-GB"/>
        </w:rPr>
        <w:t>Under Revi</w:t>
      </w:r>
      <w:r w:rsidR="00BB09F5" w:rsidRPr="00F153F6">
        <w:rPr>
          <w:rFonts w:hint="eastAsia"/>
          <w:sz w:val="22"/>
          <w:szCs w:val="22"/>
          <w:lang w:val="en-GB"/>
        </w:rPr>
        <w:t>ew</w:t>
      </w:r>
      <w:r w:rsidRPr="00F153F6">
        <w:rPr>
          <w:sz w:val="22"/>
          <w:szCs w:val="22"/>
          <w:lang w:val="en-GB"/>
        </w:rPr>
        <w:t xml:space="preserve"> at</w:t>
      </w:r>
      <w:r w:rsidRPr="00F153F6">
        <w:rPr>
          <w:b/>
          <w:bCs/>
          <w:sz w:val="22"/>
          <w:szCs w:val="22"/>
          <w:lang w:val="en-GB"/>
        </w:rPr>
        <w:t xml:space="preserve"> </w:t>
      </w:r>
      <w:r w:rsidRPr="00F153F6">
        <w:rPr>
          <w:i/>
          <w:iCs/>
          <w:sz w:val="22"/>
          <w:szCs w:val="22"/>
          <w:lang w:val="en-GB"/>
        </w:rPr>
        <w:t>Information Technology &amp; People</w:t>
      </w:r>
      <w:r w:rsidRPr="00F153F6">
        <w:rPr>
          <w:sz w:val="22"/>
          <w:szCs w:val="22"/>
          <w:lang w:val="en-GB"/>
        </w:rPr>
        <w:t>)</w:t>
      </w:r>
    </w:p>
    <w:p w14:paraId="143F2262" w14:textId="77777777" w:rsidR="00E1497A" w:rsidRPr="00F153F6" w:rsidRDefault="00E1497A" w:rsidP="004424B4">
      <w:pPr>
        <w:pStyle w:val="ResumeAlignRight"/>
        <w:tabs>
          <w:tab w:val="left" w:pos="360"/>
        </w:tabs>
        <w:spacing w:line="360" w:lineRule="auto"/>
        <w:rPr>
          <w:bCs/>
          <w:sz w:val="22"/>
          <w:szCs w:val="22"/>
          <w:lang w:val="en-GB"/>
        </w:rPr>
      </w:pPr>
    </w:p>
    <w:p w14:paraId="3C3BA3E4" w14:textId="10AB5B7E" w:rsidR="006E357C" w:rsidRPr="00F153F6" w:rsidRDefault="00633A5E" w:rsidP="004424B4">
      <w:pPr>
        <w:spacing w:after="160" w:line="360" w:lineRule="auto"/>
        <w:jc w:val="both"/>
        <w:rPr>
          <w:rFonts w:ascii="Times New Roman" w:hAnsi="Times New Roman" w:cs="Times New Roman"/>
          <w:sz w:val="32"/>
          <w:szCs w:val="32"/>
        </w:rPr>
      </w:pPr>
      <w:r w:rsidRPr="00F153F6">
        <w:rPr>
          <w:rFonts w:ascii="Times New Roman" w:hAnsi="Times New Roman" w:cs="Times New Roman"/>
          <w:sz w:val="32"/>
          <w:szCs w:val="32"/>
        </w:rPr>
        <w:br w:type="page"/>
      </w:r>
    </w:p>
    <w:p w14:paraId="1F03F146" w14:textId="6F95B7B8" w:rsidR="002C1A2F" w:rsidRPr="00F153F6" w:rsidRDefault="002C1A2F" w:rsidP="004424B4">
      <w:pPr>
        <w:pStyle w:val="Heading1"/>
        <w:spacing w:line="360" w:lineRule="auto"/>
        <w:jc w:val="center"/>
        <w:rPr>
          <w:rFonts w:ascii="Times New Roman" w:hAnsi="Times New Roman" w:cs="Times New Roman"/>
          <w:b w:val="0"/>
          <w:bCs/>
          <w:sz w:val="40"/>
          <w:szCs w:val="40"/>
        </w:rPr>
      </w:pPr>
      <w:bookmarkStart w:id="7" w:name="_Toc118371076"/>
      <w:bookmarkStart w:id="8" w:name="_Toc133252099"/>
      <w:bookmarkStart w:id="9" w:name="OLE_LINK196"/>
      <w:bookmarkStart w:id="10" w:name="OLE_LINK197"/>
      <w:r w:rsidRPr="00F153F6">
        <w:rPr>
          <w:rFonts w:ascii="Times New Roman" w:hAnsi="Times New Roman" w:cs="Times New Roman"/>
          <w:b w:val="0"/>
          <w:bCs/>
          <w:sz w:val="40"/>
          <w:szCs w:val="40"/>
        </w:rPr>
        <w:lastRenderedPageBreak/>
        <w:t xml:space="preserve">CHAPTER 1 </w:t>
      </w:r>
      <w:r w:rsidR="0015201A" w:rsidRPr="00F153F6">
        <w:rPr>
          <w:rFonts w:ascii="Times New Roman" w:hAnsi="Times New Roman" w:cs="Times New Roman"/>
          <w:b w:val="0"/>
          <w:bCs/>
          <w:sz w:val="40"/>
          <w:szCs w:val="40"/>
        </w:rPr>
        <w:t xml:space="preserve">  </w:t>
      </w:r>
      <w:r w:rsidRPr="00F153F6">
        <w:rPr>
          <w:rFonts w:ascii="Times New Roman" w:hAnsi="Times New Roman" w:cs="Times New Roman"/>
          <w:b w:val="0"/>
          <w:bCs/>
          <w:sz w:val="40"/>
          <w:szCs w:val="40"/>
        </w:rPr>
        <w:t>INTRODUCTION</w:t>
      </w:r>
      <w:bookmarkEnd w:id="7"/>
      <w:bookmarkEnd w:id="8"/>
    </w:p>
    <w:p w14:paraId="754BC399" w14:textId="142E0CDF" w:rsidR="002C1A2F" w:rsidRPr="00F153F6" w:rsidRDefault="00633A5E" w:rsidP="004424B4">
      <w:pPr>
        <w:pStyle w:val="Heading2"/>
        <w:spacing w:line="360" w:lineRule="auto"/>
        <w:rPr>
          <w:rFonts w:ascii="Times New Roman" w:hAnsi="Times New Roman" w:cs="Times New Roman"/>
          <w:sz w:val="32"/>
          <w:szCs w:val="32"/>
        </w:rPr>
      </w:pPr>
      <w:bookmarkStart w:id="11" w:name="_Toc118371077"/>
      <w:bookmarkStart w:id="12" w:name="_Toc133252100"/>
      <w:r w:rsidRPr="00F153F6">
        <w:rPr>
          <w:rFonts w:ascii="Times New Roman" w:hAnsi="Times New Roman" w:cs="Times New Roman"/>
          <w:sz w:val="32"/>
          <w:szCs w:val="32"/>
        </w:rPr>
        <w:t xml:space="preserve">1.1 </w:t>
      </w:r>
      <w:r w:rsidR="002C1A2F" w:rsidRPr="00F153F6">
        <w:rPr>
          <w:rFonts w:ascii="Times New Roman" w:hAnsi="Times New Roman" w:cs="Times New Roman"/>
          <w:sz w:val="32"/>
          <w:szCs w:val="32"/>
        </w:rPr>
        <w:t>Background</w:t>
      </w:r>
      <w:bookmarkEnd w:id="11"/>
      <w:bookmarkEnd w:id="12"/>
      <w:r w:rsidR="002C1A2F" w:rsidRPr="00F153F6">
        <w:rPr>
          <w:rFonts w:ascii="Times New Roman" w:hAnsi="Times New Roman" w:cs="Times New Roman"/>
          <w:sz w:val="32"/>
          <w:szCs w:val="32"/>
        </w:rPr>
        <w:t xml:space="preserve"> </w:t>
      </w:r>
    </w:p>
    <w:p w14:paraId="769BB51F" w14:textId="1C64B70F" w:rsidR="002C1A2F" w:rsidRPr="00F153F6" w:rsidRDefault="002C1A2F" w:rsidP="004424B4">
      <w:pPr>
        <w:spacing w:line="360" w:lineRule="auto"/>
        <w:jc w:val="both"/>
        <w:rPr>
          <w:rFonts w:ascii="Times New Roman" w:hAnsi="Times New Roman" w:cs="Times New Roman"/>
          <w:sz w:val="24"/>
          <w:szCs w:val="24"/>
        </w:rPr>
      </w:pPr>
      <w:bookmarkStart w:id="13" w:name="_heading=h.gjdgxs" w:colFirst="0" w:colLast="0"/>
      <w:bookmarkEnd w:id="13"/>
      <w:r w:rsidRPr="00F153F6">
        <w:rPr>
          <w:rFonts w:ascii="Times New Roman" w:hAnsi="Times New Roman" w:cs="Times New Roman"/>
          <w:sz w:val="24"/>
          <w:szCs w:val="24"/>
        </w:rPr>
        <w:t xml:space="preserve">With the development of the knowledge economy, knowledge has become a core competitiveness factor that provides significant value to many organisations and entrepreneurs </w:t>
      </w:r>
      <w:r w:rsidRPr="00F153F6">
        <w:rPr>
          <w:rFonts w:ascii="Times New Roman" w:eastAsia="Times New Roman" w:hAnsi="Times New Roman" w:cs="Times New Roman"/>
          <w:sz w:val="24"/>
          <w:szCs w:val="24"/>
        </w:rPr>
        <w:fldChar w:fldCharType="begin"/>
      </w:r>
      <w:r w:rsidRPr="00F153F6">
        <w:rPr>
          <w:rFonts w:ascii="Times New Roman" w:eastAsia="Times New Roman" w:hAnsi="Times New Roman" w:cs="Times New Roman"/>
          <w:sz w:val="24"/>
          <w:szCs w:val="24"/>
        </w:rPr>
        <w:instrText xml:space="preserve"> ADDIN ZOTERO_ITEM CSL_CITATION {"citationID":"bWjhRQxj","properties":{"formattedCitation":"(Bordeianu, 2015)","plainCitation":"(Bordeianu, 2015)","noteIndex":0},"citationItems":[{"id":469,"uris":["http://zotero.org/users/5709166/items/6J86WXSV"],"itemData":{"id":469,"type":"article-journal","abstract":"In this changing environment the managers and the employees have to rapidly adapt. They have to be opened and prepared for new strategies and to understand the fact that risk and innovation are unavoidable. Organizations cannot compete in this ever-changing environment without proper knowledge and lack of capacity for renewal. Managers have to manage the organization in such a manner that the employees will change their vision, ideas and attitudes on long term. Organizations need to see knowledge management as a strategy, this means knowing how to apply knowledge management (KM) concepts to enhance the performance of the system and processes. The aim of the paper is to identify ways in which companies can develop and support the KM strategy to drive more value, by revising the practices in order to ensure the knowledge focus. The companies are more and more aware about the potential of focusing on learning and training. Among the benefits of approaching knowledge management strategy within organisations we must underline its positive impact on organisational performance, ensuring not only its survival but even providing a competitive advantage.","container-title":"Ecoforum Journal","ISSN":"2344-2174","issue":"1","language":"en","license":"An copyright form will have to accompany your submission (the signed copyright form has to be scanned). You can get the .PDF form version on-line (see the link bellow). Authors are responsible for obtaining any security clearances. All authors have to sign the   copyright transfer form  . There are some restrictions regarding the length of the copyright file, so please read carefully the instruction provided there.","page":"21","source":"www.ecoforumjournal.ro","title":"THE ROLE OF KNOWLEDGE MANAGEMENT AND KNOWLEDGE MANAGEMENT STRATEGIES WITHIN LEARNING ORGANIZATIONS","volume":"4","author":[{"family":"Bordeianu","given":"Otilia Maria"}],"issued":{"date-parts":[["2015",1,16]]}}}],"schema":"https://github.com/citation-style-language/schema/raw/master/csl-citation.json"} </w:instrText>
      </w:r>
      <w:r w:rsidRPr="00F153F6">
        <w:rPr>
          <w:rFonts w:ascii="Times New Roman" w:eastAsia="Times New Roman" w:hAnsi="Times New Roman" w:cs="Times New Roman"/>
          <w:sz w:val="24"/>
          <w:szCs w:val="24"/>
        </w:rPr>
        <w:fldChar w:fldCharType="separate"/>
      </w:r>
      <w:r w:rsidRPr="00F153F6">
        <w:rPr>
          <w:rFonts w:ascii="Times New Roman" w:hAnsi="Times New Roman" w:cs="Times New Roman"/>
          <w:sz w:val="24"/>
          <w:szCs w:val="20"/>
        </w:rPr>
        <w:t>(Bordeianu, 2015)</w:t>
      </w:r>
      <w:r w:rsidRPr="00F153F6">
        <w:rPr>
          <w:rFonts w:ascii="Times New Roman" w:eastAsia="Times New Roman" w:hAnsi="Times New Roman" w:cs="Times New Roman"/>
          <w:sz w:val="24"/>
          <w:szCs w:val="24"/>
        </w:rPr>
        <w:fldChar w:fldCharType="end"/>
      </w:r>
      <w:r w:rsidRPr="00F153F6">
        <w:rPr>
          <w:rFonts w:ascii="Times New Roman" w:hAnsi="Times New Roman" w:cs="Times New Roman"/>
          <w:sz w:val="24"/>
          <w:szCs w:val="24"/>
        </w:rPr>
        <w:t xml:space="preserve">. Due to globalisation, organisations tend to collaborate inter-organisationally in order to acquire external knowledge to improve their competitive advantage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{"citationID":"k1PbhwBQ","properties":{"formattedCitation":"(Le Pennec &amp; Raufflet, 2018)","plainCitation":"(Le Pennec &amp; Raufflet, 2018)","noteIndex":0},"citationItems":[{"id":1043,"uris":["http://zotero.org/users/5709166/items/LMFRAPH7"],"itemData":{"id":1043,"type":"article-journal","abstract":"Over the last decade, businesses, policymakers, and researchers alike have advocated the need for (and potential of) value creation through inter-organizational collaboration. Researchers have widely argued that organizations that are engaged in collaborative processes create value. Because researchers have tended to focus on the identification of organizational motivations and on key success factors for collaboration, however, both the nature and processes of value creation in inter-organizational collaboration have yet to be examined. A recent theory by Austin and Seitanidi (Nonprofit Volunt Sect Q 41(5):726–758, 2012a; Nonprofit Volunt Sect Q 41(6):929–968, 2012b) has proposed an analytical framework for analyzing value creation in inter-organizational collaboration, based on four types of value. The purpose of this current study is to empirically test this framework, and to provide key pointers for analyzing the nature of value, particularly in relation to learning. Our detailed empirical research is based on a 6-year retrospective case study of an inter-organizational partnership within an international development project for local economic development in Guatemala. The study’s contributions are twofold. First, it provides evidence of the critical path of the creation of diverse types of values in a collaborative process; second, it links the different types of value creation with the types of learning that occur in an inter-organizational process. © 2016, Springer Science+Business Media Dordrecht.","archive":"Scopus","container-title":"Journal of Business Ethics","DOI":"10.1007/s10551-015-3012-7","ISSN":"01674544 (ISSN)","issue":"4","journalAbbreviation":"J. Bus. Ethics","language":"English","page":"817-834","title":"Value Creation in Inter-Organizational Collaboration: An Empirical Study","volume":"148","author":[{"family":"Le Pennec","given":"M."},{"family":"Raufflet","given":"E."}],"issued":{"date-parts":[["2018"]]}}}],"schema":"https://github.com/citation-style-language/schema/raw/master/csl-citation.json"}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0"/>
        </w:rPr>
        <w:t>(Le Pennec &amp; Raufflet, 2018)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Cross-boundary knowledge-exchange collaborations in particular greatly enhance new knowledge creation, where creative ideas and work are generated from different entities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{"citationID":"vYuCiLoK","properties":{"formattedCitation":"(Loukis et al., 2017)","plainCitation":"(Loukis et al., 2017)","noteIndex":0},"citationItems":[{"id":1522,"uris":["http://zotero.org/users/5709166/items/R46N9TK3"],"itemData":{"id":1522,"type":"article-journal","abstract":"Firms are increasingly shifting from the ‘closed’ innovation paradigm, in which their innovation design and implementation activities were based on their own internal knowledge resources, skills and production facilities, towards the inter-organizational ‘open’ innovation paradigm, which is based to a significant degree on collaboration with other organizations, aiming at the exploitation of external knowledge resources, skills and production facilities as well. This paper investigates empirically the effects of firm’s inter-organizational collaboration for the design and implementation of innovations, and also use of ICT for supporting this collaboration, on firm’s propensity to adopt cloud computing (CC), and in this way it examines in an ‘objective’ manner to what extent firms regard CC as a cost-effective means of supporting inter-organizational collaboration for the design and implementation of innovation. Our study is based on a dataset collected in the e-Business Survey of the European Commission from 676 European firms from the glass, ceramics and cement manufacturing sectors. It has been concluded that firms of these sectors regard CC as a cost-effective means of supporting collaboration with other firms for the design of innovations in their products, services and processes, and also of reducing the costs and increasing the capabilities and flexibility of already existing electronic support of inter-organizational innovation design collaboration. Furthermore, our results indicate that firms find CC useful for the reduction of the costs and the increase of the capabilities and flexibility of their existing electronic support of the complex operations required for the inter-organizational implementation of innovations. © 2016, Springer Science+Business Media New York.","archive":"Scopus","container-title":"Electronic Commerce Research","DOI":"10.1007/s10660-016-9239-2","ISSN":"13895753 (ISSN)","issue":"3","journalAbbreviation":"Electron. Commer. Res.","language":"English","page":"379-401","title":"Inter-organizational innovation and cloud computing","volume":"17","author":[{"family":"Loukis","given":"E."},{"family":"Kyriakou","given":"N."},{"family":"Pazalos","given":"K."},{"family":"Popa","given":"S."}],"issued":{"date-parts":[["2017"]]}}}],"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0"/>
        </w:rPr>
        <w:t>(Loukis et al., 2017)</w:t>
      </w:r>
      <w:r w:rsidRPr="00F153F6">
        <w:rPr>
          <w:rFonts w:ascii="Times New Roman" w:hAnsi="Times New Roman" w:cs="Times New Roman"/>
          <w:sz w:val="24"/>
          <w:szCs w:val="24"/>
        </w:rPr>
        <w:fldChar w:fldCharType="end"/>
      </w:r>
      <w:r w:rsidRPr="00F153F6">
        <w:rPr>
          <w:rFonts w:ascii="Times New Roman" w:eastAsia="Times New Roman" w:hAnsi="Times New Roman" w:cs="Times New Roman"/>
          <w:sz w:val="24"/>
          <w:szCs w:val="24"/>
        </w:rPr>
        <w:t>.</w:t>
      </w:r>
      <w:r w:rsidRPr="00F153F6">
        <w:rPr>
          <w:rFonts w:ascii="Times New Roman" w:hAnsi="Times New Roman" w:cs="Times New Roman"/>
          <w:sz w:val="24"/>
          <w:szCs w:val="24"/>
        </w:rPr>
        <w:t xml:space="preserve"> Consequently, existing literature is showing a growing interest in the knowledge exchange process not only within, but also across organisations </w:t>
      </w:r>
      <w:r w:rsidRPr="00F153F6">
        <w:rPr>
          <w:rFonts w:ascii="Times New Roman" w:hAnsi="Times New Roman" w:cs="Times New Roman"/>
          <w:sz w:val="24"/>
          <w:szCs w:val="24"/>
        </w:rPr>
        <w:fldChar w:fldCharType="begin"/>
      </w:r>
      <w:r w:rsidR="00B73834" w:rsidRPr="00F153F6">
        <w:rPr>
          <w:rFonts w:ascii="Times New Roman" w:hAnsi="Times New Roman" w:cs="Times New Roman"/>
          <w:sz w:val="24"/>
          <w:szCs w:val="24"/>
        </w:rPr>
        <w:instrText xml:space="preserve"> ADDIN ZOTERO_ITEM CSL_CITATION {"citationID":"JOXjRL4j","properties":{"formattedCitation":"(Al-Busaidi &amp; Olfman, 2017a; Fang et al., 2013)","plainCitation":"(Al-Busaidi &amp; Olfman, 2017a; Fang et al., 2013)","noteIndex":0},"citationItems":[{"id":1844,"uris":["http://zotero.org/users/5709166/items/P65WJLKQ"],"itemData":{"id":1844,"type":"article-journal","abstract":"Purpose\nInter-organizational knowledge sharing systems (IOKSS) are crucial for scientific, social and economic development especially in knowledge-intensive sectors. Knowledge sharing processes and systems will not only be challenged by individual and organizational factors but also by social, technical and political inter-organizational factors. This paper aims to investigate the impact of knowledge worker, peer, IOKSS, organization and sector factors on knowledge workers' intention to share knowledge through IOKSS. Knowledge workers are the key stakeholders that enable the survival of IOKSS.\nDesign/methodology/approach\nData were collected, through a questionnaire, from knowledge workers in the education and the health sectors.\nFindings\nThis study found that the human factors (related to knowledge workers and their peers) have significant direct impact on intention to share knowledge through IOKSS. Other factors, such as IOKSS system, organization and sector factors showed indirect impacts on knowledge workers' intention to share knowledge through IOKSS. Such investigation can be very valuable for developing countries as technological innovations such as IOKSS can be crucial for training and building human resources, and national knowledge management.\nOriginality/value\nLittle is empirically known about the enablers of sharing knowledge in systems that connect organizations in horizontal linkage in a specific sector or industry. The study also adds value to under investigated region.","container-title":"VINE Journal of Information and Knowledge Management Systems; Bingley","ISSN":"20595891","issue":"1","language":"English","license":"© Emerald Publishing Limited 2017","page":"110-136","source":"ProQuest","title":"Knowledge sharing through inter-organizational knowledge sharing systems","volume":"47","author":[{"family":"Al-Busaidi","given":"Kamla Ali"},{"family":"Olfman","given":"Lorne"}],"issued":{"date-parts":[["2017"]]}}},{"id":499,"uris":["http://zotero.org/users/5709166/items/HT5Z2K55"],"itemData":{"id":499,"type":"article-journal","abstract":"Purpose - The main purposes of this study are to develop a knowledge governance mechanism-fit-barrier matrix mode to resolve transfer problems resulting from knowledge characteristics and to clarify the relationship among knowledge characteristics, barriers of knowledge transfer, and effective knowledge transfer in inter-organizational contexts. Design/methodology/approach - The vast literature on knowledge transfer in inter-organizational context has been reviewed. Moreover, to develop a theoretical framework, the authors developed a set of arguments based on literature pertaining to the knowledge-based view of knowledge characteristics and barriers and the response of network to inter-organizational knowledge transfer. Findings - Knowledge-based view of knowledge characteristics and barriers and knowledge governance may provide a new understanding for network organizations seeking effective knowledge transfer strategies in inter-organizational context. Research limitations/implications - The main contribution to organizational theory is extending information-processing theory to form a new strategic model for inter-organizational knowledge transfer. Practical implications - The fit model of governance mechanisms may help managers to make effective strategies for inter-organizational knowledge transfer. Originality/value - Theoretically, this paper extends Information Processing Theory to inter-organizational relationships research. The developed model here also helps to explain the importance of cognitive dimensions for successful inter-organizational knowledge transfer. In KM practice, the proposed well-developed strategic models may help managers to link inter-organizational knowledge transfer processes to business strategy, and validate of the way to convert the goal of making their network organizations more intelligent into a strategic action.","container-title":"Journal of Knowledge Management; Kempston","DOI":"http://dx.doi.org.sheffield.idm.oclc.org/10.1108/JKM-04-2013-0138","ISSN":"13673270","issue":"6","language":"English","license":"Copyright Emerald Group Publishing Limited 2013","page":"943-957","source":"ProQuest","title":"Inter-organizational knowledge transfer: the perspective of knowledge governance","title-short":"Inter-organizational knowledge transfer","volume":"17","author":[{"family":"Fang","given":"Shih-Chieh"},{"family":"Chen-Wei","given":"Yang"},{"family":"Wen-Yen","given":"Hsu"}],"issued":{"date-parts":[["2013"]]}}}],"schema":"https://github.com/citation-style-language/schema/raw/master/csl-citation.json"} </w:instrText>
      </w:r>
      <w:r w:rsidRPr="00F153F6">
        <w:rPr>
          <w:rFonts w:ascii="Times New Roman" w:hAnsi="Times New Roman" w:cs="Times New Roman"/>
          <w:sz w:val="24"/>
          <w:szCs w:val="24"/>
        </w:rPr>
        <w:fldChar w:fldCharType="separate"/>
      </w:r>
      <w:r w:rsidR="00B73834" w:rsidRPr="00F153F6">
        <w:rPr>
          <w:rFonts w:ascii="Times New Roman" w:hAnsi="Times New Roman" w:cs="Times New Roman"/>
          <w:sz w:val="24"/>
          <w:szCs w:val="24"/>
        </w:rPr>
        <w:t>(Al-Busaidi &amp; Olfman, 2017; Fang et al., 2013)</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i.e., inter-organisational knowledge exchange.</w:t>
      </w:r>
    </w:p>
    <w:p w14:paraId="4E805FDF" w14:textId="2618F324"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In such a fast</w:t>
      </w:r>
      <w:r w:rsidRPr="00F153F6">
        <w:rPr>
          <w:rFonts w:ascii="Times New Roman" w:eastAsiaTheme="minorEastAsia" w:hAnsi="Times New Roman" w:cs="Times New Roman"/>
          <w:sz w:val="24"/>
          <w:szCs w:val="24"/>
        </w:rPr>
        <w:t>-</w:t>
      </w:r>
      <w:r w:rsidRPr="00F153F6">
        <w:rPr>
          <w:rFonts w:ascii="Times New Roman" w:hAnsi="Times New Roman" w:cs="Times New Roman"/>
          <w:sz w:val="24"/>
          <w:szCs w:val="24"/>
        </w:rPr>
        <w:t>changing environment, the combination of knowledge management (KM) and information and communication technolog</w:t>
      </w:r>
      <w:r w:rsidR="000A6A4E" w:rsidRPr="00F153F6">
        <w:rPr>
          <w:rFonts w:ascii="Times New Roman" w:hAnsi="Times New Roman" w:cs="Times New Roman"/>
          <w:sz w:val="24"/>
          <w:szCs w:val="24"/>
        </w:rPr>
        <w:t>y</w:t>
      </w:r>
      <w:r w:rsidRPr="00F153F6">
        <w:rPr>
          <w:rFonts w:ascii="Times New Roman" w:hAnsi="Times New Roman" w:cs="Times New Roman"/>
          <w:sz w:val="24"/>
          <w:szCs w:val="24"/>
        </w:rPr>
        <w:t xml:space="preserve"> (</w:t>
      </w:r>
      <w:r w:rsidR="000A6A4E" w:rsidRPr="00F153F6">
        <w:rPr>
          <w:rFonts w:ascii="Times New Roman" w:hAnsi="Times New Roman" w:cs="Times New Roman"/>
          <w:sz w:val="24"/>
          <w:szCs w:val="24"/>
        </w:rPr>
        <w:t>ICT</w:t>
      </w:r>
      <w:r w:rsidRPr="00F153F6">
        <w:rPr>
          <w:rFonts w:ascii="Times New Roman" w:hAnsi="Times New Roman" w:cs="Times New Roman"/>
          <w:sz w:val="24"/>
          <w:szCs w:val="24"/>
        </w:rPr>
        <w:t xml:space="preserve">) has manifested itself as a systematic and effective way to leverage knowledge. Hence the role of </w:t>
      </w:r>
      <w:r w:rsidR="000A6A4E" w:rsidRPr="00F153F6">
        <w:rPr>
          <w:rFonts w:ascii="Times New Roman" w:hAnsi="Times New Roman" w:cs="Times New Roman"/>
          <w:sz w:val="24"/>
          <w:szCs w:val="24"/>
        </w:rPr>
        <w:t>ICT</w:t>
      </w:r>
      <w:r w:rsidRPr="00F153F6">
        <w:rPr>
          <w:rFonts w:ascii="Times New Roman" w:hAnsi="Times New Roman" w:cs="Times New Roman"/>
          <w:sz w:val="24"/>
          <w:szCs w:val="24"/>
        </w:rPr>
        <w:t xml:space="preserve"> in knowledge management has been receiving much attention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{"citationID":"iz04fpkh","properties":{"formattedCitation":"(Ferreira et al., 2018)","plainCitation":"(Ferreira et al., 2018)","noteIndex":0},"citationItems":[{"id":476,"uris":["http://zotero.org/users/5709166/items/9WIXBYTQ"],"itemData":{"id":476,"type":"article-journal","archive_location":"world","container-title":"Journal of Knowledge Management","DOI":"10.1108/JKM-07-2018-0461","language":"en","source":"www.emerald.com","title":"Strategic knowledge management: theory, practice and future challenges","title-short":"Strategic knowledge management","URL":"/insight/content/doi/10.1108/JKM-07-2018-0461/full/html","author":[{"family":"Ferreira","given":"João"},{"family":"Mueller","given":"Jens"},{"family":"Papa","given":"Armando"}],"accessed":{"date-parts":[["2019",7,15]]},"issued":{"date-parts":[["2018",10,10]]}}}],"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0"/>
        </w:rPr>
        <w:t>(Ferreira et al., 2018)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r w:rsidR="000A6A4E" w:rsidRPr="00F153F6">
        <w:rPr>
          <w:rFonts w:ascii="Times New Roman" w:hAnsi="Times New Roman" w:cs="Times New Roman"/>
          <w:sz w:val="24"/>
          <w:szCs w:val="24"/>
        </w:rPr>
        <w:t>ICT</w:t>
      </w:r>
      <w:r w:rsidRPr="00F153F6">
        <w:rPr>
          <w:rFonts w:ascii="Times New Roman" w:hAnsi="Times New Roman" w:cs="Times New Roman"/>
          <w:sz w:val="24"/>
          <w:szCs w:val="24"/>
        </w:rPr>
        <w:t xml:space="preserve"> ha</w:t>
      </w:r>
      <w:r w:rsidR="000A6A4E" w:rsidRPr="00F153F6">
        <w:rPr>
          <w:rFonts w:ascii="Times New Roman" w:hAnsi="Times New Roman" w:cs="Times New Roman"/>
          <w:sz w:val="24"/>
          <w:szCs w:val="24"/>
        </w:rPr>
        <w:t>s</w:t>
      </w:r>
      <w:r w:rsidRPr="00F153F6">
        <w:rPr>
          <w:rFonts w:ascii="Times New Roman" w:hAnsi="Times New Roman" w:cs="Times New Roman"/>
          <w:sz w:val="24"/>
          <w:szCs w:val="24"/>
        </w:rPr>
        <w:t xml:space="preserve"> been found to support effective knowledge management by allowing the systematic management of knowledge </w:t>
      </w:r>
      <w:bookmarkStart w:id="14" w:name="OLE_LINK372"/>
      <w:bookmarkStart w:id="15" w:name="OLE_LINK373"/>
      <w:r w:rsidRPr="00F153F6">
        <w:rPr>
          <w:rFonts w:ascii="Times New Roman" w:eastAsia="Times New Roman" w:hAnsi="Times New Roman" w:cs="Times New Roman"/>
          <w:sz w:val="24"/>
          <w:szCs w:val="24"/>
        </w:rPr>
        <w:fldChar w:fldCharType="begin"/>
      </w:r>
      <w:r w:rsidRPr="00F153F6">
        <w:rPr>
          <w:rFonts w:ascii="Times New Roman" w:eastAsia="Times New Roman" w:hAnsi="Times New Roman" w:cs="Times New Roman"/>
          <w:sz w:val="24"/>
          <w:szCs w:val="24"/>
        </w:rPr>
        <w:instrText xml:space="preserve"> ADDIN ZOTERO_ITEM CSL_CITATION {"citationID":"m174hKvH","properties":{"formattedCitation":"(Benard &amp; Dulle, 2017)","plainCitation":"(Benard &amp; Dulle, 2017)","noteIndex":0},"citationItems":[{"id":1666,"uris":["http://zotero.org/users/5709166/items/TRMIEN7K"],"itemData":{"id":1666,"type":"article-journal","abstract":"This article assesses the application of ICT tools in communicating information and knowledge to artisanal fishermen communities in Zanzibar. The study was carried out in four purposefully selected wards in Unguja District in Zanzibar, Tanzania. The study involved a sample size of 80 respondents. Data were collected by using document reviews, questionnaires, focus group discussions and personal observations. Results showed that artisanal fishermen need information and knowledge on weather condition, modern fish capturing methods, market and marketing, fish preservation and processing. The study also found that mobile phones and radio are the most ICTs tools used by the artisanal fishermen. The findings also revealed that communicating information and knowledge through ICT tools was limited by lack of funds, poor network connectivity, lack of training and seminars on the use of ICTs in accessing information and poor coverage on radio and television transmission. It is therefore recommended that the government should support artisanal fishermen in acquiring some of the fishing gears and ICTs tools such as GPS and sonar through subsidizing them.","archive":"Scopus","container-title":"Knowledge Management and E-Learning","ISSN":"20737904 (ISSN)","issue":"2","journalAbbreviation":"Knowl. Manage. E-Learn.","language":"English","page":"239-253","title":"Application of ICT tools in communicating information and knowledge to artisanal fishermen communities in Zanzibar","volume":"9","author":[{"family":"Benard","given":"R."},{"family":"Dulle","given":"F."}],"issued":{"date-parts":[["2017"]]}}}],"schema":"https://github.com/citation-style-language/schema/raw/master/csl-citation.json"} </w:instrText>
      </w:r>
      <w:r w:rsidRPr="00F153F6">
        <w:rPr>
          <w:rFonts w:ascii="Times New Roman" w:eastAsia="Times New Roman" w:hAnsi="Times New Roman" w:cs="Times New Roman"/>
          <w:sz w:val="24"/>
          <w:szCs w:val="24"/>
        </w:rPr>
        <w:fldChar w:fldCharType="separate"/>
      </w:r>
      <w:r w:rsidRPr="00F153F6">
        <w:rPr>
          <w:rFonts w:ascii="Times New Roman" w:hAnsi="Times New Roman" w:cs="Times New Roman"/>
          <w:sz w:val="24"/>
          <w:szCs w:val="20"/>
        </w:rPr>
        <w:t>(Benard &amp; Dulle, 2017)</w:t>
      </w:r>
      <w:r w:rsidRPr="00F153F6">
        <w:rPr>
          <w:rFonts w:ascii="Times New Roman" w:eastAsia="Times New Roman" w:hAnsi="Times New Roman" w:cs="Times New Roman"/>
          <w:sz w:val="24"/>
          <w:szCs w:val="24"/>
        </w:rPr>
        <w:fldChar w:fldCharType="end"/>
      </w:r>
      <w:bookmarkEnd w:id="14"/>
      <w:bookmarkEnd w:id="15"/>
      <w:r w:rsidRPr="00F153F6">
        <w:rPr>
          <w:rFonts w:ascii="Times New Roman" w:hAnsi="Times New Roman" w:cs="Times New Roman"/>
          <w:sz w:val="24"/>
          <w:szCs w:val="24"/>
        </w:rPr>
        <w:t xml:space="preserve">. </w:t>
      </w:r>
      <w:r w:rsidR="00E9207F" w:rsidRPr="00F153F6">
        <w:rPr>
          <w:rFonts w:ascii="Times New Roman" w:hAnsi="Times New Roman" w:cs="Times New Roman"/>
          <w:sz w:val="24"/>
          <w:szCs w:val="24"/>
        </w:rPr>
        <w:t>It has</w:t>
      </w:r>
      <w:r w:rsidRPr="00F153F6">
        <w:rPr>
          <w:rFonts w:ascii="Times New Roman" w:hAnsi="Times New Roman" w:cs="Times New Roman"/>
          <w:sz w:val="24"/>
          <w:szCs w:val="24"/>
        </w:rPr>
        <w:t xml:space="preserve"> also</w:t>
      </w:r>
      <w:r w:rsidR="00E9207F" w:rsidRPr="00F153F6">
        <w:rPr>
          <w:rFonts w:ascii="Times New Roman" w:hAnsi="Times New Roman" w:cs="Times New Roman"/>
          <w:sz w:val="24"/>
          <w:szCs w:val="24"/>
        </w:rPr>
        <w:t xml:space="preserve"> been</w:t>
      </w:r>
      <w:r w:rsidRPr="00F153F6">
        <w:rPr>
          <w:rFonts w:ascii="Times New Roman" w:hAnsi="Times New Roman" w:cs="Times New Roman"/>
          <w:sz w:val="24"/>
          <w:szCs w:val="24"/>
        </w:rPr>
        <w:t xml:space="preserve"> proved to be especially useful in knowledge exchange processes across organisational boundaries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{"citationID":"iXGPKWOC","properties":{"formattedCitation":"(Alavi &amp; Leidner, 2001)","plainCitation":"(Alavi &amp; Leidner, 2001)","noteIndex":0},"citationItems":[{"id":495,"uris":["http://zotero.org/users/5709166/items/WI8WHJPC"],"itemData":{"id":495,"type":"article-journal","abstract":"Knowledge is a broad and abstract notion that has defined epistemological debate in western philosophy since the classical Greek era. In the past few years, however, there has been a growing interest in treating knowledge as a significant organizational resource. Consistent with the interest in organizational knowledge and knowledge management (KM), IS researchers have begun promoting a class of information systems, referred to as knowledge management systems (KMS). The objective of KMS is to support creation, transfer, and application of knowledge in organizations. Knowledge and knowledge management are complex and multi-faceted concepts. Thus, effective development and implementation of KMS requires a foundation in several rich literatures. To be credible, KMS research and development should preserve and build upon the significant literature that exists in different but rzelated fields. This paper provides a review and interpretation of knowledge management literatures in different fields with an eye toward identifying the important areas for research. We present a detailed process view of organizational knowledge management with a focus on the potential role of information technology in this process. Drawing upon the literature review and analysis of knowledge management processes, we discuss several important research issues surrounding the knowledge management processes and the role of IT in support of these processes.","archive":"JSTOR","container-title":"MIS Quarterly","DOI":"10.2307/3250961","ISSN":"0276-7783","issue":"1","page":"107-136","source":"JSTOR","title":"Review: Knowledge Management and Knowledge Management Systems: Conceptual Foundations and Research Issues","title-short":"Review","volume":"25","author":[{"family":"Alavi","given":"Maryam"},{"family":"Leidner","given":"Dorothy E."}],"issued":{"date-parts":[["2001"]]}}}],"schema":"https://github.com/citation-style-language/schema/raw/master/csl-citation.json"}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0"/>
        </w:rPr>
        <w:t>(Alavi &amp; Leidner, 2001)</w:t>
      </w:r>
      <w:r w:rsidRPr="00F153F6">
        <w:rPr>
          <w:rFonts w:ascii="Times New Roman" w:hAnsi="Times New Roman" w:cs="Times New Roman"/>
          <w:sz w:val="24"/>
          <w:szCs w:val="24"/>
        </w:rPr>
        <w:fldChar w:fldCharType="end"/>
      </w:r>
      <w:r w:rsidRPr="00F153F6">
        <w:rPr>
          <w:rFonts w:ascii="Times New Roman" w:eastAsia="Times New Roman" w:hAnsi="Times New Roman" w:cs="Times New Roman"/>
          <w:sz w:val="24"/>
          <w:szCs w:val="24"/>
        </w:rPr>
        <w:t>.</w:t>
      </w:r>
      <w:r w:rsidRPr="00F153F6">
        <w:rPr>
          <w:rFonts w:ascii="Times New Roman" w:hAnsi="Times New Roman" w:cs="Times New Roman"/>
          <w:sz w:val="24"/>
          <w:szCs w:val="24"/>
        </w:rPr>
        <w:t xml:space="preserve"> However, some issues still remain for </w:t>
      </w:r>
      <w:r w:rsidR="000A6A4E" w:rsidRPr="00F153F6">
        <w:rPr>
          <w:rFonts w:ascii="Times New Roman" w:hAnsi="Times New Roman" w:cs="Times New Roman"/>
          <w:sz w:val="24"/>
          <w:szCs w:val="24"/>
        </w:rPr>
        <w:t>ICT</w:t>
      </w:r>
      <w:r w:rsidRPr="00F153F6">
        <w:rPr>
          <w:rFonts w:ascii="Times New Roman" w:hAnsi="Times New Roman" w:cs="Times New Roman"/>
          <w:sz w:val="24"/>
          <w:szCs w:val="24"/>
        </w:rPr>
        <w:t xml:space="preserve"> aiming to facilitate this inter-organisational knowledge exchange process, for example, by its very nature knowledge is hard to codify simply via technologies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{"citationID":"a1dnnh654ak","properties":{"formattedCitation":"(Mohamed et al., 2006)","plainCitation":"(Mohamed et al., 2006)","noteIndex":0},"citationItems":[{"id":471,"uris":["http://zotero.org/users/5709166/items/ZYCZWV4Q"],"itemData":{"id":471,"type":"article-journal","abstract":"Purpose – Aims to impart new insights into the role of information technology (IT) in knowledge extraction, capture, distribution and personalization. The paper seeks to pin-point the strengths and weaknesses of IT in the domain of knowledge management (KM) and to explain why the technology promise remains unfulﬁlled, as seen by many KM practitioners.","container-title":"Journal of Knowledge Management","DOI":"10.1108/13673270610670885","ISSN":"1367-3270","issue":"3","journalAbbreviation":"J of Knowledge Management","language":"en","page":"103-116","source":"DOI.org (Crossref)","title":"Knowledge management and information technology: can they work in perfect harmony?","title-short":"Knowledge management and information technology","volume":"10","author":[{"family":"Mohamed","given":"Mirghani"},{"family":"Stankosky","given":"Michael"},{"family":"Murray","given":"Arthur"}],"issued":{"date-parts":[["2006",5]]}}}],"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rPr>
        <w:t>(Mohamed et al., 2006)</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Hence, understanding the role of </w:t>
      </w:r>
      <w:r w:rsidR="000A6A4E" w:rsidRPr="00F153F6">
        <w:rPr>
          <w:rFonts w:ascii="Times New Roman" w:hAnsi="Times New Roman" w:cs="Times New Roman"/>
          <w:sz w:val="24"/>
          <w:szCs w:val="24"/>
        </w:rPr>
        <w:t>ICT</w:t>
      </w:r>
      <w:r w:rsidRPr="00F153F6">
        <w:rPr>
          <w:rFonts w:ascii="Times New Roman" w:hAnsi="Times New Roman" w:cs="Times New Roman"/>
          <w:sz w:val="24"/>
          <w:szCs w:val="24"/>
        </w:rPr>
        <w:t xml:space="preserve"> in inter-organisational knowledge exchange can greatly help organisations co-create new knowledge and improve their own competitive advantage.</w:t>
      </w:r>
    </w:p>
    <w:p w14:paraId="2DEAC05C" w14:textId="2110478A" w:rsidR="002C1A2F" w:rsidRPr="00F153F6" w:rsidRDefault="00633A5E" w:rsidP="004424B4">
      <w:pPr>
        <w:pStyle w:val="Heading2"/>
        <w:spacing w:line="360" w:lineRule="auto"/>
        <w:rPr>
          <w:rFonts w:ascii="Times New Roman" w:hAnsi="Times New Roman" w:cs="Times New Roman"/>
          <w:sz w:val="32"/>
          <w:szCs w:val="32"/>
        </w:rPr>
      </w:pPr>
      <w:bookmarkStart w:id="16" w:name="_Toc118371078"/>
      <w:bookmarkStart w:id="17" w:name="_Toc133252101"/>
      <w:bookmarkEnd w:id="9"/>
      <w:bookmarkEnd w:id="10"/>
      <w:r w:rsidRPr="00F153F6">
        <w:rPr>
          <w:rFonts w:ascii="Times New Roman" w:hAnsi="Times New Roman" w:cs="Times New Roman"/>
          <w:sz w:val="32"/>
          <w:szCs w:val="32"/>
        </w:rPr>
        <w:t xml:space="preserve">1.2 </w:t>
      </w:r>
      <w:r w:rsidR="002C1A2F" w:rsidRPr="00F153F6">
        <w:rPr>
          <w:rFonts w:ascii="Times New Roman" w:hAnsi="Times New Roman" w:cs="Times New Roman"/>
          <w:sz w:val="32"/>
          <w:szCs w:val="32"/>
        </w:rPr>
        <w:t>Problem Statement</w:t>
      </w:r>
      <w:bookmarkEnd w:id="16"/>
      <w:bookmarkEnd w:id="17"/>
      <w:r w:rsidR="002C1A2F" w:rsidRPr="00F153F6">
        <w:rPr>
          <w:rFonts w:ascii="Times New Roman" w:hAnsi="Times New Roman" w:cs="Times New Roman"/>
          <w:sz w:val="32"/>
          <w:szCs w:val="32"/>
        </w:rPr>
        <w:t xml:space="preserve"> </w:t>
      </w:r>
    </w:p>
    <w:p w14:paraId="21E254CD" w14:textId="0410CEC2"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ICT ha</w:t>
      </w:r>
      <w:r w:rsidR="000A6A4E" w:rsidRPr="00F153F6">
        <w:rPr>
          <w:rFonts w:ascii="Times New Roman" w:hAnsi="Times New Roman" w:cs="Times New Roman"/>
          <w:sz w:val="24"/>
          <w:szCs w:val="24"/>
        </w:rPr>
        <w:t>s</w:t>
      </w:r>
      <w:r w:rsidRPr="00F153F6">
        <w:rPr>
          <w:rFonts w:ascii="Times New Roman" w:hAnsi="Times New Roman" w:cs="Times New Roman"/>
          <w:sz w:val="24"/>
          <w:szCs w:val="24"/>
        </w:rPr>
        <w:t xml:space="preserve"> significant impact on knowledge exchange in organisations. On the upside, the use of various digital databases allows organisations to store their knowledge and use it more effectively and safely during knowledge exchange </w:t>
      </w:r>
      <w:r w:rsidRPr="00F153F6">
        <w:rPr>
          <w:rFonts w:ascii="Times New Roman" w:eastAsia="Times New Roman" w:hAnsi="Times New Roman" w:cs="Times New Roman"/>
          <w:iCs/>
          <w:sz w:val="24"/>
          <w:szCs w:val="24"/>
        </w:rPr>
        <w:fldChar w:fldCharType="begin"/>
      </w:r>
      <w:r w:rsidRPr="00F153F6">
        <w:rPr>
          <w:rFonts w:ascii="Times New Roman" w:eastAsia="Times New Roman" w:hAnsi="Times New Roman" w:cs="Times New Roman"/>
          <w:iCs/>
          <w:sz w:val="24"/>
          <w:szCs w:val="24"/>
        </w:rPr>
        <w:instrText xml:space="preserve"> ADDIN ZOTERO_ITEM CSL_CITATION {"citationID":"IuYumcQA","properties":{"formattedCitation":"(Nasimi et al., 2013)","plainCitation":"(Nasimi et al., 2013)","noteIndex":0},"citationItems":[{"id":2136,"uris":["http://zotero.org/users/5709166/items/WEB8G26W"],"itemData":{"id":2136,"type":"article-journal","abstract":"Knowledge is an important source for learning new things, solving problems, creating core competitiveness and establishes new positions for individual and organization at present and for the future. In previous decades with the advent of the industrial revolution and all the attention focused on industry and mass production and guidelines to its improvement and development, but now have faced another revolution called information and communication technology revolution and is caused changing our attitude. Knowledge management is a process to helps organizations that identify, select, organize and publish important information and skills which are considered as the institutional memory and typically are not organized. This is caused management of organizations for learning problem solving, strategic planning and dynamic decision making as efficient and effective. Knowledge management introduce a completely new management concepts and methods. Knowledge management is to find systematic approach, understand and use knowledge to achieve organizational goals and by reducing the time and cost of testing and error or repeat create value.","container-title":"Kuwait Chapter of Arabian Journal of Business and Management Review","DOI":"10.12816/0001188","ISSN":"22248358","issue":"5","journalAbbreviation":"AJBMR","language":"en","page":"56-64","source":"DOI.org (Crossref)","title":"Knowledge Management and Competitive Advantage for Organizations","volume":"2","author":[{"family":"Nasimi","given":"Mohammad Hassan"},{"family":"Nasimi","given":"Samaneh"},{"family":"Kasmaei","given":"Masoumeh Sabrkonandeh"},{"family":"Kasmaei","given":"Hadi Sabrkonandeh"},{"family":"Basirian","given":"Fatemeh"},{"family":"Musapour","given":"Hadi"}],"issued":{"date-parts":[["2013",1]]}}}],"schema":"https://github.com/citation-style-language/schema/raw/master/csl-citation.json"} </w:instrText>
      </w:r>
      <w:r w:rsidRPr="00F153F6">
        <w:rPr>
          <w:rFonts w:ascii="Times New Roman" w:eastAsia="Times New Roman" w:hAnsi="Times New Roman" w:cs="Times New Roman"/>
          <w:iCs/>
          <w:sz w:val="24"/>
          <w:szCs w:val="24"/>
        </w:rPr>
        <w:fldChar w:fldCharType="separate"/>
      </w:r>
      <w:r w:rsidRPr="00F153F6">
        <w:rPr>
          <w:rFonts w:ascii="Times New Roman" w:hAnsi="Times New Roman" w:cs="Times New Roman"/>
          <w:sz w:val="24"/>
          <w:szCs w:val="24"/>
        </w:rPr>
        <w:t>(Nasimi et al., 2013)</w:t>
      </w:r>
      <w:r w:rsidRPr="00F153F6">
        <w:rPr>
          <w:rFonts w:ascii="Times New Roman" w:eastAsia="Times New Roman" w:hAnsi="Times New Roman" w:cs="Times New Roman"/>
          <w:iCs/>
          <w:sz w:val="24"/>
          <w:szCs w:val="24"/>
        </w:rPr>
        <w:fldChar w:fldCharType="end"/>
      </w:r>
      <w:r w:rsidRPr="00F153F6">
        <w:rPr>
          <w:rFonts w:ascii="Times New Roman" w:hAnsi="Times New Roman" w:cs="Times New Roman"/>
          <w:sz w:val="24"/>
          <w:szCs w:val="24"/>
        </w:rPr>
        <w:t xml:space="preserve">. </w:t>
      </w:r>
      <w:r w:rsidRPr="00F153F6">
        <w:rPr>
          <w:rFonts w:ascii="Times New Roman" w:eastAsia="Times New Roman" w:hAnsi="Times New Roman" w:cs="Times New Roman"/>
          <w:sz w:val="24"/>
          <w:szCs w:val="24"/>
        </w:rPr>
        <w:t>Workflow automation systems help create more efficient organisational routines by reducing unnecessary communication and work</w:t>
      </w:r>
      <w:r w:rsidR="00C24FEB" w:rsidRPr="00F153F6">
        <w:rPr>
          <w:rFonts w:ascii="Times New Roman" w:eastAsia="Times New Roman" w:hAnsi="Times New Roman" w:cs="Times New Roman"/>
          <w:sz w:val="24"/>
          <w:szCs w:val="24"/>
        </w:rPr>
        <w:t>place</w:t>
      </w:r>
      <w:r w:rsidRPr="00F153F6">
        <w:rPr>
          <w:rFonts w:ascii="Times New Roman" w:eastAsia="Times New Roman" w:hAnsi="Times New Roman" w:cs="Times New Roman"/>
          <w:sz w:val="24"/>
          <w:szCs w:val="24"/>
        </w:rPr>
        <w:t xml:space="preserve"> temporal barriers allowing individuals to exchange knowledge more effectively </w:t>
      </w:r>
      <w:bookmarkStart w:id="18" w:name="_Hlk31852732"/>
      <w:r w:rsidRPr="00F153F6">
        <w:rPr>
          <w:rFonts w:ascii="Times New Roman" w:eastAsia="Times New Roman" w:hAnsi="Times New Roman" w:cs="Times New Roman"/>
          <w:sz w:val="24"/>
          <w:szCs w:val="24"/>
        </w:rPr>
        <w:fldChar w:fldCharType="begin"/>
      </w:r>
      <w:r w:rsidRPr="00F153F6">
        <w:rPr>
          <w:rFonts w:ascii="Times New Roman" w:eastAsia="Times New Roman" w:hAnsi="Times New Roman" w:cs="Times New Roman"/>
          <w:sz w:val="24"/>
          <w:szCs w:val="24"/>
        </w:rPr>
        <w:instrText xml:space="preserve"> ADDIN ZOTERO_ITEM CSL_CITATION {"citationID":"hotSaYpa","properties":{"formattedCitation":"(Stohr &amp; Zhao, 2001)","plainCitation":"(Stohr &amp; Zhao, 2001)","noteIndex":0},"citationItems":[{"id":2259,"uris":["http://zotero.org/users/5709166/items/BY465DG2"],"itemData":{"id":2259,"type":"article-journal","abstract":"Workﬂow management systems, a relatively recent technology, are designed to make work more efﬁcient, integrate heterogeneous application systems, and support interorganizational processes in electronic commerce applications. In this paper, we introduce the ﬁeld of workﬂow automation, the subject of this special issue of Information Systems Frontiers. In the ﬁrst part of the paper, we provide basic deﬁnitions and frameworks to aid understanding of workﬂow management technologies. In the remainder of the paper, we discuss technical and management research opportunities in this ﬁeld and discuss the other contributions to the special issue.","language":"en","page":"16","source":"Zotero","title":"Workflow Automation: Overview and Research Issues","author":[{"family":"Stohr","given":"Edward A"},{"family":"Zhao","given":"J Leon"}],"issued":{"date-parts":[["2001"]]}}}],"schema":"https://github.com/citation-style-language/schema/raw/master/csl-citation.json"} </w:instrText>
      </w:r>
      <w:r w:rsidRPr="00F153F6">
        <w:rPr>
          <w:rFonts w:ascii="Times New Roman" w:eastAsia="Times New Roman" w:hAnsi="Times New Roman" w:cs="Times New Roman"/>
          <w:sz w:val="24"/>
          <w:szCs w:val="24"/>
        </w:rPr>
        <w:fldChar w:fldCharType="separate"/>
      </w:r>
      <w:r w:rsidRPr="00F153F6">
        <w:rPr>
          <w:rFonts w:ascii="Times New Roman" w:hAnsi="Times New Roman" w:cs="Times New Roman"/>
          <w:sz w:val="24"/>
          <w:szCs w:val="24"/>
        </w:rPr>
        <w:t>(Stohr &amp; Zhao, 2001)</w:t>
      </w:r>
      <w:r w:rsidRPr="00F153F6">
        <w:rPr>
          <w:rFonts w:ascii="Times New Roman" w:eastAsia="Times New Roman" w:hAnsi="Times New Roman" w:cs="Times New Roman"/>
          <w:sz w:val="24"/>
          <w:szCs w:val="24"/>
        </w:rPr>
        <w:fldChar w:fldCharType="end"/>
      </w:r>
      <w:bookmarkEnd w:id="18"/>
      <w:r w:rsidRPr="00F153F6">
        <w:rPr>
          <w:rFonts w:ascii="Times New Roman" w:hAnsi="Times New Roman" w:cs="Times New Roman"/>
          <w:sz w:val="24"/>
          <w:szCs w:val="24"/>
        </w:rPr>
        <w:t xml:space="preserve">. However, on the downside, ICT attributes, such as data </w:t>
      </w:r>
      <w:r w:rsidRPr="00F153F6">
        <w:rPr>
          <w:rFonts w:ascii="Times New Roman" w:hAnsi="Times New Roman" w:cs="Times New Roman"/>
          <w:sz w:val="24"/>
          <w:szCs w:val="24"/>
        </w:rPr>
        <w:lastRenderedPageBreak/>
        <w:t xml:space="preserve">quality and security, are challenging the quality of knowledge, further </w:t>
      </w:r>
      <w:r w:rsidR="00C24FEB" w:rsidRPr="00F153F6">
        <w:rPr>
          <w:rFonts w:ascii="Times New Roman" w:hAnsi="Times New Roman" w:cs="Times New Roman"/>
          <w:sz w:val="24"/>
          <w:szCs w:val="24"/>
        </w:rPr>
        <w:t>inhibiting human</w:t>
      </w:r>
      <w:r w:rsidRPr="00F153F6">
        <w:rPr>
          <w:rFonts w:ascii="Times New Roman" w:hAnsi="Times New Roman" w:cs="Times New Roman"/>
          <w:sz w:val="24"/>
          <w:szCs w:val="24"/>
        </w:rPr>
        <w:t xml:space="preserve"> knowledge exchange process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{"citationID":"ATW2A6x9","properties":{"formattedCitation":"(Bagheri et al., 2016)","plainCitation":"(Bagheri et al., 2016)","noteIndex":0},"citationItems":[{"id":466,"uris":["http://zotero.org/users/5709166/items/ASSCSUHM"],"itemData":{"id":466,"type":"article-journal","abstract":"In dynamic value networks (VNs), knowledge serves as a basis for close collaboration of actors (i.e. firms with their partners and customers) to enhance co-creation of integrated solutions. In order to provide a technical foundation for seamless knowledge transfer among actors, VNs require distributed and interoperable intra- and inter-organizational knowledge management systems (KMS), which rely largely on advanced information and communication technology (ICT). KMS cannot be seen as stand-alone information systems but should address a variety of issues (e.g. organizational or social issues) in relation to knowledge management. Therefore, the new generation of such complex systems, appropriate for VNs, must deal with this variety of issues, ranging from merely business-oriented to pure technologically-oriented issues. Although scholars have studied knowledge transfer and ICT issues in VN settings, their insights and results remain fragmented because of the diverse research efforts from different perspectives (either from a more business or a more technical perspective). This necessitates that a broader perspective needs to be established. This study endeavors to address simultaneously potential issues of both knowledge transfer and ICT in a VN by developing a comprehensive integrated framework. The development of the framework is based on a three-step methodology which comprises the exploration and classification of generic ICT issues in a VN setting, and subsequently integrating knowledge transfer issues with ICT issues. The proposed integrated framework provides a well-structured theoretical basis for future KMS requirement engineering in VN environments.","container-title":"Procedia Computer Science","DOI":"10.1016/j.procs.2016.09.211","ISSN":"18770509","journalAbbreviation":"Procedia Computer Science","language":"en","page":"677-685","source":"DOI.org (Crossref)","title":"An Integrated Framework of Knowledge Transfer and ICT Issues in Co-creation Value Networks","volume":"100","author":[{"family":"Bagheri","given":"Samaneh"},{"family":"Kusters","given":"Rob J."},{"family":"Trienekens","given":"Jos J.M."}],"issued":{"date-parts":[["2016"]]}}}],"schema":"https://github.com/citation-style-language/schema/raw/master/csl-citation.json"}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(Bagheri et al., 2016)</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Hence, the impact of </w:t>
      </w:r>
      <w:r w:rsidR="000A6A4E" w:rsidRPr="00F153F6">
        <w:rPr>
          <w:rFonts w:ascii="Times New Roman" w:hAnsi="Times New Roman" w:cs="Times New Roman"/>
          <w:sz w:val="24"/>
          <w:szCs w:val="24"/>
        </w:rPr>
        <w:t>ICT</w:t>
      </w:r>
      <w:r w:rsidRPr="00F153F6">
        <w:rPr>
          <w:rFonts w:ascii="Times New Roman" w:hAnsi="Times New Roman" w:cs="Times New Roman"/>
          <w:sz w:val="24"/>
          <w:szCs w:val="24"/>
        </w:rPr>
        <w:t xml:space="preserve"> on influencing knowledge exchange in organisations remains unclear.</w:t>
      </w:r>
    </w:p>
    <w:p w14:paraId="618D48AA" w14:textId="760306C7" w:rsidR="00193C37"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inter-organisational settings, knowledge exchange is considered as a crucial process for organisations to acquire external knowledge and improve their own competitive advantage </w:t>
      </w:r>
      <w:r w:rsidRPr="00F153F6">
        <w:rPr>
          <w:rFonts w:ascii="Times New Roman" w:eastAsia="Times New Roman" w:hAnsi="Times New Roman" w:cs="Times New Roman"/>
          <w:iCs/>
          <w:sz w:val="24"/>
          <w:szCs w:val="24"/>
        </w:rPr>
        <w:fldChar w:fldCharType="begin"/>
      </w:r>
      <w:r w:rsidRPr="00F153F6">
        <w:rPr>
          <w:rFonts w:ascii="Times New Roman" w:eastAsia="Times New Roman" w:hAnsi="Times New Roman" w:cs="Times New Roman"/>
          <w:iCs/>
          <w:sz w:val="24"/>
          <w:szCs w:val="24"/>
        </w:rPr>
        <w:instrText xml:space="preserve"> ADDIN ZOTERO_ITEM CSL_CITATION {"citationID":"bpUAGmhx","properties":{"formattedCitation":"(Blecker &amp; Neumann, 2000)","plainCitation":"(Blecker &amp; Neumann, 2000)","noteIndex":0},"citationItems":[{"id":2100,"uris":["http://zotero.org/users/5709166/items/788EA66A"],"itemData":{"id":2100,"type":"paper-conference","abstract":"Copyright © 2000, Idea Group Publishing. New organizational approaches like Virtual Organizations have the potential to provide the flexibility and to reduce the complexity and risk of management necessary to survive in the actual economic environment. A crucial factor for gaining and sustaining competitive advantages in the current economic environment is knowledge. The management of knowledge has been extensively discussed during the past few years. However, there is still a considerable lack of research that addresses innovative ways of managing the transfer of knowledge, best-practices and competence between organizations. In order to partially overcome these conceptual deficiencies we introduce the concept of an Interorganizational Knowledge Management and discuss its implications on knowledge oriented strategic management in Virtual Organizations.","DOI":"10.4018/978-1-930708-65-5.ch004","source":"Semantic Scholar","title":"Interorganizational Knowledge Management: Some Perspectives for Knowledge Oriented Strategic Management in Virtual Organizations","title-short":"Interorganizational Knowledge Management","author":[{"family":"Blecker","given":"Thorsten"},{"family":"Neumann","given":"Robert"}],"issued":{"date-parts":[["2000"]]}}}],"schema":"https://github.com/citation-style-language/schema/raw/master/csl-citation.json"} </w:instrText>
      </w:r>
      <w:r w:rsidRPr="00F153F6">
        <w:rPr>
          <w:rFonts w:ascii="Times New Roman" w:eastAsia="Times New Roman" w:hAnsi="Times New Roman" w:cs="Times New Roman"/>
          <w:iCs/>
          <w:sz w:val="24"/>
          <w:szCs w:val="24"/>
        </w:rPr>
        <w:fldChar w:fldCharType="separate"/>
      </w:r>
      <w:r w:rsidRPr="00F153F6">
        <w:rPr>
          <w:rFonts w:ascii="Times New Roman" w:hAnsi="Times New Roman" w:cs="Times New Roman"/>
          <w:sz w:val="24"/>
          <w:szCs w:val="24"/>
        </w:rPr>
        <w:t>(Blecker &amp; Neumann, 2000)</w:t>
      </w:r>
      <w:r w:rsidRPr="00F153F6">
        <w:rPr>
          <w:rFonts w:ascii="Times New Roman" w:eastAsia="Times New Roman" w:hAnsi="Times New Roman" w:cs="Times New Roman"/>
          <w:iCs/>
          <w:sz w:val="24"/>
          <w:szCs w:val="24"/>
        </w:rPr>
        <w:fldChar w:fldCharType="end"/>
      </w:r>
      <w:r w:rsidRPr="00F153F6">
        <w:rPr>
          <w:rFonts w:ascii="Times New Roman" w:hAnsi="Times New Roman" w:cs="Times New Roman"/>
          <w:sz w:val="24"/>
          <w:szCs w:val="24"/>
        </w:rPr>
        <w:t xml:space="preserve">. </w:t>
      </w:r>
      <w:r w:rsidR="00193C37" w:rsidRPr="00F153F6">
        <w:rPr>
          <w:rFonts w:ascii="Times New Roman" w:hAnsi="Times New Roman" w:cs="Times New Roman"/>
          <w:sz w:val="24"/>
          <w:szCs w:val="24"/>
        </w:rPr>
        <w:t>Knowledge itself has a rather dynamic nature. There are diverse views on knowledge that</w:t>
      </w:r>
      <w:r w:rsidR="006E6DC8" w:rsidRPr="00F153F6">
        <w:rPr>
          <w:rFonts w:ascii="Times New Roman" w:hAnsi="Times New Roman" w:cs="Times New Roman"/>
          <w:sz w:val="24"/>
          <w:szCs w:val="24"/>
        </w:rPr>
        <w:t xml:space="preserve"> </w:t>
      </w:r>
      <w:r w:rsidR="005447F7" w:rsidRPr="00F153F6">
        <w:rPr>
          <w:rFonts w:ascii="Times New Roman" w:hAnsi="Times New Roman" w:cs="Times New Roman"/>
          <w:sz w:val="24"/>
          <w:szCs w:val="24"/>
        </w:rPr>
        <w:t xml:space="preserve">have </w:t>
      </w:r>
      <w:r w:rsidR="006E6DC8" w:rsidRPr="00F153F6">
        <w:rPr>
          <w:rFonts w:ascii="Times New Roman" w:hAnsi="Times New Roman" w:cs="Times New Roman"/>
          <w:sz w:val="24"/>
          <w:szCs w:val="24"/>
        </w:rPr>
        <w:t>reflect</w:t>
      </w:r>
      <w:r w:rsidR="005447F7" w:rsidRPr="00F153F6">
        <w:rPr>
          <w:rFonts w:ascii="Times New Roman" w:hAnsi="Times New Roman" w:cs="Times New Roman"/>
          <w:sz w:val="24"/>
          <w:szCs w:val="24"/>
        </w:rPr>
        <w:t>ed the</w:t>
      </w:r>
      <w:r w:rsidR="006E6DC8" w:rsidRPr="00F153F6">
        <w:rPr>
          <w:rFonts w:ascii="Times New Roman" w:hAnsi="Times New Roman" w:cs="Times New Roman"/>
          <w:sz w:val="24"/>
          <w:szCs w:val="24"/>
        </w:rPr>
        <w:t xml:space="preserve"> multifaceted nature of knowledge mobilised in </w:t>
      </w:r>
      <w:r w:rsidR="00193C37" w:rsidRPr="00F153F6">
        <w:rPr>
          <w:rFonts w:ascii="Times New Roman" w:hAnsi="Times New Roman" w:cs="Times New Roman"/>
          <w:sz w:val="24"/>
          <w:szCs w:val="24"/>
        </w:rPr>
        <w:t>knowledge exchange practice. For example, knowledge can be viewed as an object that can be codified by ICT into different explicit forms that support knowledge exchange</w:t>
      </w:r>
      <w:r w:rsidR="00FA2025" w:rsidRPr="00F153F6">
        <w:rPr>
          <w:rFonts w:ascii="Times New Roman" w:hAnsi="Times New Roman" w:cs="Times New Roman"/>
          <w:sz w:val="24"/>
          <w:szCs w:val="24"/>
        </w:rPr>
        <w:t xml:space="preserve"> </w:t>
      </w:r>
      <w:r w:rsidR="00FA2025" w:rsidRPr="00F153F6">
        <w:rPr>
          <w:rFonts w:ascii="Times New Roman" w:hAnsi="Times New Roman" w:cs="Times New Roman"/>
          <w:color w:val="000000" w:themeColor="text1"/>
          <w:sz w:val="24"/>
          <w:szCs w:val="24"/>
        </w:rPr>
        <w:fldChar w:fldCharType="begin"/>
      </w:r>
      <w:r w:rsidR="00FA2025" w:rsidRPr="00F153F6">
        <w:rPr>
          <w:rFonts w:ascii="Times New Roman" w:hAnsi="Times New Roman" w:cs="Times New Roman"/>
          <w:color w:val="000000" w:themeColor="text1"/>
          <w:sz w:val="24"/>
          <w:szCs w:val="24"/>
        </w:rPr>
        <w:instrText xml:space="preserve"> ADDIN ZOTERO_ITEM CSL_CITATION {"citationID":"pzHzRJl8","properties":{"formattedCitation":"(Hartmann &amp; Dor\\uc0\\u233{}e, 2015; King &amp; Marks, 2008)","plainCitation":"(Hartmann &amp; Dorée, 2015; King &amp; Marks, 2008)","noteIndex":0},"citationItems":[{"id":2352,"uris":["http://zotero.org/users/5709166/items/5GJA62NY"],"itemData":{"id":2352,"type":"article-journal","abstract":"Although learning from projects has gained much importance in research and practice, progress in understanding and improving inter-project learning appears to be slight. We argue that the adoption of a sender/receiver approach limits the learning effectiveness in project-based organisations. Drawing upon the notion of learning as a social activity embedded in an organisational context, we develop the argument that learning from projects takes place within projects rooted in the historical, organisational and cultural context of previous and current projects. We underpin our argument with results from a multiple-case study on learning in construction organisations. We show that learning cannot be segregated from immediate practice and occurs when individuals engage in project work. Particularly the orientation towards project goals and project-overarching ambitions or trajectories can serve as contextual binder for learning in and between projects.","container-title":"International Journal of Project Management","DOI":"10.1016/j.ijproman.2014.07.006","ISSN":"0263-7863","issue":"2","journalAbbreviation":"International Journal of Project Management","language":"en","page":"341-351","source":"ScienceDirect","title":"Learning between projects: More than sending messages in bottles","title-short":"Learning between projects","volume":"33","author":[{"family":"Hartmann","given":"Andreas"},{"family":"Dorée","given":"André"}],"issued":{"date-parts":[["2015",2,1]]}},"label":"page"},{"id":2351,"uris":["http://zotero.org/users/5709166/items/W3REL3VD"],"itemData":{"id":2351,"type":"article-journal","abstract":"Based on both economic and sociological theory, the effects of supervisory control and organizational support on the frequency and effort of individuals in contributing their personally held valuable knowledge to a “best practices-lessons learned, repository-based” knowledge management system (KMS) were compared. Supervisory control, as expected, had significant impact on frequency, but it also had unexpectedly significant influence on effort. When system variables—usefulness and ease of use—were controlled for, the organizational support measure had little effect on either outcome. These results provide greater support for economic-agency-theory motivators of knowledge sharing and lesser support for organizational support motivators than has been previously believed. They also emphasize the important impact of systems variables in motivating KMS use. Since the study was conducted in a government (joint civilian–military) organization, the organizational type may significantly influence the results. However, since the result is contrary to the conventional wisdom that suggests that a “knowledge-sharing culture” is all-important, at the very least, this study shows that the nature of the organization may moderate the relationship between the motivational approach and the outcomes.","collection-title":"Special Issue Section: Papers presented at the INFORMS conference, Atlanta, 2003","container-title":"Omega","DOI":"10.1016/j.omega.2005.10.006","ISSN":"0305-0483","issue":"1","journalAbbreviation":"Omega","language":"en","page":"131-146","source":"ScienceDirect","title":"Motivating knowledge sharing through a knowledge management system","volume":"36","author":[{"family":"King","given":"William R."},{"family":"Marks","given":"Peter V."}],"issued":{"date-parts":[["2008",2,1]]}}}],"schema":"https://github.com/citation-style-language/schema/raw/master/csl-citation.json"} </w:instrText>
      </w:r>
      <w:r w:rsidR="00FA2025" w:rsidRPr="00F153F6">
        <w:rPr>
          <w:rFonts w:ascii="Times New Roman" w:hAnsi="Times New Roman" w:cs="Times New Roman"/>
          <w:color w:val="000000" w:themeColor="text1"/>
          <w:sz w:val="24"/>
          <w:szCs w:val="24"/>
        </w:rPr>
        <w:fldChar w:fldCharType="separate"/>
      </w:r>
      <w:r w:rsidR="00FA2025" w:rsidRPr="00F153F6">
        <w:rPr>
          <w:rFonts w:ascii="Times New Roman" w:hAnsi="Times New Roman" w:cs="Times New Roman"/>
          <w:sz w:val="24"/>
          <w:szCs w:val="24"/>
        </w:rPr>
        <w:t>(Hartmann &amp; Dorée, 2015; King &amp; Marks, 2008)</w:t>
      </w:r>
      <w:r w:rsidR="00FA2025" w:rsidRPr="00F153F6">
        <w:rPr>
          <w:rFonts w:ascii="Times New Roman" w:hAnsi="Times New Roman" w:cs="Times New Roman"/>
          <w:color w:val="000000" w:themeColor="text1"/>
          <w:sz w:val="24"/>
          <w:szCs w:val="24"/>
        </w:rPr>
        <w:fldChar w:fldCharType="end"/>
      </w:r>
      <w:r w:rsidR="00193C37" w:rsidRPr="00F153F6">
        <w:rPr>
          <w:rFonts w:ascii="Times New Roman" w:hAnsi="Times New Roman" w:cs="Times New Roman"/>
          <w:sz w:val="24"/>
          <w:szCs w:val="24"/>
        </w:rPr>
        <w:t>. Knowledge can be also viewed as rooted in practice that is goal oriented and only emerge</w:t>
      </w:r>
      <w:r w:rsidR="00F522DA" w:rsidRPr="00F153F6">
        <w:rPr>
          <w:rFonts w:ascii="Times New Roman" w:hAnsi="Times New Roman" w:cs="Times New Roman"/>
          <w:sz w:val="24"/>
          <w:szCs w:val="24"/>
        </w:rPr>
        <w:t>s</w:t>
      </w:r>
      <w:r w:rsidR="00193C37" w:rsidRPr="00F153F6">
        <w:rPr>
          <w:rFonts w:ascii="Times New Roman" w:hAnsi="Times New Roman" w:cs="Times New Roman"/>
          <w:sz w:val="24"/>
          <w:szCs w:val="24"/>
        </w:rPr>
        <w:t xml:space="preserve"> as people conduct actions</w:t>
      </w:r>
      <w:r w:rsidR="005447F7" w:rsidRPr="00F153F6">
        <w:rPr>
          <w:rFonts w:ascii="Times New Roman" w:hAnsi="Times New Roman" w:cs="Times New Roman"/>
          <w:sz w:val="24"/>
          <w:szCs w:val="24"/>
        </w:rPr>
        <w:t xml:space="preserve"> or interactions</w:t>
      </w:r>
      <w:r w:rsidR="00FA2025" w:rsidRPr="00F153F6">
        <w:rPr>
          <w:rFonts w:ascii="Times New Roman" w:hAnsi="Times New Roman" w:cs="Times New Roman"/>
          <w:sz w:val="24"/>
          <w:szCs w:val="24"/>
        </w:rPr>
        <w:t xml:space="preserve"> </w:t>
      </w:r>
      <w:r w:rsidR="00FA2025" w:rsidRPr="00F153F6">
        <w:rPr>
          <w:rFonts w:ascii="Times New Roman" w:hAnsi="Times New Roman" w:cs="Times New Roman"/>
          <w:color w:val="000000" w:themeColor="text1"/>
          <w:sz w:val="24"/>
          <w:szCs w:val="24"/>
        </w:rPr>
        <w:fldChar w:fldCharType="begin"/>
      </w:r>
      <w:r w:rsidR="00FA2025" w:rsidRPr="00F153F6">
        <w:rPr>
          <w:rFonts w:ascii="Times New Roman" w:hAnsi="Times New Roman" w:cs="Times New Roman"/>
          <w:color w:val="000000" w:themeColor="text1"/>
          <w:sz w:val="24"/>
          <w:szCs w:val="24"/>
        </w:rPr>
        <w:instrText xml:space="preserve"> ADDIN ZOTERO_ITEM CSL_CITATION {"citationID":"abl0pigtvc","properties":{"formattedCitation":"(Nicolini, 2013a)","plainCitation":"(Nicolini, 2013a)","dontUpdate":true,"noteIndex":0},"citationItems":[{"id":10204,"uris":["http://zotero.org/users/5709166/items/WGYAA3F4"],"itemData":{"id":10204,"type":"book","abstract":"\"What is practice theory? Where do practice theories come from? What do they say? Do they really offer something new to the study of work and organization? In setting out to answer these questions, this book provides a rigorous yet accessible introduction to contemporary theories of practice, discussing their distinctive contribution to work and organization studies. Practice theories are a set of conceptual tools and methodologies for investigating, analysing, and representing everyday practice through written text, language, images, and behaviour. Drawing on a variety of theoretical traditions, they have explored the idea that phenomena such as knowledge, meaning, science, power, organized activity, sociality, and institutions are rooted in practice. The book first examines the origins of the idea of practice. Recognizing that a unified theory of practice does not exist, the central chapters of the book then discuss the theory and concepts of the main scholarly traditions that have, collectively, contributed to the 'practice turn' in social and organization studies. Each of the central chapters concludes with a fully worked example of the theory in application. Practice theories have become of increasing interest for management and organizational scholars in recent years, and this book is an advanced introduction to the complexities of the area for academics, researchers, and graduate students in organization studies, management, and across the social sciences.\"--Publisher's website","call-number":"HD30.4 N536 2013","edition":"First Edition","event-place":"Oxford","ISBN":"978-0-19-923160-7","language":"en","note":"OCLC: ocn828774985","number-of-pages":"272","publisher":"Oxford University Press","publisher-place":"Oxford","source":"Library of Congress ISBN","title":"Practice Theory, Work, and Organization: An Introduction","title-short":"Practice Theory, Work, and Organization","author":[{"family":"Nicolini","given":"Davide"}],"issued":{"date-parts":[["2013"]]}}}],"schema":"https://github.com/citation-style-language/schema/raw/master/csl-citation.json"} </w:instrText>
      </w:r>
      <w:r w:rsidR="00FA2025" w:rsidRPr="00F153F6">
        <w:rPr>
          <w:rFonts w:ascii="Times New Roman" w:hAnsi="Times New Roman" w:cs="Times New Roman"/>
          <w:color w:val="000000" w:themeColor="text1"/>
          <w:sz w:val="24"/>
          <w:szCs w:val="24"/>
        </w:rPr>
        <w:fldChar w:fldCharType="separate"/>
      </w:r>
      <w:r w:rsidR="00FA2025" w:rsidRPr="00F153F6">
        <w:rPr>
          <w:rFonts w:ascii="Times New Roman" w:hAnsi="Times New Roman" w:cs="Times New Roman"/>
          <w:color w:val="000000" w:themeColor="text1"/>
          <w:sz w:val="24"/>
          <w:szCs w:val="24"/>
        </w:rPr>
        <w:t>(Nicolini, 2013)</w:t>
      </w:r>
      <w:r w:rsidR="00FA2025" w:rsidRPr="00F153F6">
        <w:rPr>
          <w:rFonts w:ascii="Times New Roman" w:hAnsi="Times New Roman" w:cs="Times New Roman"/>
          <w:color w:val="000000" w:themeColor="text1"/>
          <w:sz w:val="24"/>
          <w:szCs w:val="24"/>
        </w:rPr>
        <w:fldChar w:fldCharType="end"/>
      </w:r>
      <w:r w:rsidR="00193C37" w:rsidRPr="00F153F6">
        <w:rPr>
          <w:rFonts w:ascii="Times New Roman" w:hAnsi="Times New Roman" w:cs="Times New Roman"/>
          <w:sz w:val="24"/>
          <w:szCs w:val="24"/>
        </w:rPr>
        <w:t xml:space="preserve">. </w:t>
      </w:r>
      <w:r w:rsidR="0069097A" w:rsidRPr="00F153F6">
        <w:rPr>
          <w:rFonts w:ascii="Times New Roman" w:hAnsi="Times New Roman" w:cs="Times New Roman"/>
          <w:sz w:val="24"/>
          <w:szCs w:val="24"/>
        </w:rPr>
        <w:t>T</w:t>
      </w:r>
      <w:r w:rsidR="00193C37" w:rsidRPr="00F153F6">
        <w:rPr>
          <w:rFonts w:ascii="Times New Roman" w:hAnsi="Times New Roman" w:cs="Times New Roman"/>
          <w:sz w:val="24"/>
          <w:szCs w:val="24"/>
        </w:rPr>
        <w:t>hereby</w:t>
      </w:r>
      <w:r w:rsidR="0069097A" w:rsidRPr="00F153F6">
        <w:rPr>
          <w:rFonts w:ascii="Times New Roman" w:hAnsi="Times New Roman" w:cs="Times New Roman"/>
          <w:sz w:val="24"/>
          <w:szCs w:val="24"/>
        </w:rPr>
        <w:t xml:space="preserve"> ICT</w:t>
      </w:r>
      <w:r w:rsidR="00193C37" w:rsidRPr="00F153F6">
        <w:rPr>
          <w:rFonts w:ascii="Times New Roman" w:hAnsi="Times New Roman" w:cs="Times New Roman"/>
          <w:sz w:val="24"/>
          <w:szCs w:val="24"/>
        </w:rPr>
        <w:t xml:space="preserve"> support</w:t>
      </w:r>
      <w:r w:rsidR="006E6DC8" w:rsidRPr="00F153F6">
        <w:rPr>
          <w:rFonts w:ascii="Times New Roman" w:hAnsi="Times New Roman" w:cs="Times New Roman"/>
          <w:sz w:val="24"/>
          <w:szCs w:val="24"/>
        </w:rPr>
        <w:t>s</w:t>
      </w:r>
      <w:r w:rsidR="00193C37" w:rsidRPr="00F153F6">
        <w:rPr>
          <w:rFonts w:ascii="Times New Roman" w:hAnsi="Times New Roman" w:cs="Times New Roman"/>
          <w:sz w:val="24"/>
          <w:szCs w:val="24"/>
        </w:rPr>
        <w:t xml:space="preserve"> people to accomplish these goals and </w:t>
      </w:r>
      <w:r w:rsidR="0069097A" w:rsidRPr="00F153F6">
        <w:rPr>
          <w:rFonts w:ascii="Times New Roman" w:hAnsi="Times New Roman" w:cs="Times New Roman"/>
          <w:sz w:val="24"/>
          <w:szCs w:val="24"/>
        </w:rPr>
        <w:t>their</w:t>
      </w:r>
      <w:r w:rsidR="00193C37" w:rsidRPr="00F153F6">
        <w:rPr>
          <w:rFonts w:ascii="Times New Roman" w:hAnsi="Times New Roman" w:cs="Times New Roman"/>
          <w:sz w:val="24"/>
          <w:szCs w:val="24"/>
        </w:rPr>
        <w:t xml:space="preserve"> interactions with different purposes</w:t>
      </w:r>
      <w:r w:rsidR="0069097A" w:rsidRPr="00F153F6">
        <w:rPr>
          <w:rFonts w:ascii="Times New Roman" w:hAnsi="Times New Roman" w:cs="Times New Roman"/>
          <w:sz w:val="24"/>
          <w:szCs w:val="24"/>
        </w:rPr>
        <w:t xml:space="preserve">, and this </w:t>
      </w:r>
      <w:r w:rsidR="006E6DC8" w:rsidRPr="00F153F6">
        <w:rPr>
          <w:rFonts w:ascii="Times New Roman" w:hAnsi="Times New Roman" w:cs="Times New Roman"/>
          <w:sz w:val="24"/>
          <w:szCs w:val="24"/>
        </w:rPr>
        <w:t>in turn</w:t>
      </w:r>
      <w:r w:rsidR="00193C37" w:rsidRPr="00F153F6">
        <w:rPr>
          <w:rFonts w:ascii="Times New Roman" w:hAnsi="Times New Roman" w:cs="Times New Roman"/>
          <w:sz w:val="24"/>
          <w:szCs w:val="24"/>
        </w:rPr>
        <w:t xml:space="preserve"> shapes a dynamic knowledge exchange process</w:t>
      </w:r>
      <w:r w:rsidR="00FA2025" w:rsidRPr="00F153F6">
        <w:rPr>
          <w:rFonts w:ascii="Times New Roman" w:hAnsi="Times New Roman" w:cs="Times New Roman"/>
          <w:sz w:val="24"/>
          <w:szCs w:val="24"/>
        </w:rPr>
        <w:t xml:space="preserve"> </w:t>
      </w:r>
      <w:r w:rsidR="00FA2025" w:rsidRPr="00F153F6">
        <w:rPr>
          <w:rFonts w:ascii="Times New Roman" w:hAnsi="Times New Roman" w:cs="Times New Roman"/>
          <w:sz w:val="24"/>
          <w:szCs w:val="24"/>
        </w:rPr>
        <w:fldChar w:fldCharType="begin"/>
      </w:r>
      <w:r w:rsidR="00682A8A" w:rsidRPr="00F153F6">
        <w:rPr>
          <w:rFonts w:ascii="Times New Roman" w:hAnsi="Times New Roman" w:cs="Times New Roman"/>
          <w:sz w:val="24"/>
          <w:szCs w:val="24"/>
        </w:rPr>
        <w:instrText xml:space="preserve"> ADDIN ZOTERO_ITEM CSL_CITATION {"citationID":"ExXLHSzz","properties":{"formattedCitation":"(Carlile, 2002; Nicolini, 2016; Orlikowski, 2002b)","plainCitation":"(Carlile, 2002; Nicolini, 2016; Orlikowski, 2002b)","dontUpdate":true,"noteIndex":0},"citationItems":[{"id":157,"uris":["http://zotero.org/users/5709166/items/M26HEKDW"],"itemData":{"id":157,"type":"article-journal","abstract":"This study explores the premise that knowledge in new product development proves both a barrier to and a source of innovation. To understand the problematic nature of knowledge and the boundaries that result, an ethnographic study was used to understand how knowledge is structured differently across the four primary functions that are dependent on each other in the creation and production of a high-volume product. A pragmatic view of “knowledge in practice” is developed, describing knowledge as localized, embedded, and invested within a function and how, when working across functions, consequences often arise that generate problematic knowledge boundaries. The use of a boundary object is then described as a means of representing, learning about, and transforming knowledge to resolve the consequences that exist at a given boundary. Finally, this pragmatic view of knowledge and boundaries is proposed as a framework to revisit the differentiation and integration of knowledge.","container-title":"Organization Science","DOI":"10.1287/orsc.13.4.442.2953","ISSN":"1047-7039, 1526-5455","issue":"4","journalAbbreviation":"Organization Science","language":"en","page":"442-455","source":"DOI.org (Crossref)","title":"A Pragmatic View of Knowledge and Boundaries: Boundary Objects in New Product Development","title-short":"A Pragmatic View of Knowledge and Boundaries","volume":"13","author":[{"family":"Carlile","given":"Paul R."}],"issued":{"date-parts":[["2002",8]]}}},{"id":2550,"uris":["http://zotero.org/users/5709166/items/467Q4RTU"],"itemData":{"id":2550,"type":"book","abstract":"This work explores the relationship among knowing, learning, and practice in the development of organizational knowledge. It explores the implications for intervention growing out of the notion that organizational knowledge cannot be conceived as a mental process residing in members' heads.","event-place":"New York","ISBN":"978-1-315-29097-3","note":"DOI: 10.4324/9781315290973","number-of-pages":"280","publisher":"Routledge","publisher-place":"New York","title":"Knowing in Organizations: A Practice-Based Approach: A Practice-Based Approach","title-short":"Knowing in Organizations","author":[{"family":"Nicolini","given":"Davide"}],"issued":{"date-parts":[["2016",8,5]]}}},{"id":2563,"uris":["http://zotero.org/users/5709166/items/9U4BIGZY"],"itemData":{"id":2563,"type":"article-journal","abstract":"In this paper, I outline a perspective on knowing in practice which highlights the essential role of human action in knowing how to get things done in complex organizational work. The perspective suggests that knowing is not a static embedded capability or stable disposition of actors, but rather an ongoing social accomplishment, constituted and reconstituted as actors engage the world in practice. In interpreting the findings of an empirical study conducted in a geographically dispersed hightech organization, I suggest that the competence to do global product development is both collective and distributed, grounded in the everyday practices of organizational members. I conclude by discussing some of the research implications of a perspective on organizational knowing in practice.","container-title":"Organization Science","DOI":"10.1287/orsc.13.3.249.2776","ISSN":"1047-7039","issue":"3","note":"publisher: INFORMS","page":"249-273","source":"pubsonline.informs.org (Atypon)","title":"Knowing in Practice: Enacting a Collective Capability in Distributed Organizing","title-short":"Knowing in Practice","volume":"13","author":[{"family":"Orlikowski","given":"Wanda J."}],"issued":{"date-parts":[["2002",6,1]]}}}],"schema":"https://github.com/citation-style-language/schema/raw/master/csl-citation.json"} </w:instrText>
      </w:r>
      <w:r w:rsidR="00FA2025" w:rsidRPr="00F153F6">
        <w:rPr>
          <w:rFonts w:ascii="Times New Roman" w:hAnsi="Times New Roman" w:cs="Times New Roman"/>
          <w:sz w:val="24"/>
          <w:szCs w:val="24"/>
        </w:rPr>
        <w:fldChar w:fldCharType="separate"/>
      </w:r>
      <w:r w:rsidR="00FA2025" w:rsidRPr="00F153F6">
        <w:rPr>
          <w:rFonts w:ascii="Times New Roman" w:hAnsi="Times New Roman" w:cs="Times New Roman"/>
          <w:sz w:val="24"/>
          <w:szCs w:val="24"/>
        </w:rPr>
        <w:t>(Carlile, 2002; Nicolini, 2016; Orlikowski, 2002)</w:t>
      </w:r>
      <w:r w:rsidR="00FA2025" w:rsidRPr="00F153F6">
        <w:rPr>
          <w:rFonts w:ascii="Times New Roman" w:hAnsi="Times New Roman" w:cs="Times New Roman"/>
          <w:sz w:val="24"/>
          <w:szCs w:val="24"/>
        </w:rPr>
        <w:fldChar w:fldCharType="end"/>
      </w:r>
      <w:r w:rsidR="00193C37" w:rsidRPr="00F153F6">
        <w:rPr>
          <w:rFonts w:ascii="Times New Roman" w:hAnsi="Times New Roman" w:cs="Times New Roman"/>
          <w:sz w:val="24"/>
          <w:szCs w:val="24"/>
        </w:rPr>
        <w:t xml:space="preserve">. Existing studies that look at knowledge exchange practices usually </w:t>
      </w:r>
      <w:r w:rsidR="006E6DC8" w:rsidRPr="00F153F6">
        <w:rPr>
          <w:rFonts w:ascii="Times New Roman" w:hAnsi="Times New Roman" w:cs="Times New Roman"/>
          <w:sz w:val="24"/>
          <w:szCs w:val="24"/>
        </w:rPr>
        <w:t xml:space="preserve">place the </w:t>
      </w:r>
      <w:r w:rsidR="00193C37" w:rsidRPr="00F153F6">
        <w:rPr>
          <w:rFonts w:ascii="Times New Roman" w:hAnsi="Times New Roman" w:cs="Times New Roman"/>
          <w:sz w:val="24"/>
          <w:szCs w:val="24"/>
        </w:rPr>
        <w:t xml:space="preserve">emphasis on exploring the dynamic movement or mobilisation of knowledge and thus foreground knowledge in </w:t>
      </w:r>
      <w:r w:rsidR="00F522DA" w:rsidRPr="00F153F6">
        <w:rPr>
          <w:rFonts w:ascii="Times New Roman" w:hAnsi="Times New Roman" w:cs="Times New Roman"/>
          <w:sz w:val="24"/>
          <w:szCs w:val="24"/>
        </w:rPr>
        <w:t xml:space="preserve">a </w:t>
      </w:r>
      <w:r w:rsidR="00193C37" w:rsidRPr="00F153F6">
        <w:rPr>
          <w:rFonts w:ascii="Times New Roman" w:hAnsi="Times New Roman" w:cs="Times New Roman"/>
          <w:sz w:val="24"/>
          <w:szCs w:val="24"/>
        </w:rPr>
        <w:t>knowledge exchange process</w:t>
      </w:r>
      <w:r w:rsidR="00FA2025" w:rsidRPr="00F153F6">
        <w:rPr>
          <w:rFonts w:ascii="Times New Roman" w:hAnsi="Times New Roman" w:cs="Times New Roman"/>
          <w:sz w:val="24"/>
          <w:szCs w:val="24"/>
        </w:rPr>
        <w:t xml:space="preserve"> </w:t>
      </w:r>
      <w:r w:rsidR="00FA2025" w:rsidRPr="00F153F6">
        <w:rPr>
          <w:rFonts w:ascii="Times New Roman" w:eastAsia="Times New Roman" w:hAnsi="Times New Roman" w:cs="Times New Roman"/>
          <w:iCs/>
          <w:color w:val="000000" w:themeColor="text1"/>
          <w:sz w:val="24"/>
          <w:szCs w:val="24"/>
        </w:rPr>
        <w:fldChar w:fldCharType="begin"/>
      </w:r>
      <w:r w:rsidR="00206572" w:rsidRPr="00F153F6">
        <w:rPr>
          <w:rFonts w:ascii="Times New Roman" w:eastAsia="Times New Roman" w:hAnsi="Times New Roman" w:cs="Times New Roman"/>
          <w:iCs/>
          <w:color w:val="000000" w:themeColor="text1"/>
          <w:sz w:val="24"/>
          <w:szCs w:val="24"/>
        </w:rPr>
        <w:instrText xml:space="preserve"> ADDIN ZOTERO_ITEM CSL_CITATION {"citationID":"c1iDypIA","properties":{"formattedCitation":"(Bagheri et al., 2016; Berente et al., 2010a; Blecker &amp; Neumann, 2000)","plainCitation":"(Bagheri et al., 2016; Berente et al., 2010a; Blecker &amp; Neumann, 2000)","noteIndex":0},"citationItems":[{"id":466,"uris":["http://zotero.org/users/5709166/items/ASSCSUHM"],"itemData":{"id":466,"type":"article-journal","abstract":"In dynamic value networks (VNs), knowledge serves as a basis for close collaboration of actors (i.e. firms with their partners and customers) to enhance co-creation of integrated solutions. In order to provide a technical foundation for seamless knowledge transfer among actors, VNs require distributed and interoperable intra- and inter-organizational knowledge management systems (KMS), which rely largely on advanced information and communication technology (ICT). KMS cannot be seen as stand-alone information systems but should address a variety of issues (e.g. organizational or social issues) in relation to knowledge management. Therefore, the new generation of such complex systems, appropriate for VNs, must deal with this variety of issues, ranging from merely business-oriented to pure technologically-oriented issues. Although scholars have studied knowledge transfer and ICT issues in VN settings, their insights and results remain fragmented because of the diverse research efforts from different perspectives (either from a more business or a more technical perspective). This necessitates that a broader perspective needs to be established. This study endeavors to address simultaneously potential issues of both knowledge transfer and ICT in a VN by developing a comprehensive integrated framework. The development of the framework is based on a three-step methodology which comprises the exploration and classification of generic ICT issues in a VN setting, and subsequently integrating knowledge transfer issues with ICT issues. The proposed integrated framework provides a well-structured theoretical basis for future KMS requirement engineering in VN environments.","container-title":"Procedia Computer Science","DOI":"10.1016/j.procs.2016.09.211","ISSN":"18770509","journalAbbreviation":"Procedia Computer Science","language":"en","page":"677-685","source":"DOI.org (Crossref)","title":"An Integrated Framework of Knowledge Transfer and ICT Issues in Co-creation Value Networks","volume":"100","author":[{"family":"Bagheri","given":"Samaneh"},{"family":"Kusters","given":"Rob J."},{"family":"Trienekens","given":"Jos J.M."}],"issued":{"date-parts":[["2016"]]}},"label":"page"},{"id":"WjXiMXKA/seA71fnn","uris":["http://zotero.org/users/5709166/items/5FIK5U29"],"itemData":{"id":1695,"type":"article-journal","abstract":"Organizational research argues that under relational forms of governance a high degree of both information pooling and physical interaction are necessary for inter-organizational knowledge creation. Yet, recent studies of information and communication technologies (ICTs) suggest that both practices at the same time are sometimes unnecessary. We address this discrepancy by developing a framework whereby the intensity and proportion of these inter-organizational practices are affected by the object world congruence between designers within and across partnering firms, and the level to which a common information technology platform is embedded in their activity. Through a multi-level case study of a Frank Gehry construction project we illustrate how designers with highly congruent object worlds, due to a strongly embedded common information technology platform, could jointly create knowledge despite decreased physical interaction. Conversely, designers from firms with incongruent object worlds or with congruent object worlds lacking a strongly embedded common ICT platform demanded a higher degree of physical interaction for effective knowledge creation. Our research suggests a dynamic, evolutionary model of inter-organizational knowledge creation influenced by variation in object world congruence and the levels of embedding a common ICT platform. © 2010 Taylor &amp; Francis.","archive":"Scopus","container-title":"Construction Management and Economics","DOI":"10.1080/01446193.2010.489926","ISSN":"01446193 (ISSN)","issue":"6","journalAbbreviation":"Constr. Manage. Econ.","language":"English","page":"569-588","title":"Dynamics of inter-organizational knowledge creation and information technology use across object worlds: The case of an innovative construction project","volume":"28","author":[{"family":"Berente","given":"N."},{"family":"Baxter","given":"R."},{"family":"Lyytinen","given":"K."}],"issued":{"date-parts":[["2010"]]}},"label":"page"},{"id":2100,"uris":["http://zotero.org/users/5709166/items/788EA66A"],"itemData":{"id":2100,"type":"paper-conference","abstract":"Copyright © 2000, Idea Group Publishing. New organizational approaches like Virtual Organizations have the potential to provide the flexibility and to reduce the complexity and risk of management necessary to survive in the actual economic environment. A crucial factor for gaining and sustaining competitive advantages in the current economic environment is knowledge. The management of knowledge has been extensively discussed during the past few years. However, there is still a considerable lack of research that addresses innovative ways of managing the transfer of knowledge, best-practices and competence between organizations. In order to partially overcome these conceptual deficiencies we introduce the concept of an Interorganizational Knowledge Management and discuss its implications on knowledge oriented strategic management in Virtual Organizations.","DOI":"10.4018/978-1-930708-65-5.ch004","source":"Semantic Scholar","title":"Interorganizational Knowledge Management: Some Perspectives for Knowledge Oriented Strategic Management in Virtual Organizations","title-short":"Interorganizational Knowledge Management","author":[{"family":"Blecker","given":"Thorsten"},{"family":"Neumann","given":"Robert"}],"issued":{"date-parts":[["2000"]]}}}],"schema":"https://github.com/citation-style-language/schema/raw/master/csl-citation.json"} </w:instrText>
      </w:r>
      <w:r w:rsidR="00FA2025" w:rsidRPr="00F153F6">
        <w:rPr>
          <w:rFonts w:ascii="Times New Roman" w:eastAsia="Times New Roman" w:hAnsi="Times New Roman" w:cs="Times New Roman"/>
          <w:iCs/>
          <w:color w:val="000000" w:themeColor="text1"/>
          <w:sz w:val="24"/>
          <w:szCs w:val="24"/>
        </w:rPr>
        <w:fldChar w:fldCharType="separate"/>
      </w:r>
      <w:r w:rsidR="00C62BEE" w:rsidRPr="00F153F6">
        <w:rPr>
          <w:rFonts w:ascii="Times New Roman" w:hAnsi="Times New Roman" w:cs="Times New Roman"/>
          <w:sz w:val="24"/>
          <w:szCs w:val="24"/>
        </w:rPr>
        <w:t>(Bagheri et al., 2016; Blecker &amp; Neumann, 2000)</w:t>
      </w:r>
      <w:r w:rsidR="00FA2025" w:rsidRPr="00F153F6">
        <w:rPr>
          <w:rFonts w:ascii="Times New Roman" w:eastAsia="Times New Roman" w:hAnsi="Times New Roman" w:cs="Times New Roman"/>
          <w:iCs/>
          <w:color w:val="000000" w:themeColor="text1"/>
          <w:sz w:val="24"/>
          <w:szCs w:val="24"/>
        </w:rPr>
        <w:fldChar w:fldCharType="end"/>
      </w:r>
      <w:r w:rsidR="00193C37" w:rsidRPr="00F153F6">
        <w:rPr>
          <w:rFonts w:ascii="Times New Roman" w:hAnsi="Times New Roman" w:cs="Times New Roman"/>
          <w:sz w:val="24"/>
          <w:szCs w:val="24"/>
        </w:rPr>
        <w:t>. These studies consider the role of ICT usually as a contextual condition that help</w:t>
      </w:r>
      <w:r w:rsidR="00F522DA" w:rsidRPr="00F153F6">
        <w:rPr>
          <w:rFonts w:ascii="Times New Roman" w:hAnsi="Times New Roman" w:cs="Times New Roman"/>
          <w:sz w:val="24"/>
          <w:szCs w:val="24"/>
        </w:rPr>
        <w:t>s</w:t>
      </w:r>
      <w:r w:rsidR="00193C37" w:rsidRPr="00F153F6">
        <w:rPr>
          <w:rFonts w:ascii="Times New Roman" w:hAnsi="Times New Roman" w:cs="Times New Roman"/>
          <w:sz w:val="24"/>
          <w:szCs w:val="24"/>
        </w:rPr>
        <w:t xml:space="preserve"> shape a dynamic knowledge exchange practice without consider</w:t>
      </w:r>
      <w:r w:rsidR="005447F7" w:rsidRPr="00F153F6">
        <w:rPr>
          <w:rFonts w:ascii="Times New Roman" w:hAnsi="Times New Roman" w:cs="Times New Roman"/>
          <w:sz w:val="24"/>
          <w:szCs w:val="24"/>
        </w:rPr>
        <w:t>ing</w:t>
      </w:r>
      <w:r w:rsidR="00193C37" w:rsidRPr="00F153F6">
        <w:rPr>
          <w:rFonts w:ascii="Times New Roman" w:hAnsi="Times New Roman" w:cs="Times New Roman"/>
          <w:sz w:val="24"/>
          <w:szCs w:val="24"/>
        </w:rPr>
        <w:t xml:space="preserve"> the dynamic nature of ICT itself.  </w:t>
      </w:r>
    </w:p>
    <w:p w14:paraId="1CD1C8F6" w14:textId="049E9AB2" w:rsidR="0069097A" w:rsidRPr="00F153F6" w:rsidRDefault="00193C37"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A</w:t>
      </w:r>
      <w:r w:rsidR="002C1A2F" w:rsidRPr="00F153F6">
        <w:rPr>
          <w:rFonts w:ascii="Times New Roman" w:hAnsi="Times New Roman" w:cs="Times New Roman"/>
          <w:sz w:val="24"/>
          <w:szCs w:val="24"/>
        </w:rPr>
        <w:t xml:space="preserve">s </w:t>
      </w:r>
      <w:r w:rsidR="000A6A4E" w:rsidRPr="00F153F6">
        <w:rPr>
          <w:rFonts w:ascii="Times New Roman" w:hAnsi="Times New Roman" w:cs="Times New Roman"/>
          <w:sz w:val="24"/>
          <w:szCs w:val="24"/>
        </w:rPr>
        <w:t>ICT</w:t>
      </w:r>
      <w:r w:rsidR="002C1A2F" w:rsidRPr="00F153F6">
        <w:rPr>
          <w:rFonts w:ascii="Times New Roman" w:hAnsi="Times New Roman" w:cs="Times New Roman"/>
          <w:sz w:val="24"/>
          <w:szCs w:val="24"/>
        </w:rPr>
        <w:t xml:space="preserve"> become</w:t>
      </w:r>
      <w:r w:rsidR="000A6A4E" w:rsidRPr="00F153F6">
        <w:rPr>
          <w:rFonts w:ascii="Times New Roman" w:hAnsi="Times New Roman" w:cs="Times New Roman"/>
          <w:sz w:val="24"/>
          <w:szCs w:val="24"/>
        </w:rPr>
        <w:t>s</w:t>
      </w:r>
      <w:r w:rsidR="002C1A2F" w:rsidRPr="00F153F6">
        <w:rPr>
          <w:rFonts w:ascii="Times New Roman" w:hAnsi="Times New Roman" w:cs="Times New Roman"/>
          <w:sz w:val="24"/>
          <w:szCs w:val="24"/>
        </w:rPr>
        <w:t xml:space="preserve"> more influential, organisations tend to use them to enhance this process. For example, social media such as Facebook and Twitter help organisations capture external knowledge from a wide range of actors globally </w:t>
      </w:r>
      <w:r w:rsidR="002C1A2F" w:rsidRPr="00F153F6">
        <w:rPr>
          <w:rFonts w:ascii="Times New Roman" w:eastAsia="Times New Roman" w:hAnsi="Times New Roman" w:cs="Times New Roman"/>
          <w:iCs/>
          <w:sz w:val="24"/>
          <w:szCs w:val="24"/>
        </w:rPr>
        <w:fldChar w:fldCharType="begin"/>
      </w:r>
      <w:r w:rsidR="002C1A2F" w:rsidRPr="00F153F6">
        <w:rPr>
          <w:rFonts w:ascii="Times New Roman" w:eastAsia="Times New Roman" w:hAnsi="Times New Roman" w:cs="Times New Roman"/>
          <w:iCs/>
          <w:sz w:val="24"/>
          <w:szCs w:val="24"/>
        </w:rPr>
        <w:instrText xml:space="preserve"> ADDIN ZOTERO_ITEM CSL_CITATION {"citationID":"RpyqO03D","properties":{"formattedCitation":"(Martini et al., 2013)","plainCitation":"(Martini et al., 2013)","noteIndex":0},"citationItems":[{"id":2144,"uris":["http://zotero.org/users/5709166/items/GCAQ8T3H"],"itemData":{"id":2144,"type":"article-journal","abstract":"The aim of this article was to explore the relationship between human actors and technology in the context of a social media platform, developed by a leading Italian ﬁrm in the food industry, and created to keep in contact with its customers, while gathering innovative ideas from them.","container-title":"Information and Organization","DOI":"10.1016/j.infoandorg.2013.07.001","ISSN":"14717727","issue":"3","journalAbbreviation":"Information and Organization","language":"en","page":"198-213","source":"DOI.org (Crossref)","title":"The firm, the platform and the customer: A “double mangle” interpretation of social media for innovation","title-short":"The firm, the platform and the customer","volume":"23","author":[{"family":"Martini","given":"Antonella"},{"family":"Massa","given":"Silvia"},{"family":"Testa","given":"Stefania"}],"issued":{"date-parts":[["2013",7]]}}}],"schema":"https://github.com/citation-style-language/schema/raw/master/csl-citation.json"} </w:instrText>
      </w:r>
      <w:r w:rsidR="002C1A2F" w:rsidRPr="00F153F6">
        <w:rPr>
          <w:rFonts w:ascii="Times New Roman" w:eastAsia="Times New Roman" w:hAnsi="Times New Roman" w:cs="Times New Roman"/>
          <w:iCs/>
          <w:sz w:val="24"/>
          <w:szCs w:val="24"/>
        </w:rPr>
        <w:fldChar w:fldCharType="separate"/>
      </w:r>
      <w:r w:rsidR="002C1A2F" w:rsidRPr="00F153F6">
        <w:rPr>
          <w:rFonts w:ascii="Times New Roman" w:hAnsi="Times New Roman" w:cs="Times New Roman"/>
          <w:sz w:val="24"/>
          <w:szCs w:val="24"/>
        </w:rPr>
        <w:t>(Martini et al., 2013)</w:t>
      </w:r>
      <w:r w:rsidR="002C1A2F" w:rsidRPr="00F153F6">
        <w:rPr>
          <w:rFonts w:ascii="Times New Roman" w:eastAsia="Times New Roman" w:hAnsi="Times New Roman" w:cs="Times New Roman"/>
          <w:iCs/>
          <w:sz w:val="24"/>
          <w:szCs w:val="24"/>
        </w:rPr>
        <w:fldChar w:fldCharType="end"/>
      </w:r>
      <w:r w:rsidR="002C1A2F" w:rsidRPr="00F153F6">
        <w:rPr>
          <w:rFonts w:ascii="Times New Roman" w:eastAsia="Times New Roman" w:hAnsi="Times New Roman" w:cs="Times New Roman"/>
          <w:iCs/>
          <w:sz w:val="24"/>
          <w:szCs w:val="24"/>
        </w:rPr>
        <w:t xml:space="preserve">. Various advanced communication tools, such as email, video conferencing, digital forums, allow people to exchange their knowledge regardless of organisational boundaries </w:t>
      </w:r>
      <w:r w:rsidR="002C1A2F" w:rsidRPr="00F153F6">
        <w:rPr>
          <w:rFonts w:ascii="Times New Roman" w:eastAsia="Times New Roman" w:hAnsi="Times New Roman" w:cs="Times New Roman"/>
          <w:iCs/>
          <w:sz w:val="24"/>
          <w:szCs w:val="24"/>
        </w:rPr>
        <w:fldChar w:fldCharType="begin"/>
      </w:r>
      <w:r w:rsidR="002C1A2F" w:rsidRPr="00F153F6">
        <w:rPr>
          <w:rFonts w:ascii="Times New Roman" w:eastAsia="Times New Roman" w:hAnsi="Times New Roman" w:cs="Times New Roman"/>
          <w:iCs/>
          <w:sz w:val="24"/>
          <w:szCs w:val="24"/>
        </w:rPr>
        <w:instrText xml:space="preserve"> ADDIN ZOTERO_ITEM CSL_CITATION {"citationID":"R4QP8Sxt","properties":{"formattedCitation":"(Alavi et al., 2005)","plainCitation":"(Alavi et al., 2005)","noteIndex":0},"citationItems":[{"id":2133,"uris":["http://zotero.org/users/5709166/items/W4987BY9"],"itemData":{"id":2133,"type":"article-journal","container-title":"Journal of Management Information Systems","DOI":"10.2753/MIS0742-1222220307","ISSN":"0742-1222, 1557-928X","issue":"3","journalAbbreviation":"Journal of Management Information Systems","language":"en","page":"191-224","source":"DOI.org (Crossref)","title":"An Empirical Examination of the Influence of Organizational Culture on Knowledge Management Practices","volume":"22","author":[{"family":"Alavi","given":"Maryam"},{"family":"Kayworth","given":"Timothy R."},{"family":"Leidner","given":"Dorothy E."}],"issued":{"date-parts":[["2005",12]]}}}],"schema":"https://github.com/citation-style-language/schema/raw/master/csl-citation.json"} </w:instrText>
      </w:r>
      <w:r w:rsidR="002C1A2F" w:rsidRPr="00F153F6">
        <w:rPr>
          <w:rFonts w:ascii="Times New Roman" w:eastAsia="Times New Roman" w:hAnsi="Times New Roman" w:cs="Times New Roman"/>
          <w:iCs/>
          <w:sz w:val="24"/>
          <w:szCs w:val="24"/>
        </w:rPr>
        <w:fldChar w:fldCharType="separate"/>
      </w:r>
      <w:r w:rsidR="002C1A2F" w:rsidRPr="00F153F6">
        <w:rPr>
          <w:rFonts w:ascii="Times New Roman" w:hAnsi="Times New Roman" w:cs="Times New Roman"/>
          <w:sz w:val="24"/>
          <w:szCs w:val="24"/>
        </w:rPr>
        <w:t>(Alavi et al., 2005)</w:t>
      </w:r>
      <w:r w:rsidR="002C1A2F" w:rsidRPr="00F153F6">
        <w:rPr>
          <w:rFonts w:ascii="Times New Roman" w:eastAsia="Times New Roman" w:hAnsi="Times New Roman" w:cs="Times New Roman"/>
          <w:iCs/>
          <w:sz w:val="24"/>
          <w:szCs w:val="24"/>
        </w:rPr>
        <w:fldChar w:fldCharType="end"/>
      </w:r>
      <w:r w:rsidR="002C1A2F" w:rsidRPr="00F153F6">
        <w:rPr>
          <w:rFonts w:ascii="Times New Roman" w:eastAsia="Times New Roman" w:hAnsi="Times New Roman" w:cs="Times New Roman"/>
          <w:iCs/>
          <w:sz w:val="24"/>
          <w:szCs w:val="24"/>
        </w:rPr>
        <w:t xml:space="preserve">. However, </w:t>
      </w:r>
      <w:r w:rsidR="002C1A2F" w:rsidRPr="00F153F6">
        <w:rPr>
          <w:rFonts w:ascii="Times New Roman" w:hAnsi="Times New Roman" w:cs="Times New Roman"/>
          <w:sz w:val="24"/>
          <w:szCs w:val="24"/>
        </w:rPr>
        <w:t xml:space="preserve">while the literature emphasises the influence of ICT in accelerating the pace and intensity of inter-organisational knowledge exchange, there is limited evidence with regards to exactly how the </w:t>
      </w:r>
      <w:r w:rsidR="005447F7" w:rsidRPr="00F153F6">
        <w:rPr>
          <w:rFonts w:ascii="Times New Roman" w:hAnsi="Times New Roman" w:cs="Times New Roman"/>
          <w:sz w:val="24"/>
          <w:szCs w:val="24"/>
        </w:rPr>
        <w:t xml:space="preserve">dynamic </w:t>
      </w:r>
      <w:r w:rsidR="002C1A2F" w:rsidRPr="00F153F6">
        <w:rPr>
          <w:rFonts w:ascii="Times New Roman" w:hAnsi="Times New Roman" w:cs="Times New Roman"/>
          <w:sz w:val="24"/>
          <w:szCs w:val="24"/>
        </w:rPr>
        <w:t xml:space="preserve">nature of ICT can </w:t>
      </w:r>
      <w:r w:rsidR="005447F7" w:rsidRPr="00F153F6">
        <w:rPr>
          <w:rFonts w:ascii="Times New Roman" w:hAnsi="Times New Roman" w:cs="Times New Roman"/>
          <w:sz w:val="24"/>
          <w:szCs w:val="24"/>
        </w:rPr>
        <w:t>interact</w:t>
      </w:r>
      <w:r w:rsidR="002C1A2F" w:rsidRPr="00F153F6">
        <w:rPr>
          <w:rFonts w:ascii="Times New Roman" w:hAnsi="Times New Roman" w:cs="Times New Roman"/>
          <w:sz w:val="24"/>
          <w:szCs w:val="24"/>
        </w:rPr>
        <w:t xml:space="preserve"> </w:t>
      </w:r>
      <w:r w:rsidR="005447F7" w:rsidRPr="00F153F6">
        <w:rPr>
          <w:rFonts w:ascii="Times New Roman" w:hAnsi="Times New Roman" w:cs="Times New Roman"/>
          <w:sz w:val="24"/>
          <w:szCs w:val="24"/>
        </w:rPr>
        <w:t>with the</w:t>
      </w:r>
      <w:r w:rsidR="002C1A2F" w:rsidRPr="00F153F6">
        <w:rPr>
          <w:rFonts w:ascii="Times New Roman" w:hAnsi="Times New Roman" w:cs="Times New Roman"/>
          <w:sz w:val="24"/>
          <w:szCs w:val="24"/>
        </w:rPr>
        <w:t xml:space="preserve"> </w:t>
      </w:r>
      <w:r w:rsidRPr="00F153F6">
        <w:rPr>
          <w:rFonts w:ascii="Times New Roman" w:hAnsi="Times New Roman" w:cs="Times New Roman"/>
          <w:sz w:val="24"/>
          <w:szCs w:val="24"/>
        </w:rPr>
        <w:t xml:space="preserve">dynamic </w:t>
      </w:r>
      <w:r w:rsidR="005447F7" w:rsidRPr="00F153F6">
        <w:rPr>
          <w:rFonts w:ascii="Times New Roman" w:hAnsi="Times New Roman" w:cs="Times New Roman"/>
          <w:sz w:val="24"/>
          <w:szCs w:val="24"/>
        </w:rPr>
        <w:t xml:space="preserve">inter-organisational knowledge exchange </w:t>
      </w:r>
      <w:r w:rsidR="002C1A2F" w:rsidRPr="00F153F6">
        <w:rPr>
          <w:rFonts w:ascii="Times New Roman" w:hAnsi="Times New Roman" w:cs="Times New Roman"/>
          <w:sz w:val="24"/>
          <w:szCs w:val="24"/>
        </w:rPr>
        <w:t xml:space="preserve">process. This is because current perspectives </w:t>
      </w:r>
      <w:r w:rsidR="005447F7" w:rsidRPr="00F153F6">
        <w:rPr>
          <w:rFonts w:ascii="Times New Roman" w:hAnsi="Times New Roman" w:cs="Times New Roman"/>
          <w:sz w:val="24"/>
          <w:szCs w:val="24"/>
        </w:rPr>
        <w:t>in understanding</w:t>
      </w:r>
      <w:r w:rsidR="002C1A2F" w:rsidRPr="00F153F6">
        <w:rPr>
          <w:rFonts w:ascii="Times New Roman" w:hAnsi="Times New Roman" w:cs="Times New Roman"/>
          <w:sz w:val="24"/>
          <w:szCs w:val="24"/>
        </w:rPr>
        <w:t xml:space="preserve"> the</w:t>
      </w:r>
      <w:r w:rsidR="005447F7" w:rsidRPr="00F153F6">
        <w:rPr>
          <w:rFonts w:ascii="Times New Roman" w:hAnsi="Times New Roman" w:cs="Times New Roman"/>
          <w:sz w:val="24"/>
          <w:szCs w:val="24"/>
        </w:rPr>
        <w:t xml:space="preserve"> dynamic</w:t>
      </w:r>
      <w:r w:rsidR="002C1A2F" w:rsidRPr="00F153F6">
        <w:rPr>
          <w:rFonts w:ascii="Times New Roman" w:hAnsi="Times New Roman" w:cs="Times New Roman"/>
          <w:sz w:val="24"/>
          <w:szCs w:val="24"/>
        </w:rPr>
        <w:t xml:space="preserve"> nature of ICT are </w:t>
      </w:r>
      <w:r w:rsidR="005447F7" w:rsidRPr="00F153F6">
        <w:rPr>
          <w:rFonts w:ascii="Times New Roman" w:hAnsi="Times New Roman" w:cs="Times New Roman"/>
          <w:sz w:val="24"/>
          <w:szCs w:val="24"/>
        </w:rPr>
        <w:t>diverse</w:t>
      </w:r>
      <w:r w:rsidR="00D81B64" w:rsidRPr="00F153F6">
        <w:rPr>
          <w:rFonts w:ascii="Times New Roman" w:hAnsi="Times New Roman" w:cs="Times New Roman"/>
          <w:sz w:val="24"/>
          <w:szCs w:val="24"/>
        </w:rPr>
        <w:t xml:space="preserve"> and </w:t>
      </w:r>
      <w:r w:rsidR="002C1A2F" w:rsidRPr="00F153F6">
        <w:rPr>
          <w:rFonts w:ascii="Times New Roman" w:hAnsi="Times New Roman" w:cs="Times New Roman"/>
          <w:sz w:val="24"/>
          <w:szCs w:val="24"/>
        </w:rPr>
        <w:t>discursive</w:t>
      </w:r>
      <w:r w:rsidR="00D81B64" w:rsidRPr="00F153F6">
        <w:rPr>
          <w:rFonts w:ascii="Times New Roman" w:hAnsi="Times New Roman" w:cs="Times New Roman"/>
          <w:sz w:val="24"/>
          <w:szCs w:val="24"/>
        </w:rPr>
        <w:t xml:space="preserve"> (e.g., affordance, sociomateriality, materiality, and socio-technical perspectives)</w:t>
      </w:r>
      <w:r w:rsidR="005447F7" w:rsidRPr="00F153F6">
        <w:rPr>
          <w:rFonts w:ascii="Times New Roman" w:hAnsi="Times New Roman" w:cs="Times New Roman"/>
          <w:sz w:val="24"/>
          <w:szCs w:val="24"/>
        </w:rPr>
        <w:t xml:space="preserve"> </w:t>
      </w:r>
      <w:r w:rsidR="005447F7" w:rsidRPr="00F153F6">
        <w:rPr>
          <w:rFonts w:ascii="Times New Roman" w:hAnsi="Times New Roman" w:cs="Times New Roman"/>
          <w:sz w:val="24"/>
          <w:szCs w:val="24"/>
        </w:rPr>
        <w:fldChar w:fldCharType="begin"/>
      </w:r>
      <w:r w:rsidR="005447F7" w:rsidRPr="00F153F6">
        <w:rPr>
          <w:rFonts w:ascii="Times New Roman" w:hAnsi="Times New Roman" w:cs="Times New Roman"/>
          <w:sz w:val="24"/>
          <w:szCs w:val="24"/>
        </w:rPr>
        <w:instrText xml:space="preserve"> ADDIN ZOTERO_ITEM CSL_CITATION {"citationID":"glIYCLBO","properties":{"formattedCitation":"(Zhu et al., 2021)","plainCitation":"(Zhu et al., 2021)","noteIndex":0},"citationItems":[{"id":2641,"uris":["http://zotero.org/users/5709166/items/F3TTP2DS"],"itemData":{"id":2641,"type":"paper-conference","abstract":"Organisations are increasingly seeking collaborations across organisational boundaries, and the digitalisation of organisation can greatly accelerate people to exchange knowledge in such inter-organisational collaborations. Therefore, Information and Communication Technologies (ICTs) play a more significant role in organisations' inter-organisational knowledge exchange (IOKE) than ever before. However, current studies provide somewhat fragmented perspectives through which knowledge and technology may be interpreted. It is critical now for research and practice to understand how ICTs shape IOKE. This study accordingly explores how IOKE is conceptualised from different ICT perspectives and understand their limitations and implications. The paper contributes to understanding the dynamic nature of IOKE from ICT perspectives and calls for future research to conceptualise IOKE from a more integrative view.","collection-title":"Lecture Notes in Computer Science","container-title":"Responsible AI and Analytics for an Ethical and Inclusive Digitized Society","DOI":"10.1007/978-3-030-85447-8_35","event-place":"Cham","ISBN":"978-3-030-85447-8","language":"en","page":"411-422","publisher":"Springer International Publishing","publisher-place":"Cham","source":"Springer Link","title":"ICT-Based Inter-organisational Knowledge Exchange: A Narrative Literature Review Approach","title-short":"ICT-Based Inter-organisational Knowledge Exchange","author":[{"family":"Zhu","given":"Yuzhen"},{"family":"Zamani","given":"Efpraxia D."},{"family":"Martins","given":"Jorge Tiago"},{"family":"Vasconcelos","given":"Ana Cristina"}],"editor":[{"family":"Dennehy","given":"Denis"},{"family":"Griva","given":"Anastasia"},{"family":"Pouloudi","given":"Nancy"},{"family":"Dwivedi","given":"Yogesh K."},{"family":"Pappas","given":"Ilias"},{"family":"Mäntymäki","given":"Matti"}],"issued":{"date-parts":[["2021"]]}}}],"schema":"https://github.com/citation-style-language/schema/raw/master/csl-citation.json"} </w:instrText>
      </w:r>
      <w:r w:rsidR="005447F7" w:rsidRPr="00F153F6">
        <w:rPr>
          <w:rFonts w:ascii="Times New Roman" w:hAnsi="Times New Roman" w:cs="Times New Roman"/>
          <w:sz w:val="24"/>
          <w:szCs w:val="24"/>
        </w:rPr>
        <w:fldChar w:fldCharType="separate"/>
      </w:r>
      <w:r w:rsidR="005447F7" w:rsidRPr="00F153F6">
        <w:rPr>
          <w:rFonts w:ascii="Times New Roman" w:hAnsi="Times New Roman" w:cs="Times New Roman"/>
          <w:sz w:val="24"/>
          <w:szCs w:val="24"/>
        </w:rPr>
        <w:t>(Zhu et al., 2021)</w:t>
      </w:r>
      <w:r w:rsidR="005447F7" w:rsidRPr="00F153F6">
        <w:rPr>
          <w:rFonts w:ascii="Times New Roman" w:hAnsi="Times New Roman" w:cs="Times New Roman"/>
          <w:sz w:val="24"/>
          <w:szCs w:val="24"/>
        </w:rPr>
        <w:fldChar w:fldCharType="end"/>
      </w:r>
      <w:r w:rsidR="005447F7" w:rsidRPr="00F153F6">
        <w:rPr>
          <w:rFonts w:ascii="Times New Roman" w:hAnsi="Times New Roman" w:cs="Times New Roman"/>
          <w:sz w:val="24"/>
          <w:szCs w:val="24"/>
        </w:rPr>
        <w:t xml:space="preserve">, which </w:t>
      </w:r>
      <w:r w:rsidR="00F522DA" w:rsidRPr="00F153F6">
        <w:rPr>
          <w:rFonts w:ascii="Times New Roman" w:hAnsi="Times New Roman" w:cs="Times New Roman"/>
          <w:sz w:val="24"/>
          <w:szCs w:val="24"/>
        </w:rPr>
        <w:t xml:space="preserve">foregrounds </w:t>
      </w:r>
      <w:r w:rsidR="000F055B" w:rsidRPr="00F153F6">
        <w:rPr>
          <w:rFonts w:ascii="Times New Roman" w:hAnsi="Times New Roman" w:cs="Times New Roman"/>
          <w:sz w:val="24"/>
          <w:szCs w:val="24"/>
        </w:rPr>
        <w:t>ICT and emphasis</w:t>
      </w:r>
      <w:r w:rsidR="00F522DA" w:rsidRPr="00F153F6">
        <w:rPr>
          <w:rFonts w:ascii="Times New Roman" w:hAnsi="Times New Roman" w:cs="Times New Roman"/>
          <w:sz w:val="24"/>
          <w:szCs w:val="24"/>
        </w:rPr>
        <w:t>es</w:t>
      </w:r>
      <w:r w:rsidR="000F055B" w:rsidRPr="00F153F6">
        <w:rPr>
          <w:rFonts w:ascii="Times New Roman" w:hAnsi="Times New Roman" w:cs="Times New Roman"/>
          <w:sz w:val="24"/>
          <w:szCs w:val="24"/>
        </w:rPr>
        <w:t xml:space="preserve"> the dynamic role of ICT in knowledge work setting</w:t>
      </w:r>
      <w:r w:rsidR="00F522DA" w:rsidRPr="00F153F6">
        <w:rPr>
          <w:rFonts w:ascii="Times New Roman" w:hAnsi="Times New Roman" w:cs="Times New Roman"/>
          <w:sz w:val="24"/>
          <w:szCs w:val="24"/>
        </w:rPr>
        <w:t>s</w:t>
      </w:r>
      <w:r w:rsidR="002C1A2F" w:rsidRPr="00F153F6">
        <w:rPr>
          <w:rFonts w:ascii="Times New Roman" w:hAnsi="Times New Roman" w:cs="Times New Roman"/>
          <w:sz w:val="24"/>
          <w:szCs w:val="24"/>
        </w:rPr>
        <w:t xml:space="preserve">. </w:t>
      </w:r>
      <w:r w:rsidRPr="00F153F6">
        <w:rPr>
          <w:rFonts w:ascii="Times New Roman" w:hAnsi="Times New Roman" w:cs="Times New Roman"/>
          <w:sz w:val="24"/>
          <w:szCs w:val="24"/>
        </w:rPr>
        <w:t xml:space="preserve">For example, affordance theory has unravelled </w:t>
      </w:r>
      <w:r w:rsidR="000F055B" w:rsidRPr="00F153F6">
        <w:rPr>
          <w:rFonts w:ascii="Times New Roman" w:hAnsi="Times New Roman" w:cs="Times New Roman"/>
          <w:sz w:val="24"/>
          <w:szCs w:val="24"/>
        </w:rPr>
        <w:t>stakeholders’</w:t>
      </w:r>
      <w:r w:rsidRPr="00F153F6">
        <w:rPr>
          <w:rFonts w:ascii="Times New Roman" w:hAnsi="Times New Roman" w:cs="Times New Roman"/>
          <w:sz w:val="24"/>
          <w:szCs w:val="24"/>
        </w:rPr>
        <w:t xml:space="preserve"> action possibilities </w:t>
      </w:r>
      <w:r w:rsidR="000F055B" w:rsidRPr="00F153F6">
        <w:rPr>
          <w:rFonts w:ascii="Times New Roman" w:hAnsi="Times New Roman" w:cs="Times New Roman"/>
          <w:sz w:val="24"/>
          <w:szCs w:val="24"/>
        </w:rPr>
        <w:t>afforded by ICT as</w:t>
      </w:r>
      <w:r w:rsidRPr="00F153F6">
        <w:rPr>
          <w:rFonts w:ascii="Times New Roman" w:hAnsi="Times New Roman" w:cs="Times New Roman"/>
          <w:sz w:val="24"/>
          <w:szCs w:val="24"/>
        </w:rPr>
        <w:t xml:space="preserve"> </w:t>
      </w:r>
      <w:r w:rsidR="000F055B" w:rsidRPr="00F153F6">
        <w:rPr>
          <w:rFonts w:ascii="Times New Roman" w:hAnsi="Times New Roman" w:cs="Times New Roman"/>
          <w:sz w:val="24"/>
          <w:szCs w:val="24"/>
        </w:rPr>
        <w:t>ICT is used in knowledge work</w:t>
      </w:r>
      <w:r w:rsidR="00C62BEE" w:rsidRPr="00F153F6">
        <w:rPr>
          <w:rFonts w:ascii="Times New Roman" w:hAnsi="Times New Roman" w:cs="Times New Roman"/>
          <w:sz w:val="24"/>
          <w:szCs w:val="24"/>
        </w:rPr>
        <w:t xml:space="preserve"> </w:t>
      </w:r>
      <w:r w:rsidR="00C62BEE" w:rsidRPr="00F153F6">
        <w:rPr>
          <w:rFonts w:ascii="Times New Roman" w:hAnsi="Times New Roman" w:cs="Times New Roman"/>
          <w:color w:val="000000" w:themeColor="text1"/>
          <w:sz w:val="24"/>
          <w:szCs w:val="24"/>
        </w:rPr>
        <w:fldChar w:fldCharType="begin"/>
      </w:r>
      <w:r w:rsidR="00C62BEE" w:rsidRPr="00F153F6">
        <w:rPr>
          <w:rFonts w:ascii="Times New Roman" w:eastAsia="Times New Roman" w:hAnsi="Times New Roman" w:cs="Times New Roman"/>
          <w:iCs/>
          <w:color w:val="000000" w:themeColor="text1"/>
          <w:sz w:val="24"/>
          <w:szCs w:val="24"/>
        </w:rPr>
        <w:instrText xml:space="preserve"> ADDIN ZOTERO_ITEM CSL_CITATION {"citationID":"a1gkrretdeo","properties":{"formattedCitation":"(Volkoff &amp; Strong, 2017)","plainCitation":"(Volkoff &amp; Strong, 2017)","noteIndex":0},"citationItems":[{"id":10198,"uris":["http://zotero.org/users/5709166/items/BDAFLBCH"],"itemData":{"id":10198,"type":"chapter","abstract":"In this chapter we provide an overview of Affordance Theory, and provide guidance to IS researchers on how to use it properly and productively in their research. We start by examining the core features of Gibson’s original theory and considering some of the challenges we encounter when translating it from ecological psychology to IS. We then distill these observations into six principles for appropriately applying an affordance lens for IS research, after which we discuss three unresolved issues and our views on how these might be addressed. The chapter then comments on the critical realist underpinnings of affordance theory, and how researchers who are not critical realists might utilize an affordance lens nonetheless. It concludes by identifying research opportunities enabled by the application of an affordance lens, and the observation that by finally having a tool that allows us to include the IT artifact appropriately, our theories become of real value to practitioners.","container-title":"The Routledge Companion to Management Information Systems","edition":"1","event-place":"Abingdon, Oxon ; New York, NY : Routledge, 2017.","ISBN":"978-1-315-61936-1","language":"en","note":"DOI: 10.4324/9781315619361-18","page":"232-245","publisher":"Routledge","publisher-place":"Abingdon, Oxon ; New York, NY : Routledge, 2017.","source":"DOI.org (Crossref)","title":"Affordance theory and how to use it in IS research","URL":"https://www.taylorfrancis.com/books/9781317213727/chapters/10.4324/9781315619361-18","editor":[{"family":"Galliers","given":"Robert D."},{"family":"Stein","given":"Mari-Klara"}],"author":[{"family":"Volkoff","given":"Olga"},{"family":"Strong","given":"Diane M."}],"accessed":{"date-parts":[["2022",8,22]]},"issued":{"date-parts":[["2017",8,15]]}}}],"schema":"https://github.com/citation-style-language/schema/raw/master/csl-citation.json"} </w:instrText>
      </w:r>
      <w:r w:rsidR="00C62BEE" w:rsidRPr="00F153F6">
        <w:rPr>
          <w:rFonts w:ascii="Times New Roman" w:hAnsi="Times New Roman" w:cs="Times New Roman"/>
          <w:color w:val="000000" w:themeColor="text1"/>
          <w:sz w:val="24"/>
          <w:szCs w:val="24"/>
        </w:rPr>
        <w:fldChar w:fldCharType="separate"/>
      </w:r>
      <w:r w:rsidR="00C62BEE" w:rsidRPr="00F153F6">
        <w:rPr>
          <w:rFonts w:ascii="Times New Roman" w:hAnsi="Times New Roman" w:cs="Times New Roman"/>
          <w:color w:val="000000" w:themeColor="text1"/>
          <w:sz w:val="24"/>
          <w:szCs w:val="24"/>
        </w:rPr>
        <w:t>(Volkoff &amp; Strong, 2017)</w:t>
      </w:r>
      <w:r w:rsidR="00C62BEE"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sz w:val="24"/>
          <w:szCs w:val="24"/>
        </w:rPr>
        <w:t>; materiality theory emphasise</w:t>
      </w:r>
      <w:r w:rsidR="006E6DC8" w:rsidRPr="00F153F6">
        <w:rPr>
          <w:rFonts w:ascii="Times New Roman" w:hAnsi="Times New Roman" w:cs="Times New Roman"/>
          <w:sz w:val="24"/>
          <w:szCs w:val="24"/>
        </w:rPr>
        <w:t>s</w:t>
      </w:r>
      <w:r w:rsidRPr="00F153F6">
        <w:rPr>
          <w:rFonts w:ascii="Times New Roman" w:hAnsi="Times New Roman" w:cs="Times New Roman"/>
          <w:sz w:val="24"/>
          <w:szCs w:val="24"/>
        </w:rPr>
        <w:t xml:space="preserve"> the fixed digital or </w:t>
      </w:r>
      <w:r w:rsidRPr="00F153F6">
        <w:rPr>
          <w:rFonts w:ascii="Times New Roman" w:hAnsi="Times New Roman" w:cs="Times New Roman"/>
          <w:sz w:val="24"/>
          <w:szCs w:val="24"/>
        </w:rPr>
        <w:lastRenderedPageBreak/>
        <w:t>physical materials of ICT that endure across time and space to support knowledge work</w:t>
      </w:r>
      <w:r w:rsidR="00F56D3B" w:rsidRPr="00F153F6">
        <w:rPr>
          <w:rFonts w:ascii="Times New Roman" w:hAnsi="Times New Roman" w:cs="Times New Roman"/>
          <w:sz w:val="24"/>
          <w:szCs w:val="24"/>
        </w:rPr>
        <w:t xml:space="preserve"> </w:t>
      </w:r>
      <w:r w:rsidR="00F56D3B" w:rsidRPr="00F153F6">
        <w:rPr>
          <w:rFonts w:ascii="Times New Roman" w:hAnsi="Times New Roman" w:cs="Times New Roman"/>
          <w:sz w:val="24"/>
          <w:szCs w:val="24"/>
        </w:rPr>
        <w:fldChar w:fldCharType="begin"/>
      </w:r>
      <w:r w:rsidR="00F56D3B" w:rsidRPr="00F153F6">
        <w:rPr>
          <w:rFonts w:ascii="Times New Roman" w:hAnsi="Times New Roman" w:cs="Times New Roman"/>
          <w:sz w:val="24"/>
          <w:szCs w:val="24"/>
        </w:rPr>
        <w:instrText xml:space="preserve"> ADDIN ZOTERO_ITEM CSL_CITATION {"citationID":"kGEbai99","properties":{"formattedCitation":"(Leonardi et al., 2012)","plainCitation":"(Leonardi et al., 2012)","noteIndex":0},"citationItems":[{"id":174,"uris":["http://zotero.org/users/5709166/items/7TXSVG6N"],"itemData":{"id":174,"type":"book","abstract":"Ask a person on the street whether new technologies bring about important social change and you are likely to hear a resounding \"yes.\" But the answer is less definitive amongst academics who study technology and social practice. Scholarly writing has been heavily influenced by the ideology of technological determinism - the belief that some types or technologically driven social changes are inevitable and cannot be stopped. Rather than argue for or against notions of determinism, the authors in this book ask how the materiality (the arrangement of physical, digital, or rhetorical materials into particular forms that endure across differences in place and time) of technologies, ranging from computer-simulation tools and social media, to ranking devices and rumours, is actually implicated in the process of formal and informal organizing. The book builds a new theoretical framework to consider the important socio-technical changes confronting people's everyday experiences in and outside of work. Leading scholars in the field contribute original chapters examining the complex interactions between technology and the social, between artefact and humans. The discussion spans multiple disciplines, including management, information systems, informatics, communication, sociology, and the history of technology, and opens up a new area of research regarding the relationship between materiality and organizing.","ISBN":"978-0-19-164067-4","language":"en","note":"Google-Books-ID: SEdoAgAAQBAJ","number-of-pages":"380","publisher":"OUP Oxford","source":"Google Books","title":"Materiality and Organizing: Social Interaction in a Technological World","title-short":"Materiality and Organizing","author":[{"family":"Leonardi","given":"Paul M."},{"family":"Nardi","given":"Bonnie A."},{"family":"Kallinikos","given":"Jannis"}],"issued":{"date-parts":[["2012",11,22]]}}}],"schema":"https://github.com/citation-style-language/schema/raw/master/csl-citation.json"} </w:instrText>
      </w:r>
      <w:r w:rsidR="00F56D3B" w:rsidRPr="00F153F6">
        <w:rPr>
          <w:rFonts w:ascii="Times New Roman" w:hAnsi="Times New Roman" w:cs="Times New Roman"/>
          <w:sz w:val="24"/>
          <w:szCs w:val="24"/>
        </w:rPr>
        <w:fldChar w:fldCharType="separate"/>
      </w:r>
      <w:r w:rsidR="00F56D3B" w:rsidRPr="00F153F6">
        <w:rPr>
          <w:rFonts w:ascii="Times New Roman" w:hAnsi="Times New Roman" w:cs="Times New Roman"/>
          <w:sz w:val="24"/>
          <w:szCs w:val="24"/>
        </w:rPr>
        <w:t>(Leonardi et al., 2012)</w:t>
      </w:r>
      <w:r w:rsidR="00F56D3B" w:rsidRPr="00F153F6">
        <w:rPr>
          <w:rFonts w:ascii="Times New Roman" w:hAnsi="Times New Roman" w:cs="Times New Roman"/>
          <w:sz w:val="24"/>
          <w:szCs w:val="24"/>
        </w:rPr>
        <w:fldChar w:fldCharType="end"/>
      </w:r>
      <w:r w:rsidRPr="00F153F6">
        <w:rPr>
          <w:rFonts w:ascii="Times New Roman" w:hAnsi="Times New Roman" w:cs="Times New Roman"/>
          <w:sz w:val="24"/>
          <w:szCs w:val="24"/>
        </w:rPr>
        <w:t>. Sociomateriality theory considers the sociomaterial assemblage of ICTs that determine knowledge work performance</w:t>
      </w:r>
      <w:r w:rsidR="00F56D3B" w:rsidRPr="00F153F6">
        <w:rPr>
          <w:rFonts w:ascii="Times New Roman" w:hAnsi="Times New Roman" w:cs="Times New Roman"/>
          <w:sz w:val="24"/>
          <w:szCs w:val="24"/>
        </w:rPr>
        <w:t xml:space="preserve"> </w:t>
      </w:r>
      <w:r w:rsidR="00F56D3B" w:rsidRPr="00F153F6">
        <w:rPr>
          <w:rFonts w:ascii="Times New Roman" w:hAnsi="Times New Roman" w:cs="Times New Roman"/>
          <w:sz w:val="24"/>
          <w:szCs w:val="24"/>
        </w:rPr>
        <w:fldChar w:fldCharType="begin"/>
      </w:r>
      <w:r w:rsidR="00F56D3B" w:rsidRPr="00F153F6">
        <w:rPr>
          <w:rFonts w:ascii="Times New Roman" w:hAnsi="Times New Roman" w:cs="Times New Roman"/>
          <w:sz w:val="24"/>
          <w:szCs w:val="24"/>
        </w:rPr>
        <w:instrText xml:space="preserve"> ADDIN ZOTERO_ITEM CSL_CITATION {"citationID":"BLBPOQTL","properties":{"formattedCitation":"(Orlikowski &amp; Scott, 2008)","plainCitation":"(Orlikowski &amp; Scott, 2008)","noteIndex":0},"citationItems":[{"id":164,"uris":["http://zotero.org/users/5709166/items/XA8SDBE7"],"itemData":{"id":164,"type":"article-journal","container-title":"Academy of Management Annals","DOI":"10.5465/19416520802211644","ISSN":"1941-6520, 1941-6067","issue":"1","journalAbbreviation":"ANNALS","language":"en","page":"433-474","source":"DOI.org (Crossref)","title":"Sociomateriality: Challenging the Separation of Technology, Work and Organization","title-short":"10 Sociomateriality","volume":"2","author":[{"family":"Orlikowski","given":"Wanda J."},{"family":"Scott","given":"Susan V."}],"issued":{"date-parts":[["2008",1]]}}}],"schema":"https://github.com/citation-style-language/schema/raw/master/csl-citation.json"} </w:instrText>
      </w:r>
      <w:r w:rsidR="00F56D3B" w:rsidRPr="00F153F6">
        <w:rPr>
          <w:rFonts w:ascii="Times New Roman" w:hAnsi="Times New Roman" w:cs="Times New Roman"/>
          <w:sz w:val="24"/>
          <w:szCs w:val="24"/>
        </w:rPr>
        <w:fldChar w:fldCharType="separate"/>
      </w:r>
      <w:r w:rsidR="00F56D3B" w:rsidRPr="00F153F6">
        <w:rPr>
          <w:rFonts w:ascii="Times New Roman" w:hAnsi="Times New Roman" w:cs="Times New Roman"/>
          <w:sz w:val="24"/>
          <w:szCs w:val="24"/>
        </w:rPr>
        <w:t>(Orlikowski &amp; Scott, 2008)</w:t>
      </w:r>
      <w:r w:rsidR="00F56D3B" w:rsidRPr="00F153F6">
        <w:rPr>
          <w:rFonts w:ascii="Times New Roman" w:hAnsi="Times New Roman" w:cs="Times New Roman"/>
          <w:sz w:val="24"/>
          <w:szCs w:val="24"/>
        </w:rPr>
        <w:fldChar w:fldCharType="end"/>
      </w:r>
      <w:r w:rsidRPr="00F153F6">
        <w:rPr>
          <w:rFonts w:ascii="Times New Roman" w:hAnsi="Times New Roman" w:cs="Times New Roman"/>
          <w:sz w:val="24"/>
          <w:szCs w:val="24"/>
        </w:rPr>
        <w:t>. These different views usually emphasise the nature of ICT in supporting knowledge work without considering the dynamic nature of knowledge exchange practice.</w:t>
      </w:r>
    </w:p>
    <w:p w14:paraId="02DC0BFA" w14:textId="23D8CE9A" w:rsidR="002C1A2F" w:rsidRPr="00F153F6" w:rsidRDefault="00193C37"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 </w:t>
      </w:r>
      <w:r w:rsidR="0069097A" w:rsidRPr="00F153F6">
        <w:rPr>
          <w:rFonts w:ascii="Times New Roman" w:hAnsi="Times New Roman" w:cs="Times New Roman"/>
          <w:sz w:val="24"/>
          <w:szCs w:val="24"/>
        </w:rPr>
        <w:t>Taken together, the above indicate</w:t>
      </w:r>
      <w:r w:rsidR="00F522DA" w:rsidRPr="00F153F6">
        <w:rPr>
          <w:rFonts w:ascii="Times New Roman" w:hAnsi="Times New Roman" w:cs="Times New Roman"/>
          <w:sz w:val="24"/>
          <w:szCs w:val="24"/>
        </w:rPr>
        <w:t>s</w:t>
      </w:r>
      <w:r w:rsidR="0069097A" w:rsidRPr="00F153F6">
        <w:rPr>
          <w:rFonts w:ascii="Times New Roman" w:hAnsi="Times New Roman" w:cs="Times New Roman"/>
          <w:sz w:val="24"/>
          <w:szCs w:val="24"/>
        </w:rPr>
        <w:t xml:space="preserve"> that current literature emphasises </w:t>
      </w:r>
      <w:r w:rsidR="006E6DC8" w:rsidRPr="00F153F6">
        <w:rPr>
          <w:rFonts w:ascii="Times New Roman" w:hAnsi="Times New Roman" w:cs="Times New Roman"/>
          <w:sz w:val="24"/>
          <w:szCs w:val="24"/>
        </w:rPr>
        <w:t xml:space="preserve">either </w:t>
      </w:r>
      <w:r w:rsidRPr="00F153F6">
        <w:rPr>
          <w:rFonts w:ascii="Times New Roman" w:hAnsi="Times New Roman" w:cs="Times New Roman"/>
          <w:sz w:val="24"/>
          <w:szCs w:val="24"/>
        </w:rPr>
        <w:t xml:space="preserve">the dynamic role of ICT or </w:t>
      </w:r>
      <w:r w:rsidR="00F522DA" w:rsidRPr="00F153F6">
        <w:rPr>
          <w:rFonts w:ascii="Times New Roman" w:hAnsi="Times New Roman" w:cs="Times New Roman"/>
          <w:sz w:val="24"/>
          <w:szCs w:val="24"/>
        </w:rPr>
        <w:t xml:space="preserve">dynamic </w:t>
      </w:r>
      <w:r w:rsidRPr="00F153F6">
        <w:rPr>
          <w:rFonts w:ascii="Times New Roman" w:hAnsi="Times New Roman" w:cs="Times New Roman"/>
          <w:sz w:val="24"/>
          <w:szCs w:val="24"/>
        </w:rPr>
        <w:t xml:space="preserve">role of knowledge in the shaping of inter-organisational knowledge exchange, </w:t>
      </w:r>
      <w:r w:rsidR="00F522DA" w:rsidRPr="00F153F6">
        <w:rPr>
          <w:rFonts w:ascii="Times New Roman" w:hAnsi="Times New Roman" w:cs="Times New Roman"/>
          <w:sz w:val="24"/>
          <w:szCs w:val="24"/>
        </w:rPr>
        <w:t xml:space="preserve">within which </w:t>
      </w:r>
      <w:r w:rsidRPr="00F153F6">
        <w:rPr>
          <w:rFonts w:ascii="Times New Roman" w:hAnsi="Times New Roman" w:cs="Times New Roman"/>
          <w:sz w:val="24"/>
          <w:szCs w:val="24"/>
        </w:rPr>
        <w:t>a</w:t>
      </w:r>
      <w:r w:rsidR="002C1A2F" w:rsidRPr="00F153F6">
        <w:rPr>
          <w:rFonts w:ascii="Times New Roman" w:hAnsi="Times New Roman" w:cs="Times New Roman"/>
          <w:sz w:val="24"/>
          <w:szCs w:val="24"/>
        </w:rPr>
        <w:t xml:space="preserve"> comprehensive understanding of how </w:t>
      </w:r>
      <w:r w:rsidRPr="00F153F6">
        <w:rPr>
          <w:rFonts w:ascii="Times New Roman" w:hAnsi="Times New Roman" w:cs="Times New Roman"/>
          <w:sz w:val="24"/>
          <w:szCs w:val="24"/>
        </w:rPr>
        <w:t xml:space="preserve">a dynamic </w:t>
      </w:r>
      <w:r w:rsidR="002C1A2F" w:rsidRPr="00F153F6">
        <w:rPr>
          <w:rFonts w:ascii="Times New Roman" w:hAnsi="Times New Roman" w:cs="Times New Roman"/>
          <w:sz w:val="24"/>
          <w:szCs w:val="24"/>
        </w:rPr>
        <w:t xml:space="preserve">inter-organisational knowledge exchange </w:t>
      </w:r>
      <w:r w:rsidRPr="00F153F6">
        <w:rPr>
          <w:rFonts w:ascii="Times New Roman" w:hAnsi="Times New Roman" w:cs="Times New Roman"/>
          <w:sz w:val="24"/>
          <w:szCs w:val="24"/>
        </w:rPr>
        <w:t>practice</w:t>
      </w:r>
      <w:r w:rsidR="002C1A2F" w:rsidRPr="00F153F6">
        <w:rPr>
          <w:rFonts w:ascii="Times New Roman" w:hAnsi="Times New Roman" w:cs="Times New Roman"/>
          <w:sz w:val="24"/>
          <w:szCs w:val="24"/>
        </w:rPr>
        <w:t xml:space="preserve"> </w:t>
      </w:r>
      <w:r w:rsidRPr="00F153F6">
        <w:rPr>
          <w:rFonts w:ascii="Times New Roman" w:hAnsi="Times New Roman" w:cs="Times New Roman"/>
          <w:sz w:val="24"/>
          <w:szCs w:val="24"/>
        </w:rPr>
        <w:t>is</w:t>
      </w:r>
      <w:r w:rsidR="002C1A2F" w:rsidRPr="00F153F6">
        <w:rPr>
          <w:rFonts w:ascii="Times New Roman" w:hAnsi="Times New Roman" w:cs="Times New Roman"/>
          <w:sz w:val="24"/>
          <w:szCs w:val="24"/>
        </w:rPr>
        <w:t xml:space="preserve"> </w:t>
      </w:r>
      <w:r w:rsidRPr="00F153F6">
        <w:rPr>
          <w:rFonts w:ascii="Times New Roman" w:hAnsi="Times New Roman" w:cs="Times New Roman"/>
          <w:sz w:val="24"/>
          <w:szCs w:val="24"/>
        </w:rPr>
        <w:t>co-</w:t>
      </w:r>
      <w:r w:rsidR="002C1A2F" w:rsidRPr="00F153F6">
        <w:rPr>
          <w:rFonts w:ascii="Times New Roman" w:hAnsi="Times New Roman" w:cs="Times New Roman"/>
          <w:sz w:val="24"/>
          <w:szCs w:val="24"/>
        </w:rPr>
        <w:t xml:space="preserve">shaped by </w:t>
      </w:r>
      <w:r w:rsidRPr="00F153F6">
        <w:rPr>
          <w:rFonts w:ascii="Times New Roman" w:hAnsi="Times New Roman" w:cs="Times New Roman"/>
          <w:sz w:val="24"/>
          <w:szCs w:val="24"/>
        </w:rPr>
        <w:t xml:space="preserve">the dynamic nature of </w:t>
      </w:r>
      <w:r w:rsidR="002C1A2F" w:rsidRPr="00F153F6">
        <w:rPr>
          <w:rFonts w:ascii="Times New Roman" w:hAnsi="Times New Roman" w:cs="Times New Roman"/>
          <w:sz w:val="24"/>
          <w:szCs w:val="24"/>
        </w:rPr>
        <w:t xml:space="preserve">ICT is </w:t>
      </w:r>
      <w:r w:rsidR="0069097A" w:rsidRPr="00F153F6">
        <w:rPr>
          <w:rFonts w:ascii="Times New Roman" w:hAnsi="Times New Roman" w:cs="Times New Roman"/>
          <w:sz w:val="24"/>
          <w:szCs w:val="24"/>
        </w:rPr>
        <w:t>lacking</w:t>
      </w:r>
      <w:r w:rsidR="002C1A2F" w:rsidRPr="00F153F6">
        <w:rPr>
          <w:rFonts w:ascii="Times New Roman" w:hAnsi="Times New Roman" w:cs="Times New Roman"/>
          <w:sz w:val="24"/>
          <w:szCs w:val="24"/>
        </w:rPr>
        <w:t>.</w:t>
      </w:r>
      <w:r w:rsidR="00F56D3B" w:rsidRPr="00F153F6">
        <w:rPr>
          <w:rFonts w:ascii="Times New Roman" w:hAnsi="Times New Roman" w:cs="Times New Roman"/>
          <w:sz w:val="24"/>
          <w:szCs w:val="24"/>
        </w:rPr>
        <w:t xml:space="preserve"> It is </w:t>
      </w:r>
      <w:r w:rsidR="006E6DC8" w:rsidRPr="00F153F6">
        <w:rPr>
          <w:rFonts w:ascii="Times New Roman" w:hAnsi="Times New Roman" w:cs="Times New Roman"/>
          <w:sz w:val="24"/>
          <w:szCs w:val="24"/>
        </w:rPr>
        <w:t>this</w:t>
      </w:r>
      <w:r w:rsidR="00F56D3B" w:rsidRPr="00F153F6">
        <w:rPr>
          <w:rFonts w:ascii="Times New Roman" w:hAnsi="Times New Roman" w:cs="Times New Roman"/>
          <w:sz w:val="24"/>
          <w:szCs w:val="24"/>
        </w:rPr>
        <w:t xml:space="preserve"> gap that motivates the present study to investigate the interactive relationships between inter-organisational knowledge exchange and ICT</w:t>
      </w:r>
      <w:r w:rsidR="0069097A" w:rsidRPr="00F153F6">
        <w:rPr>
          <w:rFonts w:ascii="Times New Roman" w:hAnsi="Times New Roman" w:cs="Times New Roman"/>
          <w:sz w:val="24"/>
          <w:szCs w:val="24"/>
        </w:rPr>
        <w:t xml:space="preserve"> and</w:t>
      </w:r>
      <w:r w:rsidR="00F56D3B" w:rsidRPr="00F153F6">
        <w:rPr>
          <w:rFonts w:ascii="Times New Roman" w:hAnsi="Times New Roman" w:cs="Times New Roman"/>
          <w:sz w:val="24"/>
          <w:szCs w:val="24"/>
        </w:rPr>
        <w:t xml:space="preserve"> to </w:t>
      </w:r>
      <w:r w:rsidR="006E6DC8" w:rsidRPr="00F153F6">
        <w:rPr>
          <w:rFonts w:ascii="Times New Roman" w:hAnsi="Times New Roman" w:cs="Times New Roman"/>
          <w:sz w:val="24"/>
          <w:szCs w:val="24"/>
        </w:rPr>
        <w:t>provide an</w:t>
      </w:r>
      <w:r w:rsidR="00F56D3B" w:rsidRPr="00F153F6">
        <w:rPr>
          <w:rFonts w:ascii="Times New Roman" w:hAnsi="Times New Roman" w:cs="Times New Roman"/>
          <w:sz w:val="24"/>
          <w:szCs w:val="24"/>
        </w:rPr>
        <w:t xml:space="preserve"> understanding </w:t>
      </w:r>
      <w:r w:rsidR="006E6DC8" w:rsidRPr="00F153F6">
        <w:rPr>
          <w:rFonts w:ascii="Times New Roman" w:hAnsi="Times New Roman" w:cs="Times New Roman"/>
          <w:sz w:val="24"/>
          <w:szCs w:val="24"/>
        </w:rPr>
        <w:t>of</w:t>
      </w:r>
      <w:r w:rsidR="00F56D3B" w:rsidRPr="00F153F6">
        <w:rPr>
          <w:rFonts w:ascii="Times New Roman" w:hAnsi="Times New Roman" w:cs="Times New Roman"/>
          <w:sz w:val="24"/>
          <w:szCs w:val="24"/>
        </w:rPr>
        <w:t xml:space="preserve"> their </w:t>
      </w:r>
      <w:r w:rsidR="006E6DC8" w:rsidRPr="00F153F6">
        <w:rPr>
          <w:rFonts w:ascii="Times New Roman" w:hAnsi="Times New Roman" w:cs="Times New Roman"/>
          <w:sz w:val="24"/>
          <w:szCs w:val="24"/>
        </w:rPr>
        <w:t>interaction</w:t>
      </w:r>
      <w:r w:rsidR="00F56D3B" w:rsidRPr="00F153F6">
        <w:rPr>
          <w:rFonts w:ascii="Times New Roman" w:hAnsi="Times New Roman" w:cs="Times New Roman"/>
          <w:sz w:val="24"/>
          <w:szCs w:val="24"/>
        </w:rPr>
        <w:t xml:space="preserve"> dynamics.</w:t>
      </w:r>
      <w:r w:rsidR="002C1A2F" w:rsidRPr="00F153F6">
        <w:rPr>
          <w:rFonts w:ascii="Times New Roman" w:hAnsi="Times New Roman" w:cs="Times New Roman"/>
          <w:sz w:val="24"/>
          <w:szCs w:val="24"/>
        </w:rPr>
        <w:t xml:space="preserve"> </w:t>
      </w:r>
    </w:p>
    <w:p w14:paraId="4EC41E95" w14:textId="11D5E45B"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Positioning the above discussion, Living Labs lend themselves as an appropriate context to investigate this process. A Living Lab is “an Open Innovation ecosystem frequently operating in the context of competitiveness clusters and public development agencies within social innovation environments engaging local authorities in territories such as cities, agglomerations, regions”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{"citationID":"JoN03bh9","properties":{"formattedCitation":"(Pallot et al., 2011, p. 2)","plainCitation":"(Pallot et al., 2011, p. 2)","noteIndex":0},"citationItems":[{"id":1936,"uris":["http://zotero.org/users/5709166/items/8BTJ2EB5"],"itemData":{"id":1936,"type":"article-journal","abstract":"New paradigms, such as Open Innovation (Chesbrough, 2003) and Web 2.0 (O’Reilly, 2004) as well as Living Labs operating as a User Centred Open Innovation Ecosystem (Pallot, 2009), promote a more proactive role of users in the R&amp;D process. However, a number of existing methods for involving users are abundantly described in the literature, such as Lead User (Von Hippel, 2005), User Driven Innovation (Von Hippel, 1986), User Centred Design (Von Hippel, 2005) and User Created Content (O’Reilly, 1998) as well as User Co-Creation (Prahalad &amp; Ramaswamy, 2000). This paper explores the domain landscape of Living Lab research, based on the landscape of human-centred design research (Sanders &amp; Stappers, 2008; Sanders, 2008) and later introduced in the domain of Living Lab research (Mulder &amp; Stappers, 2009). It also discusses the links with existing theories such as Social Capital Theory (Nahapiet and Ghoshal, 1998) and Social Cognitive Theory (Bandura, 1986) as well as Socio-Emotional Intelligence Theory (Goleman, 1998). It also explores the creation of User Group Experience concept for bringing the socio-emotional perspective (Norman, 1995; 1998; 2004; 207; Goleman, 1998) into User Experience (Fleming, 1998) that appears too much focusing on individual users and usability.","language":"en","page":"11","source":"Zotero","title":"Living Lab Research Landscape: From User Centred Design and User Experience towards User Cocreation","author":[{"family":"Pallot","given":"Marc"},{"family":"Trousse","given":"Brigitte"},{"family":"Senach","given":"Bernard"},{"family":"Scapin","given":"Dominique"}],"issued":{"date-parts":[["2011"]]}},"locator":"2","label":"page"}],"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(Pallot et al., 2011, p. 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It is viewed as a collaborative work approach based on systematic user co-creation (European Network of Living Labs, </w:t>
      </w:r>
      <w:r w:rsidRPr="00F153F6">
        <w:rPr>
          <w:rFonts w:ascii="Times New Roman" w:hAnsi="Times New Roman" w:cs="Times New Roman"/>
          <w:sz w:val="24"/>
          <w:szCs w:val="24"/>
        </w:rPr>
        <w:fldChar w:fldCharType="begin"/>
      </w:r>
      <w:r w:rsidR="00B73834" w:rsidRPr="00F153F6">
        <w:rPr>
          <w:rFonts w:ascii="Times New Roman" w:hAnsi="Times New Roman" w:cs="Times New Roman"/>
          <w:sz w:val="24"/>
          <w:szCs w:val="24"/>
        </w:rPr>
        <w:instrText xml:space="preserve"> ADDIN ZOTERO_ITEM CSL_CITATION {"citationID":"FTdpS5Pj","properties":{"formattedCitation":"(2019)","plainCitation":"(2019)","dontUpdate":true,"noteIndex":0},"citationItems":[{"id":1937,"uris":["http://zotero.org/users/5709166/items/HIAJMR8Y"],"itemData":{"id":1937,"type":"webpage","abstract":"Living Labs (LLs) are defined as user-centred, open innovation ecosystems based on systematic user co-creation approach, integrating research and innovation processes …","container-title":"European Network of Living Labs","language":"en","title":"What are Living Labs","URL":"https://enoll.org/about-us/what-are-living-labs/","author":[{"family":"ENoLL","given":"ENoLL"}],"accessed":{"date-parts":[["2019",11,26]]},"issued":{"date-parts":[["2019"]]}},"suppress-author":true}],"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2019)</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and it is regarded as a new way to meet innovation challenges, especially ICT-based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{"citationID":"5OnS9cN9","properties":{"formattedCitation":"(Eriksson et al., 2006)","plainCitation":"(Eriksson et al., 2006)","noteIndex":0},"citationItems":[{"id":1935,"uris":["http://zotero.org/users/5709166/items/RKGVF4BF"],"itemData":{"id":1935,"type":"paper-conference","abstract":"The ability to be creative and innovative in a society influenced by stress, lack of time, and other factors, harnessing the technology available in today's knowledge society is key towards increasing the overall productivity of a future European society. Whilst technology enables new value-chains, product and service development increasingly need to focus on true user needs in order to be successful in today's increasingly global and competitive market. New R&amp;d; innovation methodologies need to be developed to meet the challenge of addressing those needs. This paper examines the need for involving the user and other stakeholder organisations into the innovation process, analyses the key issues regarding regional innovation, and presents a basic concept of Living Labs as a multi-contextual R&amp;D methodology addressing those issues. The proposed Living Labs methodology contributes to the coming challenges of mass-deployment of ICT solutions as a mean to further develop the society involving the citizens. It brings the users/consumers/citizens into the system of innovation, thereby leveraging on a larger mass of ideas, knowledge and experiences etc and substantially boosting the innovation capability.","container-title":"2006 IEEE International Technology Management Conference (ICE)","DOI":"10.1109/ICE.2006.7477082","event-title":"2006 IEEE International Technology Management Conference (ICE)","note":"ISSN: null","page":"1-8","source":"IEEE Xplore","title":"Living labs as a multi-contextual R D methodology","author":[{"family":"Eriksson","given":"Mats"},{"family":"Niitamo","given":"Veli-Pekka"},{"family":"Kulkki","given":"Seija"},{"family":"Hribernik","given":"Karl A."}],"issued":{"date-parts":[["2006",6]]}}}],"schema":"https://github.com/citation-style-language/schema/raw/master/csl-citation.json"}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(Eriksson et al., 2006)</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Living Labs, as a collaborative work approach that requires the involvement of multiple stakeholders for integrating innovation and development processes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{"citationID":"4EvwoCKE","properties":{"formattedCitation":"(Schuurman et al., 2014)","plainCitation":"(Schuurman et al., 2014)","noteIndex":0},"citationItems":[{"id":1933,"uris":["http://zotero.org/users/5709166/items/VFDKBI2Q"],"itemData":{"id":1933,"type":"paper-conference","abstract":"In nowadays knowledge economy, no more general 'best practice' innovation management exists. Within this paper we investigate the potential of Living Labs as open innovation systems that foster different knowledge transfers amongst the actors participating in them. By means of an in-depth case study research we explore a variety of hypotheses abstracted from the open innovation literature on knowledge transfers and other variables influencing exchange and collaboration in open innovation systems. We conclude that given certain criteria are met, Living Labs can be a solution for sustainable innovation development.","DOI":"10.1504/IJBIR.2016.074832","source":"Semantic Scholar","title":"Living Labs as open innovation systems for knowledge exchange: solutions for sustainable innovation development","title-short":"Living Labs as open innovation systems for knowledge exchange","author":[{"family":"Schuurman","given":"Dimitri"},{"family":"Baccarne","given":"Bastiaan"},{"family":"Marez","given":"Lieven De"},{"family":"Veeckman","given":"Carina"},{"family":"Ballon","given":"Pieter"}],"issued":{"date-parts":[["2014"]]}}}],"schema":"https://github.com/citation-style-language/schema/raw/master/csl-citation.json"}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(Schuurman et al., 2014)</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is attracting the interest of scholars as awareness of the importance of knowledge co-creation has greatly increased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{"citationID":"Ru29P99s","properties":{"formattedCitation":"(Su et al., 2016)","plainCitation":"(Su et al., 2016)","noteIndex":0},"citationItems":[{"id":1934,"uris":["http://zotero.org/users/5709166/items/5YWRMRDA"],"itemData":{"id":1934,"type":"article-journal","container-title":"Knowledge Management Research &amp; Practice","DOI":"10.1057/kmrp.2015.14","ISSN":"1477-8238, 1477-8246","issue":"4","journalAbbreviation":"Knowledge Management Research &amp; Practice","language":"en","page":"457-469","source":"DOI.org (Crossref)","title":"Knowledge co-creation across national boundaries: trends and firms’ strategies","title-short":"Knowledge co-creation across national boundaries","volume":"14","author":[{"family":"Su","given":"Chih-Yi"},{"family":"Lin","given":"Bou-Wen"},{"family":"Chen","given":"Chung-Jen"}],"issued":{"date-parts":[["2016",11]]}}}],"schema":"https://github.com/citation-style-language/schema/raw/master/csl-citation.json"}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(Su et al., 2016)</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Some literature has explored how Living Labs work and integrate the perspectives offered by various stakeholders across the key phases of Co-creation: Exploration, Experimentation and Evaluation. Each phase will typically involve all relevant stakeholders</w:t>
      </w:r>
      <w:r w:rsidR="00E9207F" w:rsidRPr="00F153F6">
        <w:rPr>
          <w:rFonts w:ascii="Times New Roman" w:hAnsi="Times New Roman" w:cs="Times New Roman"/>
          <w:sz w:val="24"/>
          <w:szCs w:val="24"/>
        </w:rPr>
        <w:t xml:space="preserve"> and organisations</w:t>
      </w:r>
      <w:r w:rsidRPr="00F153F6">
        <w:rPr>
          <w:rFonts w:ascii="Times New Roman" w:hAnsi="Times New Roman" w:cs="Times New Roman"/>
          <w:sz w:val="24"/>
          <w:szCs w:val="24"/>
        </w:rPr>
        <w:t xml:space="preserve">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{"citationID":"nGLDCAK7","properties":{"formattedCitation":"(Malmberg et al., 2017)","plainCitation":"(Malmberg et al., 2017)","noteIndex":0},"citationItems":[{"id":1932,"uris":["http://zotero.org/users/5709166/items/N232RVUA"],"itemData":{"id":1932,"type":"article-journal","abstract":"Top experts in Living Lab research and practice from the European Network of Living Labs (ENoLL) have contributed to the Living Lab Methodology Handbook by sharing their knowledge on the most recent findings on the topic. This handbook introduces research background and serves as a practical guidance for researchers and practitioners on Living Lab methodologies, co-creation and user engagement. It also aims to inspire the reader with the lessons learned from thorough research together with practical experiences from real-life cases. The handbook is specifically focusing on the topical area of Internet of Things, and explains how the Living Lab approach can greatly support the research and development activities in that area.\n\nThis handbook was initiated under the coordination and support action “User Engagement for Large Scale Pilots in the Internet of Things” (U4IoT) that provides online and offline toolkits, workshops and other forms of support to actively engage end-users and citizens in the pilot projects of European IoT Large-scale pilots programme. This project has received funding from the European Union’s Horizon 2020 research and innovation programme and the Swiss State Secretariat for Education, Research and Innovation under grant agreement No 732078.","DOI":"10.5281/ZENODO.1146321","language":"en","license":"Creative Commons Attribution 4.0, Open Access","source":"DOI.org (Datacite)","title":"Living Lab Methodology Handbook","URL":"https://zenodo.org/record/1146321","author":[{"family":"Malmberg","given":"Katariina"},{"family":"Vaittinen","given":"Ines"},{"family":"Evans","given":"Penny"},{"family":"Schuurman","given":"Dimitri"},{"family":"Ståhlbröst","given":"Anna"},{"family":"Vervoort","given":"Koen"}],"accessed":{"date-parts":[["2019",11,26]]},"issued":{"date-parts":[["2017",10,16]]}}}],"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(Malmberg et al., 2017)</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In such a </w:t>
      </w:r>
      <w:r w:rsidR="00E9207F" w:rsidRPr="00F153F6">
        <w:rPr>
          <w:rFonts w:ascii="Times New Roman" w:hAnsi="Times New Roman" w:cs="Times New Roman"/>
          <w:sz w:val="24"/>
          <w:szCs w:val="24"/>
        </w:rPr>
        <w:t xml:space="preserve">context with </w:t>
      </w:r>
      <w:r w:rsidRPr="00F153F6">
        <w:rPr>
          <w:rFonts w:ascii="Times New Roman" w:hAnsi="Times New Roman" w:cs="Times New Roman"/>
          <w:sz w:val="24"/>
          <w:szCs w:val="24"/>
        </w:rPr>
        <w:t>multi</w:t>
      </w:r>
      <w:r w:rsidR="00E9207F" w:rsidRPr="00F153F6">
        <w:rPr>
          <w:rFonts w:ascii="Times New Roman" w:hAnsi="Times New Roman" w:cs="Times New Roman"/>
          <w:sz w:val="24"/>
          <w:szCs w:val="24"/>
        </w:rPr>
        <w:t>ple types of organisations</w:t>
      </w:r>
      <w:r w:rsidRPr="00F153F6">
        <w:rPr>
          <w:rFonts w:ascii="Times New Roman" w:hAnsi="Times New Roman" w:cs="Times New Roman"/>
          <w:sz w:val="24"/>
          <w:szCs w:val="24"/>
        </w:rPr>
        <w:t xml:space="preserve">, the usage of ICT is expected to greatly influence the inter-organisational knowledge exchange among </w:t>
      </w:r>
      <w:r w:rsidR="00C24FEB" w:rsidRPr="00F153F6">
        <w:rPr>
          <w:rFonts w:ascii="Times New Roman" w:hAnsi="Times New Roman" w:cs="Times New Roman"/>
          <w:sz w:val="24"/>
          <w:szCs w:val="24"/>
        </w:rPr>
        <w:t>L</w:t>
      </w:r>
      <w:r w:rsidRPr="00F153F6">
        <w:rPr>
          <w:rFonts w:ascii="Times New Roman" w:hAnsi="Times New Roman" w:cs="Times New Roman"/>
          <w:sz w:val="24"/>
          <w:szCs w:val="24"/>
        </w:rPr>
        <w:t xml:space="preserve">iving </w:t>
      </w:r>
      <w:r w:rsidR="00C24FEB" w:rsidRPr="00F153F6">
        <w:rPr>
          <w:rFonts w:ascii="Times New Roman" w:hAnsi="Times New Roman" w:cs="Times New Roman"/>
          <w:sz w:val="24"/>
          <w:szCs w:val="24"/>
        </w:rPr>
        <w:t>L</w:t>
      </w:r>
      <w:r w:rsidRPr="00F153F6">
        <w:rPr>
          <w:rFonts w:ascii="Times New Roman" w:hAnsi="Times New Roman" w:cs="Times New Roman"/>
          <w:sz w:val="24"/>
          <w:szCs w:val="24"/>
        </w:rPr>
        <w:t xml:space="preserve">ab participants. However, the evidence from the literature on how ICT facilitates the shaping of knowledge exchange among different organisations in this context is very limited. Hence, an enhanced conceptual understanding that can help </w:t>
      </w:r>
      <w:r w:rsidR="00D37B7A" w:rsidRPr="00F153F6">
        <w:rPr>
          <w:rFonts w:ascii="Times New Roman" w:hAnsi="Times New Roman" w:cs="Times New Roman"/>
          <w:sz w:val="24"/>
          <w:szCs w:val="24"/>
        </w:rPr>
        <w:t xml:space="preserve">Living Lab </w:t>
      </w:r>
      <w:r w:rsidRPr="00F153F6">
        <w:rPr>
          <w:rFonts w:ascii="Times New Roman" w:hAnsi="Times New Roman" w:cs="Times New Roman"/>
          <w:sz w:val="24"/>
          <w:szCs w:val="24"/>
        </w:rPr>
        <w:t xml:space="preserve">stakeholders to exchange their knowledge using ICT across multiple organisations and work towards new knowledge creation and innovation is required. </w:t>
      </w:r>
    </w:p>
    <w:p w14:paraId="54D60CC7" w14:textId="48FB9B18"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lastRenderedPageBreak/>
        <w:t>To summarise, significant gaps exist in the current literature in terms of how ICT shape</w:t>
      </w:r>
      <w:r w:rsidR="00C24FEB" w:rsidRPr="00F153F6">
        <w:rPr>
          <w:rFonts w:ascii="Times New Roman" w:hAnsi="Times New Roman" w:cs="Times New Roman"/>
          <w:sz w:val="24"/>
          <w:szCs w:val="24"/>
        </w:rPr>
        <w:t>s</w:t>
      </w:r>
      <w:r w:rsidRPr="00F153F6">
        <w:rPr>
          <w:rFonts w:ascii="Times New Roman" w:hAnsi="Times New Roman" w:cs="Times New Roman"/>
          <w:sz w:val="24"/>
          <w:szCs w:val="24"/>
        </w:rPr>
        <w:t xml:space="preserve"> inter-organisational knowledge exchange practices: First, existing research does not provide a comprehensive understanding of how </w:t>
      </w:r>
      <w:r w:rsidR="00D81B64" w:rsidRPr="00F153F6">
        <w:rPr>
          <w:rFonts w:ascii="Times New Roman" w:hAnsi="Times New Roman" w:cs="Times New Roman"/>
          <w:sz w:val="24"/>
          <w:szCs w:val="24"/>
        </w:rPr>
        <w:t xml:space="preserve">the nature of </w:t>
      </w:r>
      <w:r w:rsidRPr="00F153F6">
        <w:rPr>
          <w:rFonts w:ascii="Times New Roman" w:hAnsi="Times New Roman" w:cs="Times New Roman"/>
          <w:sz w:val="24"/>
          <w:szCs w:val="24"/>
        </w:rPr>
        <w:t xml:space="preserve">ICT is influencing knowledge exchange practice in inter-organisational settings. Second, there is lack of an integral understanding of how ICT and knowledge is shaped over time in inter-organisational settings. Third, the literature lacks an </w:t>
      </w:r>
      <w:r w:rsidRPr="00F153F6">
        <w:rPr>
          <w:rFonts w:ascii="Times New Roman" w:eastAsia="Times New Roman" w:hAnsi="Times New Roman" w:cs="Times New Roman"/>
          <w:iCs/>
          <w:sz w:val="24"/>
          <w:szCs w:val="24"/>
        </w:rPr>
        <w:t>integrated view on potential contextual factors that may influence ICT-based knowledge exchange in inter-organisational settings</w:t>
      </w:r>
      <w:r w:rsidRPr="00F153F6">
        <w:rPr>
          <w:rFonts w:ascii="Times New Roman" w:hAnsi="Times New Roman" w:cs="Times New Roman"/>
          <w:sz w:val="24"/>
          <w:szCs w:val="24"/>
        </w:rPr>
        <w:t>. It is these gaps that motivate this research.</w:t>
      </w:r>
    </w:p>
    <w:p w14:paraId="32B5062F" w14:textId="08781FFF" w:rsidR="002C1A2F" w:rsidRPr="00F153F6" w:rsidRDefault="00633A5E" w:rsidP="004424B4">
      <w:pPr>
        <w:pStyle w:val="Heading2"/>
        <w:spacing w:line="360" w:lineRule="auto"/>
        <w:rPr>
          <w:rFonts w:ascii="Times New Roman" w:hAnsi="Times New Roman" w:cs="Times New Roman"/>
          <w:sz w:val="32"/>
          <w:szCs w:val="32"/>
        </w:rPr>
      </w:pPr>
      <w:bookmarkStart w:id="19" w:name="_Toc118371079"/>
      <w:bookmarkStart w:id="20" w:name="_Toc133252102"/>
      <w:r w:rsidRPr="00F153F6">
        <w:rPr>
          <w:rFonts w:ascii="Times New Roman" w:hAnsi="Times New Roman" w:cs="Times New Roman"/>
          <w:sz w:val="32"/>
          <w:szCs w:val="32"/>
        </w:rPr>
        <w:t xml:space="preserve">1.3 </w:t>
      </w:r>
      <w:r w:rsidR="002C1A2F" w:rsidRPr="00F153F6">
        <w:rPr>
          <w:rFonts w:ascii="Times New Roman" w:hAnsi="Times New Roman" w:cs="Times New Roman"/>
          <w:sz w:val="32"/>
          <w:szCs w:val="32"/>
        </w:rPr>
        <w:t>Research Aims and Objectives</w:t>
      </w:r>
      <w:bookmarkEnd w:id="19"/>
      <w:bookmarkEnd w:id="20"/>
      <w:r w:rsidR="002C1A2F" w:rsidRPr="00F153F6">
        <w:rPr>
          <w:rFonts w:ascii="Times New Roman" w:hAnsi="Times New Roman" w:cs="Times New Roman"/>
          <w:sz w:val="32"/>
          <w:szCs w:val="32"/>
        </w:rPr>
        <w:t xml:space="preserve"> </w:t>
      </w:r>
    </w:p>
    <w:p w14:paraId="65BB1562" w14:textId="5DDF7720" w:rsidR="002C1A2F" w:rsidRPr="00F153F6" w:rsidRDefault="002C1A2F" w:rsidP="004424B4">
      <w:pPr>
        <w:spacing w:line="360" w:lineRule="auto"/>
        <w:jc w:val="both"/>
        <w:rPr>
          <w:rFonts w:ascii="Times New Roman" w:hAnsi="Times New Roman" w:cs="Times New Roman"/>
          <w:sz w:val="24"/>
          <w:szCs w:val="24"/>
        </w:rPr>
      </w:pPr>
      <w:bookmarkStart w:id="21" w:name="OLE_LINK14"/>
      <w:bookmarkStart w:id="22" w:name="OLE_LINK18"/>
      <w:r w:rsidRPr="00F153F6">
        <w:rPr>
          <w:rFonts w:ascii="Times New Roman" w:hAnsi="Times New Roman" w:cs="Times New Roman"/>
          <w:sz w:val="24"/>
          <w:szCs w:val="24"/>
        </w:rPr>
        <w:t xml:space="preserve">The aim of this research is to identify and conceptualise the role of </w:t>
      </w:r>
      <w:r w:rsidR="002D694E" w:rsidRPr="00F153F6">
        <w:rPr>
          <w:rFonts w:ascii="Times New Roman" w:hAnsi="Times New Roman" w:cs="Times New Roman"/>
          <w:sz w:val="24"/>
          <w:szCs w:val="24"/>
        </w:rPr>
        <w:t>ICT</w:t>
      </w:r>
      <w:r w:rsidRPr="00F153F6">
        <w:rPr>
          <w:rFonts w:ascii="Times New Roman" w:hAnsi="Times New Roman" w:cs="Times New Roman"/>
          <w:sz w:val="24"/>
          <w:szCs w:val="24"/>
        </w:rPr>
        <w:t xml:space="preserve"> in the shaping of inter-organisational knowledge exchange practices in inter-organisational collaborations. To achieve this aim, this study investigates European Living Labs as the context of this research. The questions that this research sets out to answer are:</w:t>
      </w:r>
    </w:p>
    <w:p w14:paraId="55304869" w14:textId="616CBA33" w:rsidR="002C1A2F" w:rsidRPr="00F153F6" w:rsidRDefault="002C1A2F" w:rsidP="004424B4">
      <w:pPr>
        <w:spacing w:line="360" w:lineRule="auto"/>
        <w:jc w:val="both"/>
        <w:rPr>
          <w:rFonts w:ascii="Times New Roman" w:hAnsi="Times New Roman" w:cs="Times New Roman"/>
          <w:sz w:val="24"/>
          <w:szCs w:val="24"/>
        </w:rPr>
      </w:pPr>
      <w:bookmarkStart w:id="23" w:name="OLE_LINK4"/>
      <w:bookmarkStart w:id="24" w:name="OLE_LINK5"/>
      <w:r w:rsidRPr="00F153F6">
        <w:rPr>
          <w:rFonts w:ascii="Times New Roman" w:hAnsi="Times New Roman" w:cs="Times New Roman"/>
          <w:sz w:val="24"/>
          <w:szCs w:val="24"/>
        </w:rPr>
        <w:t>1)</w:t>
      </w:r>
      <w:r w:rsidRPr="00F153F6">
        <w:rPr>
          <w:rFonts w:ascii="Times New Roman" w:hAnsi="Times New Roman" w:cs="Times New Roman"/>
          <w:sz w:val="24"/>
          <w:szCs w:val="24"/>
        </w:rPr>
        <w:tab/>
        <w:t>What are the characteristics of ICT-based inter-organisational knowledge exchange practice in inter-organisational collaboration?</w:t>
      </w:r>
    </w:p>
    <w:p w14:paraId="3856CEFE" w14:textId="0A2F6E4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2)</w:t>
      </w:r>
      <w:r w:rsidRPr="00F153F6">
        <w:rPr>
          <w:rFonts w:ascii="Times New Roman" w:hAnsi="Times New Roman" w:cs="Times New Roman"/>
          <w:sz w:val="24"/>
          <w:szCs w:val="24"/>
        </w:rPr>
        <w:tab/>
        <w:t>How does</w:t>
      </w:r>
      <w:r w:rsidR="00C24FEB" w:rsidRPr="00F153F6">
        <w:rPr>
          <w:rFonts w:ascii="Times New Roman" w:hAnsi="Times New Roman" w:cs="Times New Roman"/>
          <w:sz w:val="24"/>
          <w:szCs w:val="24"/>
        </w:rPr>
        <w:t xml:space="preserve"> ICT</w:t>
      </w:r>
      <w:r w:rsidRPr="00F153F6">
        <w:rPr>
          <w:rFonts w:ascii="Times New Roman" w:hAnsi="Times New Roman" w:cs="Times New Roman"/>
          <w:sz w:val="24"/>
          <w:szCs w:val="24"/>
        </w:rPr>
        <w:t xml:space="preserve"> facilitate or inhibit inter-organisational knowledge exchange practice in inter-organisational collaboration?</w:t>
      </w:r>
    </w:p>
    <w:p w14:paraId="754FC0DC" w14:textId="5E737B0F"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3</w:t>
      </w:r>
      <w:r w:rsidRPr="00F153F6">
        <w:rPr>
          <w:rFonts w:ascii="Times New Roman" w:hAnsi="Times New Roman" w:cs="Times New Roman"/>
          <w:sz w:val="24"/>
          <w:szCs w:val="24"/>
        </w:rPr>
        <w:t>）</w:t>
      </w:r>
      <w:r w:rsidRPr="00F153F6">
        <w:rPr>
          <w:rFonts w:ascii="Times New Roman" w:hAnsi="Times New Roman" w:cs="Times New Roman"/>
          <w:sz w:val="24"/>
          <w:szCs w:val="24"/>
        </w:rPr>
        <w:tab/>
      </w:r>
      <w:bookmarkStart w:id="25" w:name="OLE_LINK192"/>
      <w:bookmarkStart w:id="26" w:name="OLE_LINK193"/>
      <w:r w:rsidRPr="00F153F6">
        <w:rPr>
          <w:rFonts w:ascii="Times New Roman" w:hAnsi="Times New Roman" w:cs="Times New Roman"/>
          <w:sz w:val="24"/>
          <w:szCs w:val="24"/>
        </w:rPr>
        <w:t xml:space="preserve">How to integrate </w:t>
      </w:r>
      <w:r w:rsidR="00C24FEB" w:rsidRPr="00F153F6">
        <w:rPr>
          <w:rFonts w:ascii="Times New Roman" w:hAnsi="Times New Roman" w:cs="Times New Roman"/>
          <w:sz w:val="24"/>
          <w:szCs w:val="24"/>
        </w:rPr>
        <w:t>ICT</w:t>
      </w:r>
      <w:r w:rsidRPr="00F153F6">
        <w:rPr>
          <w:rFonts w:ascii="Times New Roman" w:hAnsi="Times New Roman" w:cs="Times New Roman"/>
          <w:sz w:val="24"/>
          <w:szCs w:val="24"/>
        </w:rPr>
        <w:t xml:space="preserve"> into an ICT-based inter-organisational knowledge exchange framework for </w:t>
      </w:r>
      <w:bookmarkEnd w:id="25"/>
      <w:bookmarkEnd w:id="26"/>
      <w:r w:rsidRPr="00F153F6">
        <w:rPr>
          <w:rFonts w:ascii="Times New Roman" w:hAnsi="Times New Roman" w:cs="Times New Roman"/>
          <w:sz w:val="24"/>
          <w:szCs w:val="24"/>
        </w:rPr>
        <w:t>inter-organisational collaboration?</w:t>
      </w:r>
    </w:p>
    <w:bookmarkEnd w:id="23"/>
    <w:bookmarkEnd w:id="24"/>
    <w:p w14:paraId="0FA6A8EB"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To answer these questions, a set of specific objectives is established and summarised below:</w:t>
      </w:r>
    </w:p>
    <w:p w14:paraId="07AAEF8E" w14:textId="0C19110E" w:rsidR="002C1A2F" w:rsidRPr="00F153F6" w:rsidRDefault="002C1A2F" w:rsidP="004424B4">
      <w:pPr>
        <w:pStyle w:val="ListParagraph"/>
        <w:numPr>
          <w:ilvl w:val="0"/>
          <w:numId w:val="2"/>
        </w:numPr>
        <w:spacing w:line="360" w:lineRule="auto"/>
        <w:rPr>
          <w:rFonts w:ascii="Times New Roman" w:hAnsi="Times New Roman" w:cs="Times New Roman"/>
          <w:sz w:val="24"/>
          <w:szCs w:val="24"/>
        </w:rPr>
      </w:pPr>
      <w:bookmarkStart w:id="27" w:name="OLE_LINK171"/>
      <w:bookmarkStart w:id="28" w:name="OLE_LINK172"/>
      <w:bookmarkStart w:id="29" w:name="OLE_LINK6"/>
      <w:bookmarkStart w:id="30" w:name="OLE_LINK9"/>
      <w:r w:rsidRPr="00F153F6">
        <w:rPr>
          <w:rFonts w:ascii="Times New Roman" w:hAnsi="Times New Roman" w:cs="Times New Roman"/>
          <w:sz w:val="24"/>
          <w:szCs w:val="24"/>
        </w:rPr>
        <w:t xml:space="preserve">To identify the facets that characterise the interorganisational knowledge exchange </w:t>
      </w:r>
      <w:bookmarkEnd w:id="27"/>
      <w:bookmarkEnd w:id="28"/>
      <w:r w:rsidRPr="00F153F6">
        <w:rPr>
          <w:rFonts w:ascii="Times New Roman" w:hAnsi="Times New Roman" w:cs="Times New Roman"/>
          <w:sz w:val="24"/>
          <w:szCs w:val="24"/>
        </w:rPr>
        <w:t>practice.</w:t>
      </w:r>
    </w:p>
    <w:p w14:paraId="43B4C632" w14:textId="77777777" w:rsidR="002C1A2F" w:rsidRPr="00F153F6" w:rsidRDefault="002C1A2F" w:rsidP="004424B4">
      <w:pPr>
        <w:pStyle w:val="ListParagraph"/>
        <w:numPr>
          <w:ilvl w:val="0"/>
          <w:numId w:val="2"/>
        </w:numPr>
        <w:spacing w:line="360" w:lineRule="auto"/>
        <w:rPr>
          <w:rFonts w:ascii="Times New Roman" w:hAnsi="Times New Roman" w:cs="Times New Roman"/>
          <w:sz w:val="24"/>
          <w:szCs w:val="24"/>
        </w:rPr>
      </w:pPr>
      <w:bookmarkStart w:id="31" w:name="OLE_LINK175"/>
      <w:bookmarkStart w:id="32" w:name="OLE_LINK176"/>
      <w:r w:rsidRPr="00F153F6">
        <w:rPr>
          <w:rFonts w:ascii="Times New Roman" w:hAnsi="Times New Roman" w:cs="Times New Roman"/>
          <w:sz w:val="24"/>
          <w:szCs w:val="24"/>
        </w:rPr>
        <w:t xml:space="preserve">To explore how ICT facilitate or inhibit inter-organisational knowledge exchange </w:t>
      </w:r>
      <w:bookmarkEnd w:id="31"/>
      <w:bookmarkEnd w:id="32"/>
      <w:r w:rsidRPr="00F153F6">
        <w:rPr>
          <w:rFonts w:ascii="Times New Roman" w:hAnsi="Times New Roman" w:cs="Times New Roman"/>
          <w:sz w:val="24"/>
          <w:szCs w:val="24"/>
        </w:rPr>
        <w:t>practice.</w:t>
      </w:r>
    </w:p>
    <w:p w14:paraId="09243B11" w14:textId="77777777" w:rsidR="002C1A2F" w:rsidRPr="00F153F6" w:rsidRDefault="002C1A2F" w:rsidP="004424B4">
      <w:pPr>
        <w:pStyle w:val="ListParagraph"/>
        <w:numPr>
          <w:ilvl w:val="0"/>
          <w:numId w:val="2"/>
        </w:numPr>
        <w:spacing w:line="360" w:lineRule="auto"/>
        <w:rPr>
          <w:rFonts w:ascii="Times New Roman" w:hAnsi="Times New Roman" w:cs="Times New Roman"/>
          <w:sz w:val="24"/>
          <w:szCs w:val="24"/>
        </w:rPr>
      </w:pPr>
      <w:bookmarkStart w:id="33" w:name="OLE_LINK190"/>
      <w:bookmarkStart w:id="34" w:name="OLE_LINK191"/>
      <w:r w:rsidRPr="00F153F6">
        <w:rPr>
          <w:rFonts w:ascii="Times New Roman" w:hAnsi="Times New Roman" w:cs="Times New Roman"/>
          <w:sz w:val="24"/>
          <w:szCs w:val="24"/>
        </w:rPr>
        <w:t xml:space="preserve">To propose an ICT-based inter-organisational knowledge exchange framework for </w:t>
      </w:r>
      <w:bookmarkEnd w:id="33"/>
      <w:bookmarkEnd w:id="34"/>
      <w:r w:rsidRPr="00F153F6">
        <w:rPr>
          <w:rFonts w:ascii="Times New Roman" w:hAnsi="Times New Roman" w:cs="Times New Roman"/>
          <w:sz w:val="24"/>
          <w:szCs w:val="24"/>
        </w:rPr>
        <w:t>inter-organisational collaboration.</w:t>
      </w:r>
    </w:p>
    <w:p w14:paraId="4DFAB8EB" w14:textId="783B5FBB" w:rsidR="002C1A2F" w:rsidRPr="00F153F6" w:rsidRDefault="00633A5E" w:rsidP="004424B4">
      <w:pPr>
        <w:pStyle w:val="Heading2"/>
        <w:spacing w:line="360" w:lineRule="auto"/>
        <w:rPr>
          <w:rFonts w:ascii="Times New Roman" w:hAnsi="Times New Roman" w:cs="Times New Roman"/>
          <w:sz w:val="32"/>
          <w:szCs w:val="32"/>
        </w:rPr>
      </w:pPr>
      <w:bookmarkStart w:id="35" w:name="_Toc118371080"/>
      <w:bookmarkStart w:id="36" w:name="_Toc133252103"/>
      <w:bookmarkStart w:id="37" w:name="OLE_LINK336"/>
      <w:bookmarkStart w:id="38" w:name="OLE_LINK337"/>
      <w:bookmarkStart w:id="39" w:name="OLE_LINK334"/>
      <w:bookmarkStart w:id="40" w:name="OLE_LINK335"/>
      <w:bookmarkEnd w:id="21"/>
      <w:bookmarkEnd w:id="22"/>
      <w:bookmarkEnd w:id="29"/>
      <w:bookmarkEnd w:id="30"/>
      <w:r w:rsidRPr="00F153F6">
        <w:rPr>
          <w:rFonts w:ascii="Times New Roman" w:hAnsi="Times New Roman" w:cs="Times New Roman"/>
          <w:sz w:val="32"/>
          <w:szCs w:val="32"/>
        </w:rPr>
        <w:t xml:space="preserve">1.4 </w:t>
      </w:r>
      <w:r w:rsidR="002C1A2F" w:rsidRPr="00F153F6">
        <w:rPr>
          <w:rFonts w:ascii="Times New Roman" w:hAnsi="Times New Roman" w:cs="Times New Roman"/>
          <w:sz w:val="32"/>
          <w:szCs w:val="32"/>
        </w:rPr>
        <w:t>Research Method</w:t>
      </w:r>
      <w:bookmarkEnd w:id="35"/>
      <w:bookmarkEnd w:id="36"/>
    </w:p>
    <w:bookmarkEnd w:id="37"/>
    <w:bookmarkEnd w:id="38"/>
    <w:p w14:paraId="2694DCA0" w14:textId="41820D9C" w:rsidR="002C1A2F" w:rsidRPr="00F153F6" w:rsidRDefault="002C1A2F" w:rsidP="004424B4">
      <w:pPr>
        <w:pBdr>
          <w:top w:val="nil"/>
          <w:left w:val="nil"/>
          <w:bottom w:val="nil"/>
          <w:right w:val="nil"/>
          <w:between w:val="nil"/>
        </w:pBd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This </w:t>
      </w:r>
      <w:bookmarkEnd w:id="39"/>
      <w:bookmarkEnd w:id="40"/>
      <w:r w:rsidRPr="00F153F6">
        <w:rPr>
          <w:rFonts w:ascii="Times New Roman" w:hAnsi="Times New Roman" w:cs="Times New Roman"/>
          <w:sz w:val="24"/>
          <w:szCs w:val="24"/>
        </w:rPr>
        <w:t xml:space="preserve">study is aligned with the qualitative and inductive research tradition. The rationale for this alignment lies in the set research objectives, which require exploring </w:t>
      </w:r>
      <w:r w:rsidR="00D37B7A" w:rsidRPr="00F153F6">
        <w:rPr>
          <w:rFonts w:ascii="Times New Roman" w:hAnsi="Times New Roman" w:cs="Times New Roman"/>
          <w:sz w:val="24"/>
          <w:szCs w:val="24"/>
        </w:rPr>
        <w:t xml:space="preserve">Living Lab </w:t>
      </w:r>
      <w:r w:rsidRPr="00F153F6">
        <w:rPr>
          <w:rFonts w:ascii="Times New Roman" w:hAnsi="Times New Roman" w:cs="Times New Roman"/>
          <w:sz w:val="24"/>
          <w:szCs w:val="24"/>
        </w:rPr>
        <w:t xml:space="preserve">stakeholders’ </w:t>
      </w:r>
      <w:r w:rsidRPr="00F153F6">
        <w:rPr>
          <w:rFonts w:ascii="Times New Roman" w:hAnsi="Times New Roman" w:cs="Times New Roman"/>
          <w:sz w:val="24"/>
          <w:szCs w:val="24"/>
        </w:rPr>
        <w:lastRenderedPageBreak/>
        <w:t xml:space="preserve">insights and understanding on the role and influence of </w:t>
      </w:r>
      <w:r w:rsidR="000A6A4E" w:rsidRPr="00F153F6">
        <w:rPr>
          <w:rFonts w:ascii="Times New Roman" w:hAnsi="Times New Roman" w:cs="Times New Roman"/>
          <w:sz w:val="24"/>
          <w:szCs w:val="24"/>
        </w:rPr>
        <w:t>ICT</w:t>
      </w:r>
      <w:r w:rsidRPr="00F153F6">
        <w:rPr>
          <w:rFonts w:ascii="Times New Roman" w:hAnsi="Times New Roman" w:cs="Times New Roman"/>
          <w:sz w:val="24"/>
          <w:szCs w:val="24"/>
        </w:rPr>
        <w:t xml:space="preserve"> for inter-organisational knowledge exchange in Living Labs settings. These insights need to be explored from the perspective of Living Labs stakeholders’ perceptions, experiences and attitudes in order to explain ICT-based inter-organisational knowledge exchange processes. Concerning the research design, this study follows a combination of the Glaserian version of Grounded Theory, archival research and multiple case studies as its research strategy. A Glaserian version of Grounded Theory is followed to inductively generate a theory from the data because of the limited number of theories that can adequately explain the phenomenon under study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{"citationID":"a1ds75ul9t5","properties":{"formattedCitation":"(Glaser &amp; Strauss, 1967)","plainCitation":"(Glaser &amp; Strauss, 1967)","noteIndex":0},"citationItems":[{"id":993,"uris":["http://zotero.org/users/5709166/items/DSF8R6HJ"],"itemData":{"id":993,"type":"book","edition":"4. paperback printing","event-place":"New Brunswick","ISBN":"978-0-202-30260-7","language":"en","note":"OCLC: 553535517","number-of-pages":"271","publisher":"Aldine","publisher-place":"New Brunswick","source":"Gemeinsamer Bibliotheksverbund ISBN","title":"The discovery of grounded theory: strategies for qualitative research","title-short":"The discovery of grounded theory","author":[{"family":"Glaser","given":"Barney G."},{"family":"Strauss","given":"Anselm L."}],"issued":{"date-parts":[["1967"]]}}}],"schema":"https://github.com/citation-style-language/schema/raw/master/csl-citation.json"}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rPr>
        <w:t>(Glaser &amp; Strauss, 1967)</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w:t>
      </w:r>
      <w:r w:rsidR="00D1344D" w:rsidRPr="00F153F6">
        <w:rPr>
          <w:rFonts w:ascii="Times New Roman" w:hAnsi="Times New Roman" w:cs="Times New Roman"/>
          <w:sz w:val="24"/>
          <w:szCs w:val="24"/>
        </w:rPr>
        <w:t xml:space="preserve"> </w:t>
      </w:r>
      <w:r w:rsidR="006E6DC8" w:rsidRPr="00F153F6">
        <w:rPr>
          <w:rFonts w:ascii="Times New Roman" w:hAnsi="Times New Roman" w:cs="Times New Roman"/>
          <w:sz w:val="24"/>
          <w:szCs w:val="24"/>
        </w:rPr>
        <w:t xml:space="preserve">By closely looking at the empirical data and </w:t>
      </w:r>
      <w:r w:rsidR="00F85358" w:rsidRPr="00F153F6">
        <w:rPr>
          <w:rFonts w:ascii="Times New Roman" w:hAnsi="Times New Roman" w:cs="Times New Roman"/>
          <w:sz w:val="24"/>
          <w:szCs w:val="24"/>
        </w:rPr>
        <w:t>investigating</w:t>
      </w:r>
      <w:r w:rsidR="006E6DC8" w:rsidRPr="00F153F6">
        <w:rPr>
          <w:rFonts w:ascii="Times New Roman" w:hAnsi="Times New Roman" w:cs="Times New Roman"/>
          <w:sz w:val="24"/>
          <w:szCs w:val="24"/>
        </w:rPr>
        <w:t xml:space="preserve"> the phenomena in a bottom-up way, this methodology can thus be powerful to address the research gap where </w:t>
      </w:r>
      <w:r w:rsidR="00983463" w:rsidRPr="00F153F6">
        <w:rPr>
          <w:rFonts w:ascii="Times New Roman" w:hAnsi="Times New Roman" w:cs="Times New Roman"/>
          <w:sz w:val="24"/>
          <w:szCs w:val="24"/>
        </w:rPr>
        <w:t>limited research</w:t>
      </w:r>
      <w:r w:rsidR="006E6DC8" w:rsidRPr="00F153F6">
        <w:rPr>
          <w:rFonts w:ascii="Times New Roman" w:hAnsi="Times New Roman" w:cs="Times New Roman"/>
          <w:sz w:val="24"/>
          <w:szCs w:val="24"/>
        </w:rPr>
        <w:t xml:space="preserve"> evidence exists regarding exploring the dynamic inter-organisational knowledge exchange practice while </w:t>
      </w:r>
      <w:r w:rsidR="00F85358" w:rsidRPr="00F153F6">
        <w:rPr>
          <w:rFonts w:ascii="Times New Roman" w:hAnsi="Times New Roman" w:cs="Times New Roman"/>
          <w:sz w:val="24"/>
          <w:szCs w:val="24"/>
        </w:rPr>
        <w:t>taking</w:t>
      </w:r>
      <w:r w:rsidR="006E6DC8" w:rsidRPr="00F153F6">
        <w:rPr>
          <w:rFonts w:ascii="Times New Roman" w:hAnsi="Times New Roman" w:cs="Times New Roman"/>
          <w:sz w:val="24"/>
          <w:szCs w:val="24"/>
        </w:rPr>
        <w:t xml:space="preserve"> into account the dynamic nature of ICT. </w:t>
      </w:r>
      <w:r w:rsidRPr="00F153F6">
        <w:rPr>
          <w:rFonts w:ascii="Times New Roman" w:hAnsi="Times New Roman" w:cs="Times New Roman"/>
          <w:sz w:val="24"/>
          <w:szCs w:val="24"/>
        </w:rPr>
        <w:t xml:space="preserve">A combination of exploratory and explanatory multiple case studies are adopted because the selected Living Labs as cases not only provide a solid research context, but also strengthen and confirm research findings from diverse settings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{"citationID":"a23b69bphqb","properties":{"formattedCitation":"(Darke et al., 1998)","plainCitation":"(Darke et al., 1998)","noteIndex":0},"citationItems":[{"id":2226,"uris":["http://zotero.org/users/5709166/items/75KNCEKZ"],"itemData":{"id":2226,"type":"article-journal","abstract":"The organizational and social issues associated with the development, implementation and use of computer-based information systems have increasingly attracted the attention of information systems researchers. Interest in qualitative research methods such as action research, case study research and ethnography, which focus on understanding social phenomena in their natural setting, has consequently grown. Case study research is the most widely used qualitative research method in information systems research, and is well suited to understanding the interactions between information technology-related innovations and organizational contexts. Although case study research is useful as a means of studying information systems development and use in the field, there can be practical difficulties associated with attempting to undertake case studies as a rigorous and effective method of research. This paper addresses a number of these difficulties and offers some practical guidelines for successfully completing case study research. The paper focuses on the pragmatics of conducting case study research, and draws from the discussion at a panel session conducted by the authors at the 8th Australasian Conference on Information Systems, September 1997 (ACIS 97), from the authors' practical experiences, and from the case study research literature.","container-title":"Information Systems Journal","DOI":"10.1046/j.1365-2575.1998.00040.x","ISSN":"13501917","issue":"4","journalAbbreviation":"Information Systems Journal","page":"273-289","source":"EBSCOhost","title":"Successfully completing case study research: combining rigour, relevance and pragmatism","title-short":"Successfully completing case study research","volume":"8","author":[{"family":"Darke","given":"Peta"},{"family":"Shanks","given":"Graeme"},{"family":"Broadbent","given":"Marianne"}],"issued":{"date-parts":[["1998",10]]}}}],"schema":"https://github.com/citation-style-language/schema/raw/master/csl-citation.json"}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rPr>
        <w:t>(Darke et al., 1998)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Consistent with the Glaserian version of Grounded Theory, data collection was developed via semi-structured interviews with Living Labs stakeholders and document analysis. Document analysis was adopted because varied Living Labs project documentation can provide complementary data for strengthening interpretation of findings and for triangulation purposes </w:t>
      </w:r>
      <w:r w:rsidRPr="00F153F6">
        <w:rPr>
          <w:rFonts w:ascii="Times New Roman" w:hAnsi="Times New Roman" w:cs="Times New Roman"/>
          <w:sz w:val="24"/>
          <w:szCs w:val="24"/>
        </w:rPr>
        <w:fldChar w:fldCharType="begin"/>
      </w:r>
      <w:r w:rsidR="00BC552E" w:rsidRPr="00F153F6">
        <w:rPr>
          <w:rFonts w:ascii="Times New Roman" w:hAnsi="Times New Roman" w:cs="Times New Roman"/>
          <w:sz w:val="24"/>
          <w:szCs w:val="24"/>
        </w:rPr>
        <w:instrText xml:space="preserve"> ADDIN ZOTERO_ITEM CSL_CITATION {"citationID":"a22vjgrkqbp","properties":{"formattedCitation":"(Scott, 2014)","plainCitation":"(Scott, 2014)","noteIndex":0},"citationItems":[{"id":2232,"uris":["http://zotero.org/users/5709166/items/P6HV4RFX"],"itemData":{"id":2232,"type":"book","abstract":"This textbook aims to give an introduction to the use of documentary sources in social research. It is designed to be a companion to courses in research methods in the social sciences and history and a reference text for those beginning research on documentary sources. The book begins with an overview of the nature of social research and the variety of methods which can be used. Scott identifies three types of evidence useful in such research - physical evidence, personal evidence and documentary evidence. He argues that the logic of research is common to each type of evidence, but that each involves specific methodological issues. An appraisal grid for the analysis of documents is presented, showing the criteria which must be used in evaluating documentary sources. In the following chapters these criteria are applied to the variety of documentary sources available to the social researcher: census data and official statistics; government publications; directories and yearbooks; personal diaries and letters.","ISBN":"978-0-7456-8773-5","language":"en","note":"Google-Books-ID: dDLKAwAAQBAJ","number-of-pages":"234","publisher":"John Wiley &amp; Sons","source":"Google Books","title":"A Matter of Record: Documentary Sources in Social Research","title-short":"A Matter of Record","author":[{"family":"Scott","given":"John"}],"issued":{"date-parts":[["2014",4,3]]}}}],"schema":"https://github.com/citation-style-language/schema/raw/master/csl-citation.json"} </w:instrText>
      </w:r>
      <w:r w:rsidRPr="00F153F6">
        <w:rPr>
          <w:rFonts w:ascii="Times New Roman" w:hAnsi="Times New Roman" w:cs="Times New Roman"/>
          <w:sz w:val="24"/>
          <w:szCs w:val="24"/>
        </w:rPr>
        <w:fldChar w:fldCharType="separate"/>
      </w:r>
      <w:r w:rsidR="00BC552E" w:rsidRPr="00F153F6">
        <w:rPr>
          <w:rFonts w:ascii="Times New Roman" w:hAnsi="Times New Roman" w:cs="Times New Roman"/>
          <w:sz w:val="24"/>
          <w:szCs w:val="24"/>
        </w:rPr>
        <w:t>(Scott, 2014)</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Analysis of data from interviews and project documentation will develop through constant comparison and take place iteratively until theoretical saturation is reached. The rationale for selecting this research approach and methods is introduced and described in more detail in Methodology Chapter 3. </w:t>
      </w:r>
    </w:p>
    <w:p w14:paraId="5C54E50A" w14:textId="64FD9792" w:rsidR="00D1344D" w:rsidRPr="00F153F6" w:rsidRDefault="00D1344D" w:rsidP="00D1344D">
      <w:pPr>
        <w:pStyle w:val="Heading2"/>
        <w:spacing w:line="360" w:lineRule="auto"/>
        <w:rPr>
          <w:rFonts w:ascii="Times New Roman" w:hAnsi="Times New Roman" w:cs="Times New Roman"/>
          <w:sz w:val="32"/>
          <w:szCs w:val="32"/>
        </w:rPr>
      </w:pPr>
      <w:bookmarkStart w:id="41" w:name="_Toc133252104"/>
      <w:r w:rsidRPr="00F153F6">
        <w:rPr>
          <w:rFonts w:ascii="Times New Roman" w:hAnsi="Times New Roman" w:cs="Times New Roman"/>
          <w:sz w:val="32"/>
          <w:szCs w:val="32"/>
        </w:rPr>
        <w:t>1.5 Significance</w:t>
      </w:r>
      <w:bookmarkEnd w:id="41"/>
    </w:p>
    <w:p w14:paraId="095D78B9" w14:textId="2511B95B" w:rsidR="006E6DC8" w:rsidRPr="00F153F6" w:rsidRDefault="006E6DC8" w:rsidP="006E6DC8">
      <w:pPr>
        <w:pBdr>
          <w:top w:val="nil"/>
          <w:left w:val="nil"/>
          <w:bottom w:val="nil"/>
          <w:right w:val="nil"/>
          <w:between w:val="nil"/>
        </w:pBdr>
        <w:spacing w:line="360" w:lineRule="auto"/>
        <w:jc w:val="both"/>
        <w:rPr>
          <w:rFonts w:ascii="Times New Roman" w:hAnsi="Times New Roman" w:cs="Times New Roman"/>
          <w:sz w:val="24"/>
          <w:szCs w:val="24"/>
          <w:lang w:val="en-US"/>
        </w:rPr>
      </w:pPr>
      <w:r w:rsidRPr="00F153F6">
        <w:rPr>
          <w:rFonts w:ascii="Times New Roman" w:hAnsi="Times New Roman" w:cs="Times New Roman"/>
          <w:sz w:val="24"/>
          <w:szCs w:val="24"/>
        </w:rPr>
        <w:t xml:space="preserve">This research is significant for both research and practice as its findings would be beneficial for different types of stakeholders. There are four types of stakeholders who </w:t>
      </w:r>
      <w:r w:rsidR="0069097A" w:rsidRPr="00F153F6">
        <w:rPr>
          <w:rFonts w:ascii="Times New Roman" w:hAnsi="Times New Roman" w:cs="Times New Roman"/>
          <w:sz w:val="24"/>
          <w:szCs w:val="24"/>
        </w:rPr>
        <w:t>can</w:t>
      </w:r>
      <w:r w:rsidRPr="00F153F6">
        <w:rPr>
          <w:rFonts w:ascii="Times New Roman" w:hAnsi="Times New Roman" w:cs="Times New Roman"/>
          <w:sz w:val="24"/>
          <w:szCs w:val="24"/>
        </w:rPr>
        <w:t xml:space="preserve"> </w:t>
      </w:r>
      <w:r w:rsidR="0069097A" w:rsidRPr="00F153F6">
        <w:rPr>
          <w:rFonts w:ascii="Times New Roman" w:hAnsi="Times New Roman" w:cs="Times New Roman"/>
          <w:sz w:val="24"/>
          <w:szCs w:val="24"/>
        </w:rPr>
        <w:t>benefit</w:t>
      </w:r>
      <w:r w:rsidRPr="00F153F6">
        <w:rPr>
          <w:rFonts w:ascii="Times New Roman" w:hAnsi="Times New Roman" w:cs="Times New Roman"/>
          <w:sz w:val="24"/>
          <w:szCs w:val="24"/>
        </w:rPr>
        <w:t xml:space="preserve"> from this research: researchers, Living Lab project managers, industrial practitioners, and policy makers. For researchers, </w:t>
      </w:r>
      <w:r w:rsidR="0069097A" w:rsidRPr="00F153F6">
        <w:rPr>
          <w:rFonts w:ascii="Times New Roman" w:hAnsi="Times New Roman" w:cs="Times New Roman"/>
          <w:sz w:val="24"/>
          <w:szCs w:val="24"/>
        </w:rPr>
        <w:t xml:space="preserve">the findings of </w:t>
      </w:r>
      <w:r w:rsidRPr="00F153F6">
        <w:rPr>
          <w:rFonts w:ascii="Times New Roman" w:hAnsi="Times New Roman" w:cs="Times New Roman"/>
          <w:sz w:val="24"/>
          <w:szCs w:val="24"/>
        </w:rPr>
        <w:t xml:space="preserve">this research </w:t>
      </w:r>
      <w:r w:rsidR="0069097A" w:rsidRPr="00F153F6">
        <w:rPr>
          <w:rFonts w:ascii="Times New Roman" w:hAnsi="Times New Roman" w:cs="Times New Roman"/>
          <w:sz w:val="24"/>
          <w:szCs w:val="24"/>
        </w:rPr>
        <w:t>can be</w:t>
      </w:r>
      <w:r w:rsidRPr="00F153F6">
        <w:rPr>
          <w:rFonts w:ascii="Times New Roman" w:hAnsi="Times New Roman" w:cs="Times New Roman"/>
          <w:sz w:val="24"/>
          <w:szCs w:val="24"/>
        </w:rPr>
        <w:t xml:space="preserve"> beneficial for </w:t>
      </w:r>
      <w:r w:rsidR="0069097A" w:rsidRPr="00F153F6">
        <w:rPr>
          <w:rFonts w:ascii="Times New Roman" w:hAnsi="Times New Roman" w:cs="Times New Roman"/>
          <w:sz w:val="24"/>
          <w:szCs w:val="24"/>
        </w:rPr>
        <w:t>those</w:t>
      </w:r>
      <w:r w:rsidRPr="00F153F6">
        <w:rPr>
          <w:rFonts w:ascii="Times New Roman" w:hAnsi="Times New Roman" w:cs="Times New Roman"/>
          <w:sz w:val="24"/>
          <w:szCs w:val="24"/>
        </w:rPr>
        <w:t xml:space="preserve"> who work in different fields such as </w:t>
      </w:r>
      <w:r w:rsidR="00907821" w:rsidRPr="00F153F6">
        <w:rPr>
          <w:rFonts w:ascii="Times New Roman" w:hAnsi="Times New Roman" w:cs="Times New Roman"/>
          <w:sz w:val="24"/>
          <w:szCs w:val="24"/>
        </w:rPr>
        <w:t xml:space="preserve">technology affordance, </w:t>
      </w:r>
      <w:r w:rsidRPr="00F153F6">
        <w:rPr>
          <w:rFonts w:ascii="Times New Roman" w:hAnsi="Times New Roman" w:cs="Times New Roman"/>
          <w:sz w:val="24"/>
          <w:szCs w:val="24"/>
        </w:rPr>
        <w:t xml:space="preserve">knowledge management, collaboration, or </w:t>
      </w:r>
      <w:r w:rsidR="00907821" w:rsidRPr="00F153F6">
        <w:rPr>
          <w:rFonts w:ascii="Times New Roman" w:hAnsi="Times New Roman" w:cs="Times New Roman"/>
          <w:sz w:val="24"/>
          <w:szCs w:val="24"/>
        </w:rPr>
        <w:t>project management studies</w:t>
      </w:r>
      <w:r w:rsidRPr="00F153F6">
        <w:rPr>
          <w:rFonts w:ascii="Times New Roman" w:hAnsi="Times New Roman" w:cs="Times New Roman"/>
          <w:sz w:val="24"/>
          <w:szCs w:val="24"/>
        </w:rPr>
        <w:t xml:space="preserve">, as its findings can enhance their understanding </w:t>
      </w:r>
      <w:r w:rsidR="00983463" w:rsidRPr="00F153F6">
        <w:rPr>
          <w:rFonts w:ascii="Times New Roman" w:hAnsi="Times New Roman" w:cs="Times New Roman"/>
          <w:sz w:val="24"/>
          <w:szCs w:val="24"/>
        </w:rPr>
        <w:t xml:space="preserve">of </w:t>
      </w:r>
      <w:r w:rsidRPr="00F153F6">
        <w:rPr>
          <w:rFonts w:ascii="Times New Roman" w:hAnsi="Times New Roman" w:cs="Times New Roman"/>
          <w:sz w:val="24"/>
          <w:szCs w:val="24"/>
        </w:rPr>
        <w:t xml:space="preserve">the interaction dynamics between information technology and </w:t>
      </w:r>
      <w:r w:rsidR="00907821" w:rsidRPr="00F153F6">
        <w:rPr>
          <w:rFonts w:ascii="Times New Roman" w:hAnsi="Times New Roman" w:cs="Times New Roman"/>
          <w:sz w:val="24"/>
          <w:szCs w:val="24"/>
        </w:rPr>
        <w:t>knowledge</w:t>
      </w:r>
      <w:r w:rsidRPr="00F153F6">
        <w:rPr>
          <w:rFonts w:ascii="Times New Roman" w:hAnsi="Times New Roman" w:cs="Times New Roman"/>
          <w:sz w:val="24"/>
          <w:szCs w:val="24"/>
        </w:rPr>
        <w:t xml:space="preserve"> management</w:t>
      </w:r>
      <w:r w:rsidR="00907821" w:rsidRPr="00F153F6">
        <w:rPr>
          <w:rFonts w:ascii="Times New Roman" w:hAnsi="Times New Roman" w:cs="Times New Roman"/>
          <w:sz w:val="24"/>
          <w:szCs w:val="24"/>
        </w:rPr>
        <w:t xml:space="preserve"> in an inter-organisational project collaboration context</w:t>
      </w:r>
      <w:r w:rsidRPr="00F153F6">
        <w:rPr>
          <w:rFonts w:ascii="Times New Roman" w:hAnsi="Times New Roman" w:cs="Times New Roman"/>
          <w:sz w:val="24"/>
          <w:szCs w:val="24"/>
        </w:rPr>
        <w:t xml:space="preserve">. Shedding light </w:t>
      </w:r>
      <w:r w:rsidR="00983463" w:rsidRPr="00F153F6">
        <w:rPr>
          <w:rFonts w:ascii="Times New Roman" w:hAnsi="Times New Roman" w:cs="Times New Roman"/>
          <w:sz w:val="24"/>
          <w:szCs w:val="24"/>
        </w:rPr>
        <w:t xml:space="preserve">onto </w:t>
      </w:r>
      <w:r w:rsidRPr="00F153F6">
        <w:rPr>
          <w:rFonts w:ascii="Times New Roman" w:hAnsi="Times New Roman" w:cs="Times New Roman"/>
          <w:sz w:val="24"/>
          <w:szCs w:val="24"/>
        </w:rPr>
        <w:t xml:space="preserve">the co-evolution </w:t>
      </w:r>
      <w:r w:rsidR="0069097A" w:rsidRPr="00F153F6">
        <w:rPr>
          <w:rFonts w:ascii="Times New Roman" w:hAnsi="Times New Roman" w:cs="Times New Roman"/>
          <w:sz w:val="24"/>
          <w:szCs w:val="24"/>
        </w:rPr>
        <w:t>relationship that exists</w:t>
      </w:r>
      <w:r w:rsidRPr="00F153F6">
        <w:rPr>
          <w:rFonts w:ascii="Times New Roman" w:hAnsi="Times New Roman" w:cs="Times New Roman"/>
          <w:sz w:val="24"/>
          <w:szCs w:val="24"/>
        </w:rPr>
        <w:t xml:space="preserve"> between dynamic ICT and knowledge exchange practice allows researchers to form </w:t>
      </w:r>
      <w:r w:rsidRPr="00F153F6">
        <w:rPr>
          <w:rFonts w:ascii="Times New Roman" w:hAnsi="Times New Roman" w:cs="Times New Roman"/>
          <w:sz w:val="24"/>
          <w:szCs w:val="24"/>
        </w:rPr>
        <w:lastRenderedPageBreak/>
        <w:t>a more comprehensive understanding of the interactive relationship between technology and digital organisation/organising</w:t>
      </w:r>
      <w:r w:rsidR="0069097A" w:rsidRPr="00F153F6">
        <w:rPr>
          <w:rFonts w:ascii="Times New Roman" w:hAnsi="Times New Roman" w:cs="Times New Roman"/>
          <w:sz w:val="24"/>
          <w:szCs w:val="24"/>
        </w:rPr>
        <w:t>; it</w:t>
      </w:r>
      <w:r w:rsidRPr="00F153F6">
        <w:rPr>
          <w:rFonts w:ascii="Times New Roman" w:hAnsi="Times New Roman" w:cs="Times New Roman"/>
          <w:sz w:val="24"/>
          <w:szCs w:val="24"/>
        </w:rPr>
        <w:t xml:space="preserve"> also informs them regarding future research avenues around the area of </w:t>
      </w:r>
      <w:r w:rsidR="00907821" w:rsidRPr="00F153F6">
        <w:rPr>
          <w:rFonts w:ascii="Times New Roman" w:hAnsi="Times New Roman" w:cs="Times New Roman"/>
          <w:sz w:val="24"/>
          <w:szCs w:val="24"/>
        </w:rPr>
        <w:t>interaction</w:t>
      </w:r>
      <w:r w:rsidRPr="00F153F6">
        <w:rPr>
          <w:rFonts w:ascii="Times New Roman" w:hAnsi="Times New Roman" w:cs="Times New Roman"/>
          <w:sz w:val="24"/>
          <w:szCs w:val="24"/>
        </w:rPr>
        <w:t xml:space="preserve"> dynamics. For Living Lab project managers, this research allows them to enhance their understanding </w:t>
      </w:r>
      <w:r w:rsidR="00983463" w:rsidRPr="00F153F6">
        <w:rPr>
          <w:rFonts w:ascii="Times New Roman" w:hAnsi="Times New Roman" w:cs="Times New Roman"/>
          <w:sz w:val="24"/>
          <w:szCs w:val="24"/>
        </w:rPr>
        <w:t xml:space="preserve">of </w:t>
      </w:r>
      <w:r w:rsidRPr="00F153F6">
        <w:rPr>
          <w:rFonts w:ascii="Times New Roman" w:hAnsi="Times New Roman" w:cs="Times New Roman"/>
          <w:sz w:val="24"/>
          <w:szCs w:val="24"/>
        </w:rPr>
        <w:t xml:space="preserve">how to </w:t>
      </w:r>
      <w:r w:rsidR="0069097A" w:rsidRPr="00F153F6">
        <w:rPr>
          <w:rFonts w:ascii="Times New Roman" w:hAnsi="Times New Roman" w:cs="Times New Roman"/>
          <w:sz w:val="24"/>
          <w:szCs w:val="24"/>
        </w:rPr>
        <w:t>enrich</w:t>
      </w:r>
      <w:r w:rsidRPr="00F153F6">
        <w:rPr>
          <w:rFonts w:ascii="Times New Roman" w:hAnsi="Times New Roman" w:cs="Times New Roman"/>
          <w:sz w:val="24"/>
          <w:szCs w:val="24"/>
        </w:rPr>
        <w:t xml:space="preserve"> ICT management and knowledge management in conjunction in their projects and embed ICT/knowledge management into their project management lifecycle. For industrial practitioners, this research will be particularly useful for those who are interested in designing ICT for knowledge management/information management as diverse uses and effects of ICT in managing knowledge at different project stages are unravelled. For policy makers, the uncovered contextual conditions that influence ICT-based inter-organisational knowledge exchange practice can enhance their policy-making process. At the organisational level, policy makers involved in Living Lab projects can better develop rules/routines for enhancing project collaboration/ innovation. At the societal level, policy makers who are responsible for national policies can develop national policies for enhancing investment around ICT-based open innovation projects or the advancement of ICT for knowledge work.</w:t>
      </w:r>
    </w:p>
    <w:p w14:paraId="541C854C" w14:textId="77777777" w:rsidR="002C1A2F" w:rsidRPr="00F153F6" w:rsidRDefault="002C1A2F" w:rsidP="004424B4">
      <w:pPr>
        <w:spacing w:after="160" w:line="360" w:lineRule="auto"/>
        <w:jc w:val="both"/>
        <w:rPr>
          <w:rFonts w:ascii="Times New Roman" w:hAnsi="Times New Roman" w:cs="Times New Roman"/>
        </w:rPr>
      </w:pPr>
      <w:r w:rsidRPr="00F153F6">
        <w:rPr>
          <w:rFonts w:ascii="Times New Roman" w:hAnsi="Times New Roman" w:cs="Times New Roman"/>
        </w:rPr>
        <w:br w:type="page"/>
      </w:r>
    </w:p>
    <w:p w14:paraId="593DB71B" w14:textId="5DB6098D" w:rsidR="002C1A2F" w:rsidRPr="00F153F6" w:rsidRDefault="002C1A2F" w:rsidP="004424B4">
      <w:pPr>
        <w:pStyle w:val="Heading1"/>
        <w:spacing w:line="360" w:lineRule="auto"/>
        <w:jc w:val="center"/>
        <w:rPr>
          <w:rFonts w:ascii="Times New Roman" w:hAnsi="Times New Roman" w:cs="Times New Roman"/>
          <w:b w:val="0"/>
          <w:bCs/>
          <w:color w:val="000000" w:themeColor="text1"/>
          <w:sz w:val="40"/>
          <w:szCs w:val="40"/>
        </w:rPr>
      </w:pPr>
      <w:bookmarkStart w:id="42" w:name="_Toc50065922"/>
      <w:bookmarkStart w:id="43" w:name="_Toc118371082"/>
      <w:bookmarkStart w:id="44" w:name="_Toc133252105"/>
      <w:r w:rsidRPr="00F153F6">
        <w:rPr>
          <w:rFonts w:ascii="Times New Roman" w:hAnsi="Times New Roman" w:cs="Times New Roman"/>
          <w:b w:val="0"/>
          <w:bCs/>
          <w:color w:val="000000" w:themeColor="text1"/>
          <w:sz w:val="40"/>
          <w:szCs w:val="40"/>
        </w:rPr>
        <w:lastRenderedPageBreak/>
        <w:t>CHAPTER 2</w:t>
      </w:r>
      <w:r w:rsidR="0015201A" w:rsidRPr="00F153F6">
        <w:rPr>
          <w:rFonts w:ascii="Times New Roman" w:hAnsi="Times New Roman" w:cs="Times New Roman"/>
          <w:b w:val="0"/>
          <w:bCs/>
          <w:color w:val="000000" w:themeColor="text1"/>
          <w:sz w:val="40"/>
          <w:szCs w:val="40"/>
        </w:rPr>
        <w:t xml:space="preserve">  </w:t>
      </w:r>
      <w:r w:rsidRPr="00F153F6">
        <w:rPr>
          <w:rFonts w:ascii="Times New Roman" w:hAnsi="Times New Roman" w:cs="Times New Roman"/>
          <w:b w:val="0"/>
          <w:bCs/>
          <w:color w:val="000000" w:themeColor="text1"/>
          <w:sz w:val="40"/>
          <w:szCs w:val="40"/>
        </w:rPr>
        <w:t xml:space="preserve"> LITERATURE REVIEW</w:t>
      </w:r>
      <w:bookmarkEnd w:id="42"/>
      <w:bookmarkEnd w:id="43"/>
      <w:bookmarkEnd w:id="44"/>
    </w:p>
    <w:p w14:paraId="2FA66BC6" w14:textId="77777777" w:rsidR="002C1A2F" w:rsidRPr="00F153F6" w:rsidRDefault="002C1A2F" w:rsidP="004424B4">
      <w:pPr>
        <w:pStyle w:val="Heading2"/>
        <w:spacing w:line="360" w:lineRule="auto"/>
        <w:rPr>
          <w:rFonts w:ascii="Times New Roman" w:hAnsi="Times New Roman" w:cs="Times New Roman"/>
          <w:color w:val="000000" w:themeColor="text1"/>
          <w:sz w:val="28"/>
          <w:szCs w:val="28"/>
        </w:rPr>
      </w:pPr>
      <w:bookmarkStart w:id="45" w:name="_Toc50065923"/>
      <w:bookmarkStart w:id="46" w:name="_Toc118371083"/>
      <w:bookmarkStart w:id="47" w:name="_Toc133252106"/>
      <w:r w:rsidRPr="00F153F6">
        <w:rPr>
          <w:rFonts w:ascii="Times New Roman" w:hAnsi="Times New Roman" w:cs="Times New Roman"/>
          <w:color w:val="000000" w:themeColor="text1"/>
          <w:sz w:val="32"/>
          <w:szCs w:val="32"/>
        </w:rPr>
        <w:t>2.1 Introduction</w:t>
      </w:r>
      <w:bookmarkEnd w:id="45"/>
      <w:bookmarkEnd w:id="46"/>
      <w:bookmarkEnd w:id="47"/>
      <w:r w:rsidRPr="00F153F6">
        <w:rPr>
          <w:rFonts w:ascii="Times New Roman" w:hAnsi="Times New Roman" w:cs="Times New Roman"/>
          <w:color w:val="000000" w:themeColor="text1"/>
          <w:sz w:val="32"/>
          <w:szCs w:val="32"/>
        </w:rPr>
        <w:t xml:space="preserve"> </w:t>
      </w:r>
    </w:p>
    <w:p w14:paraId="1E8157CF" w14:textId="1832B342"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This chapter will </w:t>
      </w:r>
      <w:r w:rsidR="00042F66" w:rsidRPr="00F153F6">
        <w:rPr>
          <w:rFonts w:ascii="Times New Roman" w:hAnsi="Times New Roman" w:cs="Times New Roman"/>
          <w:color w:val="000000" w:themeColor="text1"/>
          <w:sz w:val="24"/>
          <w:szCs w:val="24"/>
        </w:rPr>
        <w:t xml:space="preserve">explore and </w:t>
      </w:r>
      <w:r w:rsidRPr="00F153F6">
        <w:rPr>
          <w:rFonts w:ascii="Times New Roman" w:hAnsi="Times New Roman" w:cs="Times New Roman"/>
          <w:color w:val="000000" w:themeColor="text1"/>
          <w:sz w:val="24"/>
          <w:szCs w:val="24"/>
        </w:rPr>
        <w:t xml:space="preserve">assess the current scholarly discussion </w:t>
      </w:r>
      <w:r w:rsidR="00042F66" w:rsidRPr="00F153F6">
        <w:rPr>
          <w:rFonts w:ascii="Times New Roman" w:hAnsi="Times New Roman" w:cs="Times New Roman"/>
          <w:color w:val="000000" w:themeColor="text1"/>
          <w:sz w:val="24"/>
          <w:szCs w:val="24"/>
        </w:rPr>
        <w:t>under the</w:t>
      </w:r>
      <w:r w:rsidRPr="00F153F6">
        <w:rPr>
          <w:rFonts w:ascii="Times New Roman" w:hAnsi="Times New Roman" w:cs="Times New Roman"/>
          <w:color w:val="000000" w:themeColor="text1"/>
          <w:sz w:val="24"/>
          <w:szCs w:val="24"/>
        </w:rPr>
        <w:t xml:space="preserve"> research topic by reviewing the existing literature. The purpose of the literature review is to clearly identify and interpret gaps existing in this research field and refine the proposed research questions. Therefore, this literature review covers the themes of knowledge and knowledge management (KM); knowledge exchange in inter-organisational settings; the role of Information Communication Technolog</w:t>
      </w:r>
      <w:r w:rsidR="000A6A4E" w:rsidRPr="00F153F6">
        <w:rPr>
          <w:rFonts w:ascii="Times New Roman" w:hAnsi="Times New Roman" w:cs="Times New Roman"/>
          <w:color w:val="000000" w:themeColor="text1"/>
          <w:sz w:val="24"/>
          <w:szCs w:val="24"/>
        </w:rPr>
        <w:t>y</w:t>
      </w:r>
      <w:r w:rsidRPr="00F153F6">
        <w:rPr>
          <w:rFonts w:ascii="Times New Roman" w:hAnsi="Times New Roman" w:cs="Times New Roman"/>
          <w:color w:val="000000" w:themeColor="text1"/>
          <w:sz w:val="24"/>
          <w:szCs w:val="24"/>
        </w:rPr>
        <w:t xml:space="preserve"> (ICT) in inter-organisational knowledge exchange (IOKE)</w:t>
      </w:r>
      <w:r w:rsidR="004424B4" w:rsidRPr="00F153F6">
        <w:rPr>
          <w:rFonts w:ascii="Times New Roman" w:hAnsi="Times New Roman" w:cs="Times New Roman"/>
          <w:color w:val="000000" w:themeColor="text1"/>
          <w:sz w:val="24"/>
          <w:szCs w:val="24"/>
        </w:rPr>
        <w:t xml:space="preserve"> and the context of Living Labs</w:t>
      </w:r>
      <w:r w:rsidRPr="00F153F6">
        <w:rPr>
          <w:rFonts w:ascii="Times New Roman" w:hAnsi="Times New Roman" w:cs="Times New Roman"/>
          <w:color w:val="000000" w:themeColor="text1"/>
          <w:sz w:val="24"/>
          <w:szCs w:val="24"/>
        </w:rPr>
        <w:t>. The ultimate goal of this literature review is to develop the study’s theoretical foundations, enhance the researcher’s theoretical sensitivity and inform future data collection and analysis.</w:t>
      </w:r>
    </w:p>
    <w:p w14:paraId="6312619C" w14:textId="77777777" w:rsidR="002C1A2F" w:rsidRPr="00F153F6" w:rsidRDefault="002C1A2F" w:rsidP="004424B4">
      <w:pPr>
        <w:pStyle w:val="Heading2"/>
        <w:spacing w:line="360" w:lineRule="auto"/>
        <w:rPr>
          <w:rFonts w:ascii="Times New Roman" w:hAnsi="Times New Roman" w:cs="Times New Roman"/>
          <w:color w:val="000000" w:themeColor="text1"/>
          <w:sz w:val="32"/>
          <w:szCs w:val="32"/>
        </w:rPr>
      </w:pPr>
      <w:bookmarkStart w:id="48" w:name="_Toc50065924"/>
      <w:bookmarkStart w:id="49" w:name="_Toc118371084"/>
      <w:bookmarkStart w:id="50" w:name="_Toc133252107"/>
      <w:r w:rsidRPr="00F153F6">
        <w:rPr>
          <w:rFonts w:ascii="Times New Roman" w:hAnsi="Times New Roman" w:cs="Times New Roman"/>
          <w:color w:val="000000" w:themeColor="text1"/>
          <w:sz w:val="32"/>
          <w:szCs w:val="32"/>
        </w:rPr>
        <w:t>2.2 Knowledge and Knowledge Management (KM)</w:t>
      </w:r>
      <w:bookmarkEnd w:id="48"/>
      <w:bookmarkEnd w:id="49"/>
      <w:bookmarkEnd w:id="50"/>
      <w:r w:rsidRPr="00F153F6">
        <w:rPr>
          <w:rFonts w:ascii="Times New Roman" w:hAnsi="Times New Roman" w:cs="Times New Roman"/>
          <w:color w:val="000000" w:themeColor="text1"/>
          <w:sz w:val="32"/>
          <w:szCs w:val="32"/>
        </w:rPr>
        <w:t xml:space="preserve"> </w:t>
      </w:r>
    </w:p>
    <w:p w14:paraId="53378D77" w14:textId="77777777" w:rsidR="002C1A2F" w:rsidRPr="00F153F6" w:rsidRDefault="002C1A2F" w:rsidP="004424B4">
      <w:pPr>
        <w:pStyle w:val="Heading3"/>
        <w:spacing w:line="360" w:lineRule="auto"/>
        <w:ind w:left="720"/>
        <w:jc w:val="both"/>
        <w:rPr>
          <w:rFonts w:ascii="Times New Roman" w:hAnsi="Times New Roman" w:cs="Times New Roman"/>
          <w:b/>
          <w:color w:val="000000" w:themeColor="text1"/>
          <w:sz w:val="28"/>
          <w:szCs w:val="28"/>
        </w:rPr>
      </w:pPr>
      <w:bookmarkStart w:id="51" w:name="_Toc50065925"/>
      <w:bookmarkStart w:id="52" w:name="_Toc118371085"/>
      <w:bookmarkStart w:id="53" w:name="_Toc133252108"/>
      <w:r w:rsidRPr="00F153F6">
        <w:rPr>
          <w:rFonts w:ascii="Times New Roman" w:hAnsi="Times New Roman" w:cs="Times New Roman"/>
          <w:b/>
          <w:color w:val="000000" w:themeColor="text1"/>
          <w:sz w:val="28"/>
          <w:szCs w:val="28"/>
        </w:rPr>
        <w:t>2.2.1 The Nature and Definition of Knowledge</w:t>
      </w:r>
      <w:bookmarkEnd w:id="51"/>
      <w:bookmarkEnd w:id="52"/>
      <w:bookmarkEnd w:id="53"/>
      <w:r w:rsidRPr="00F153F6">
        <w:rPr>
          <w:rFonts w:ascii="Times New Roman" w:hAnsi="Times New Roman" w:cs="Times New Roman"/>
          <w:b/>
          <w:color w:val="000000" w:themeColor="text1"/>
          <w:sz w:val="28"/>
          <w:szCs w:val="28"/>
        </w:rPr>
        <w:t xml:space="preserve"> </w:t>
      </w:r>
    </w:p>
    <w:p w14:paraId="153AE85F" w14:textId="07EBE71D"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The definition of knowledge remains an ongoing debate, and has for centuries because of its elusive nature </w:t>
      </w:r>
      <w:bookmarkStart w:id="54" w:name="OLE_LINK392"/>
      <w:bookmarkStart w:id="55" w:name="OLE_LINK393"/>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{"citationID":"R0kL3EGo","properties":{"formattedCitation":"(Bolisani &amp; Bratianu, 2018)","plainCitation":"(Bolisani &amp; Bratianu, 2018)","noteIndex":0},"citationItems":[{"id":2093,"uris":["http://zotero.org/users/5709166/items/HRWYEQ6A"],"itemData":{"id":2093,"type":"chapter","abstract":"Knowledge is an abstract concept without any reference to the tangible world. It is a very powerful concept, yet it has no clear definition so far. From the Greek philosophers up to present experts in knowledge management, people tried to define knowledge but the results are still very fuzzy. This chapter has the intention of showing the most significant aspects of the dispute over the definition of knowledge, and the main conceptual barriers in that endeavor. In the first part of the chapter we discuss about the knowledge nature and the attempts made in epistemology to define knowledge. The well-known definition that knowledge is justified true beliefis shown to have the limitations given by the justification condition and the truth nature. In the second part, we consider the metaphorical approach to knowledge explanation and we present the main metaphors used for knowledge in the managerial literature: knowledge as objects, knowledge nuggets, knowledge as an iceberg, and knowledge as stocks and flows. In the last part, we introduce a new paradigm of metaphorical thinking based on the knowledge energy. This metaphor opens new opportunities for understanding knowledge as a multi-field paradigm composed of the rational, emotional, and spiritual knowledge fields.","container-title":"Emergent Knowledge Strategies","event-place":"Cham","ISBN":"978-3-319-60656-9","language":"en","note":"DOI: 10.1007/978-3-319-60657-6_1","page":"1-22","publisher":"Springer International Publishing","publisher-place":"Cham","source":"DOI.org (Crossref)","title":"The Elusive Definition of Knowledge","URL":"http://link.springer.com/10.1007/978-3-319-60657-6_1","volume":"4","container-author":[{"family":"Bolisani","given":"Ettore"},{"family":"Bratianu","given":"Constantin"}],"author":[{"family":"Bolisani","given":"Ettore"},{"family":"Bratianu","given":"Constantin"}],"accessed":{"date-parts":[["2019",9,24]]},"issued":{"date-parts":[["2018"]]}}}],"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(Bolisani &amp; Bratianu, 2018)</w:t>
      </w:r>
      <w:r w:rsidRPr="00F153F6">
        <w:rPr>
          <w:rFonts w:ascii="Times New Roman" w:hAnsi="Times New Roman" w:cs="Times New Roman"/>
          <w:color w:val="000000" w:themeColor="text1"/>
          <w:sz w:val="24"/>
          <w:szCs w:val="24"/>
        </w:rPr>
        <w:fldChar w:fldCharType="end"/>
      </w:r>
      <w:bookmarkEnd w:id="54"/>
      <w:bookmarkEnd w:id="55"/>
      <w:r w:rsidRPr="00F153F6">
        <w:rPr>
          <w:rFonts w:ascii="Times New Roman" w:hAnsi="Times New Roman" w:cs="Times New Roman"/>
          <w:color w:val="000000" w:themeColor="text1"/>
          <w:sz w:val="24"/>
          <w:szCs w:val="24"/>
        </w:rPr>
        <w:t xml:space="preserve">. Many frequently adopted definitions of knowledge are constructed on the ‘Justified Truth Belief’ theory of knowledge which was primarily developed by the Greek philosopher Plato. This definition provides a philosophical underpinning of knowledge and a foundation for subsequent scholars to discuss the nature of knowledge. Nonaka and Takeuchi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{"citationID":"a15tf2g1ogf","properties":{"formattedCitation":"(Ikujir\\uc0\\u333{} Nonaka et al., 1995, p. 58)","plainCitation":"(Ikujirō Nonaka et al., 1995, p. 58)","dontUpdate":true,"noteIndex":0},"citationItems":[{"id":2225,"uris":["http://zotero.org/users/5709166/items/IMCW5R4K"],"itemData":{"id":2225,"type":"book","abstract":"How have Japanese companies become world leaders in the automotive and electronics industries, among others? What is the secret of their success? Two leading Japanese business experts, Ikujiro Nonaka and Hirotaka Takeuchi, are the first to tie the success of Japanese companies to their ability to create new knowledge and use it to produce successful products and technologies. In The Knowledge-Creating Company, Nonaka and Takeuchi provide an inside look at how Japanese companies go about creating this new knowledge organizationally.The authors point out that there are two types of knowledge: explicit knowledge, contained in manuals and procedures, and tacit knowledge, learned only by experience, and communicated only indirectly, through metaphor and analogy. U.S. managers focus on explicit knowledge. The Japanese, on the other hand, focus on tacit knowledge. And this, the authors argue, is the key to their success--the Japanese have learned how to transform tacit into explicit knowledge. To explain how this is done--and illuminate Japanese business practices as they do so--the authors range from Greek philosophy to Zen Buddhism, from classical economists to modern management gurus, illustrating the theory of organizational knowledge creation with case studies drawn from such firms as Honda, Canon, Matsushita, NEC, Nissan, 3M, GE, and even the U.S. Marines. For instance, using Matsushita's development of the Home Bakery (the world's first fully automated bread-baking machine for home use), they show how tacit knowledge can be converted to explicit knowledge: when the designers couldn't perfect the dough kneading mechanism, a software programmer apprenticed herself with the master baker at Osaka International Hotel, gained a tacit understanding of kneading, and then conveyed this information to the engineers. In addition, the authors show that, to create knowledge, the best management style is neither top-down nor bottom-up, but rather what they call \"middle-up-down,\" in which the middle managers form a bridge between the ideals of top management and the chaotic realities of the frontline.As we make the turn into the 21st century, a new society is emerging. Peter Drucker calls it the \"knowledge society,\" one that is drastically different from the \"industrial society,\" and one in which acquiring and applying knowledge will become key competitive factors. Nonaka and Takeuchi go a step further, arguing that creating knowledge will become the key to sustaining a competitive advantage in the future. Because the competitive environment and customer preferences changes constantly, knowledge perishes quickly. With The Knowledge-Creating Company, managers have at their fingertips years of insight from Japanese firms that reveal how to create knowledge continuously, and how to exploit it to make successful new products, services, and systems.","ISBN":"978-0-19-509269-1","language":"en","number-of-pages":"320","publisher":"Oxford University Press","source":"Google Books","title":"The Knowledge-creating Company: How Japanese Companies Create the Dynamics of Innovation","title-short":"The Knowledge-creating Company","author":[{"family":"Nonaka","given":"Ikujirō"},{"family":"Nonaka","given":"Ikujir","dropping-particle":"o"},{"family":"Ikujiro","given":"Nonaka"},{"family":"Takeuchi","given":"Hirotaka"},{"family":"Nonaka","given":"Professor of Knowledge Ikujiro"},{"family":"Takeuchi","given":"Both Professors of Management at the Institute of Business Research Hirotaka"}],"issued":{"date-parts":[["1995"]]}},"locator":"58"}],"schema":"https://github.com/citation-style-language/schema/raw/master/csl-citation.json"}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(Nonaka et al., 1995)</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define knowledge as: a “dynamic human process of justifying personal belief toward the ‘truth’”</w:t>
      </w:r>
      <w:r w:rsidR="008B1A79" w:rsidRPr="00F153F6">
        <w:rPr>
          <w:rFonts w:ascii="Times New Roman" w:hAnsi="Times New Roman" w:cs="Times New Roman"/>
          <w:color w:val="000000" w:themeColor="text1"/>
          <w:sz w:val="24"/>
          <w:szCs w:val="24"/>
        </w:rPr>
        <w:t xml:space="preserve"> (p. 58)</w:t>
      </w:r>
      <w:r w:rsidRPr="00F153F6">
        <w:rPr>
          <w:rFonts w:ascii="Times New Roman" w:hAnsi="Times New Roman" w:cs="Times New Roman"/>
          <w:color w:val="000000" w:themeColor="text1"/>
          <w:sz w:val="24"/>
          <w:szCs w:val="24"/>
        </w:rPr>
        <w:t>, which reflects the significant influence from this Greek philosophical classic viewpoint.</w:t>
      </w:r>
    </w:p>
    <w:p w14:paraId="0FF14BB2" w14:textId="4069500A"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Knowledge is an abstract concept and hence complicated and ambiguous to be defined purely from a unique theoretical point of view, especially when considering its nature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{"citationID":"RAFa0coW","properties":{"formattedCitation":"(Andriessen &amp; Boom, 2007)","plainCitation":"(Andriessen &amp; Boom, 2007)","noteIndex":0},"citationItems":[{"id":2067,"uris":["http://zotero.org/users/5709166/items/TLNZEQT6"],"itemData":{"id":2067,"type":"document","abstract":"Purpose\nTo analyze differences between Western and Eastern cultures in the way they conceptualize\nknowledge and discuss the implications of these differences for a global intellectual capital\n(IC) theory and practice.\nDesign/methodology/approach\nA systematic metaphor analysis of the concept of knowledge and IC is used to identify\ncommon Western conceptualizations of knowledge in IC literature. A review of philosophical\nand religious literature was done to identify knowledge conceptualizations in the main\nstreams of Asian philosophy.\nFindings\nFundamental differences were found in the way knowledge is conceptualized. In Western IC\nliterature common metaphors for knowledge include knowledge as a thing and knowledge as\ncapital. In Asian thought, knowledge is seen as unfolding truth based upon a unity of universe\nand human self and of knowledge and action.\nResearch limitations/implications\nThe research was performed on a limited sample of literature. More research is needed to\nidentify how knowledge is conceptualized in the practice of doing business in Asia and to test\nthe effects of introducing IC theories to Asian businessmen and managers.\nPractical implications\nWestern conceptualizations of knowledge, embedded in terms like intellectual capital and\nknowledge management, can not be transferred to Asian business without considering the\nlocal view on knowledge. Asian conceptualizations of knowledge should play an important\nrole in the further development of a knowledge-based theory and practice of the firm.\nOriginality/value\nThe paper is the first to explore differences in knowledge conceptualizations by analyzing the\nunderlying metaphors that are used in Western IC literature and Asian philosophy.","language":"null","publisher":"INHolland","source":"www.narcis.nl","title":"Asian and Western Intellectual Capital in Encounter; a Discussion Paper About our Different Views on Knowledge","URL":"https://surfsharekit.nl/publiek/inholland/6d025bd6-ceea-4e8a-9041-681594862ab1","author":[{"family":"Andriessen","given":"Daan"},{"family":"Boom","given":"Marien","dropping-particle":"van den"}],"accessed":{"date-parts":[["2019",9,30]]},"issued":{"date-parts":[["2007",1,27]]}}}],"schema":"https://github.com/citation-style-language/schema/raw/master/csl-citation.json"}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(Andriessen &amp; Boom, 2007)</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A useful way to grasp the complexity of defining knowledge is to understand it using metaphorical thinking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{"citationID":"a1hl4bh8qo4","properties":{"formattedCitation":"(Pinker, 2008)","plainCitation":"(Pinker, 2008)","noteIndex":0},"citationItems":[{"id":2066,"uris":["http://zotero.org/users/5709166/items/DAWFAKED"],"itemData":{"id":2066,"type":"book","abstract":"The Stuff of Thought is an exhilarating work of non-fiction. Surprising, thought-provoking and incredibly enjoyable, there is no other book like it - Steven Pinker will revolutionise the way you think about language. He analyses what words actually mean and how we use them, and he reveals what this can tell us about ourselves. He shows how we use space and motion as metaphors for more abstract ideas, and uncovers the deeper structures of human thought that have been shaped by evolutionary history. He also explores the emotional impact of language, from names to swear words, and shows us the full power that it can have over us. And, with this book, he also shows just how stimulating and entertaining language can be.","ISBN":"978-0-14-192107-5","language":"en","note":"Google-Books-ID: 3DocCGB0cRkC","number-of-pages":"669","publisher":"Penguin UK","source":"Google Books","title":"The Stuff of Thought: Language as a Window into Human Nature","title-short":"The Stuff of Thought","author":[{"family":"Pinker","given":"Steven"}],"issued":{"date-parts":[["2008",6,5]]}}}],"schema":"https://github.com/citation-style-language/schema/raw/master/csl-citation.json"}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(Pinker, 2008)</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One key perspective on the definition of knowledge given through metaphorical thinking is to view knowledge as an object or resource in organisational practices. Borgo and Pozza </w:t>
      </w:r>
      <w:r w:rsidRPr="00F153F6">
        <w:rPr>
          <w:rFonts w:ascii="Times New Roman" w:hAnsi="Times New Roman" w:cs="Times New Roman"/>
          <w:color w:val="000000" w:themeColor="text1"/>
          <w:sz w:val="24"/>
          <w:szCs w:val="24"/>
        </w:rPr>
        <w:fldChar w:fldCharType="begin"/>
      </w:r>
      <w:r w:rsidR="008B1A79" w:rsidRPr="00F153F6">
        <w:rPr>
          <w:rFonts w:ascii="Times New Roman" w:hAnsi="Times New Roman" w:cs="Times New Roman"/>
          <w:color w:val="000000" w:themeColor="text1"/>
          <w:sz w:val="24"/>
          <w:szCs w:val="24"/>
        </w:rPr>
        <w:instrText xml:space="preserve"> ADDIN ZOTERO_ITEM CSL_CITATION {"citationID":"f4Xjyrlr","properties":{"formattedCitation":"(2012)","plainCitation":"(2012)","noteIndex":0},"citationItems":[{"id":2065,"uris":["http://zotero.org/users/5709166/items/DLIWLWHI"],"itemData":{"id":2065,"type":"article-journal","abstract":"Information technology has embraced the ontological approach to expand its capacity to deal with knowledge of different kinds. The subsequent combination of formal concerns and philosophical considerations has led to the development of new knowledge systems that rely on foundational distinctions of entity type such as object, process, property and role. This change has attracted attention to the distinction between types of entity in the enterprise. The result is a compartmentalisation of the information, which, although well motivated and technically fruitful, is not always optimal for knowledge management (KM) tasks where one aims at an integrated view of information. This paper focuses on the notion of knowledge object understood as a formal construct for knowledge modelling and KM systems. The approach starts from formal and ontological analysis with an eye to modelling knowledge at large. The paper motivates the introduction of a notion of knowledge object as a new type of entity that emerges from the explicit interaction of material entities, information entities and roles within an enterprise. The main goals of this work are: to discuss the capacity of knowledge objects to tie knowledge and roles in an (enterprise) context; to model aspects of enterprise knowledge that escape standard ontological approaches; and to describe knowledge objects as a conceptual tool that can be integrated within existing formal systems.","container-title":"Knowledge Management Research &amp; Practice","DOI":"10.1057/kmrp.2012.17","ISSN":"1477-8238","issue":"3","page":"227-236","source":"Taylor and Francis+NEJM","title":"Knowledge objects: a formal construct for material, information and role dependences","title-short":"Knowledge objects","volume":"10","author":[{"family":"Borgo","given":"Stefano"},{"family":"Pozza","given":"Giandomenico"}],"issued":{"date-parts":[["2012",9,1]]}},"label":"page","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008B1A79" w:rsidRPr="00F153F6">
        <w:rPr>
          <w:rFonts w:ascii="Times New Roman" w:hAnsi="Times New Roman" w:cs="Times New Roman"/>
          <w:sz w:val="24"/>
          <w:szCs w:val="24"/>
        </w:rPr>
        <w:t>(2012)</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claim that “the idea of dealing with knowledge as an object has been already exploited in a variety of areas across knowledge management and information technology”</w:t>
      </w:r>
      <w:r w:rsidR="008B1A79" w:rsidRPr="00F153F6">
        <w:rPr>
          <w:rFonts w:ascii="Times New Roman" w:hAnsi="Times New Roman" w:cs="Times New Roman"/>
          <w:color w:val="000000" w:themeColor="text1"/>
          <w:sz w:val="24"/>
          <w:szCs w:val="24"/>
        </w:rPr>
        <w:t xml:space="preserve"> (p. 229)</w:t>
      </w:r>
      <w:r w:rsidRPr="00F153F6">
        <w:rPr>
          <w:rFonts w:ascii="Times New Roman" w:hAnsi="Times New Roman" w:cs="Times New Roman"/>
          <w:color w:val="000000" w:themeColor="text1"/>
          <w:sz w:val="24"/>
          <w:szCs w:val="24"/>
        </w:rPr>
        <w:t xml:space="preserve">. In this view, knowledge can be thereby </w:t>
      </w:r>
      <w:r w:rsidRPr="00F153F6">
        <w:rPr>
          <w:rFonts w:ascii="Times New Roman" w:hAnsi="Times New Roman" w:cs="Times New Roman"/>
          <w:color w:val="000000" w:themeColor="text1"/>
          <w:sz w:val="24"/>
          <w:szCs w:val="24"/>
        </w:rPr>
        <w:lastRenderedPageBreak/>
        <w:t xml:space="preserve">abstracted and used in practice such as being codified quantitatively for indexing or distributing in any contexts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{"citationID":"a19khdj57li","properties":{"formattedCitation":"(Janicot &amp; Mignon, 2012)","plainCitation":"(Janicot &amp; Mignon, 2012)","noteIndex":0},"citationItems":[{"id":2063,"uris":["http://zotero.org/users/5709166/items/MR7V9UA3"],"itemData":{"id":2063,"type":"article-journal","abstract":"Although knowledge codification makes it possible to exchange and disseminate knowledge throughout the organization and reduce access time, enhancing the quality of engagements and relationships with clients remains problematic. We propose a model for knowledge codification built on the concepts of the service's time value and cognitive value, assessed with the aid of integrative Information Technology (network of knowledge bases) and interactive Information Technology (shared workspaces). This model, applied to a case study concerning an audit and consulting firm that has embarked on a knowledge codification strategy, shows a significant improvement in the service's time value and a significant partial improvement in the service's cognitive value.","container-title":"Knowledge Management Research &amp; Practice","DOI":"10.1057/kmrp.2011.38","ISSN":"1477-8238","issue":"1","page":"4-15","source":"Taylor and Francis+NEJM","title":"Knowledge codification in audit and consulting firms: a conceptual and empirical approach","title-short":"Knowledge codification in audit and consulting firms","volume":"10","author":[{"family":"Janicot","given":"Corinne"},{"family":"Mignon","given":"Sophie"}],"issued":{"date-parts":[["2012",3,1]]}}}],"schema":"https://github.com/citation-style-language/schema/raw/master/csl-citation.json"}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(Janicot &amp; Mignon, 2012)</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w:t>
      </w:r>
    </w:p>
    <w:p w14:paraId="36F1B492" w14:textId="77777777"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Another metaphorical basis for understanding the concept of knowledge relates it to the image of an iceberg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{"citationID":"kLDYzBuH","properties":{"formattedCitation":"(Ikujiro Nonaka &amp; von Krogh, 2009)","plainCitation":"(Ikujiro Nonaka &amp; von Krogh, 2009)","dontUpdate":true,"noteIndex":0},"citationItems":[{"id":2061,"uris":["http://zotero.org/users/5709166/items/EHX92JXJ"],"itemData":{"id":2061,"type":"article-journal","abstract":"Nonaka's paper [1994. A dynamic theory of organizational knowledge creation. Organ. Sci. 5(1) 14--37] contributed to the concepts of \"tacit knowledge\" and \"knowledge conversion\" in organization science. We present work that shaped the development of organizational knowledge creation theory and identify two premises upon which more than 15 years of extensive academic work has been conducted: (1) tacit and explicit knowledge can be conceptually distinguished along a continuum; (2) knowledge conversion explains, theoretically and empirically, the interaction between tacit and explicit knowledge. Recently, scholars have raised several issues regarding the understanding of tacit knowledge as well as the interaction between tacit and explicit knowledge in the theory. The purpose of this article is to introduce and comment on the debate about organizational knowledge creation theory. We aim to help scholars make sense of this debate by synthesizing six fundamental questions on organizational knowledge creation theory. Next, we seek to elaborate and advance the theory by responding to questions and incorporating new research. Finally, we discuss implications of our endeavor for organization science.","container-title":"Organization Science","DOI":"10.1287/orsc.1080.0412","ISSN":"10477039","issue":"3","journalAbbreviation":"Organization Science","page":"635-652","source":"EBSCOhost","title":"Tacit Knowledge and Knowledge Conversion: Controversy and Advancement in Organizational Knowledge Creation Theory","title-short":"Tacit Knowledge and Knowledge Conversion","volume":"20","author":[{"family":"Nonaka","given":"Ikujiro"},{"family":"Krogh","given":"Georg","non-dropping-particle":"von"}],"issued":{"date-parts":[["2009",6,5]]}}}],"schema":"https://github.com/citation-style-language/schema/raw/master/csl-citation.json"}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(Nonaka &amp; von Krogh, 2009)</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From this perspective, knowledge can be distinguished between explicit knowledge that can be codified or expressed in words as the visible part of iceberg, and tacit knowledge that is hard to express such as personal experiences, constituting the hidden part of the iceberg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{"citationID":"pK5aecVO","properties":{"formattedCitation":"(Ikujiro Nonaka &amp; Takeuchi, 2000)","plainCitation":"(Ikujiro Nonaka &amp; Takeuchi, 2000)","dontUpdate":true,"noteIndex":0},"citationItems":[{"id":2069,"uris":["http://zotero.org/users/5709166/items/BSSK65LE"],"itemData":{"id":2069,"type":"article-journal","container-title":"The Knowledge","language":"en","page":"2","source":"Zotero","title":"The Knowledge-Creating Company: How Japanese Companies Create the Dynamics of Innovation","author":[{"family":"Nonaka","given":"Ikujiro"},{"family":"Takeuchi","given":"Hirotaka"}],"issued":{"date-parts":[["2000"]]}}}],"schema":"https://github.com/citation-style-language/schema/raw/master/csl-citation.json"}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(Nonaka &amp; Takeuchi, 2000)</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This view helps to abstract the nature of knowledge be understand in its different forms. </w:t>
      </w:r>
    </w:p>
    <w:p w14:paraId="5DBFF45F" w14:textId="280EDB19" w:rsidR="00D94282"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Other more hierarchical metaphors can help illuminate the nature of knowledge further, such as the distinction between knowledge, information and data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{"citationID":"I2CjpQ4K","properties":{"formattedCitation":"(Gurteen, 1998)","plainCitation":"(Gurteen, 1998)","noteIndex":0},"citationItems":[{"id":2060,"uris":["http://zotero.org/users/5709166/items/XUM9WKLN"],"itemData":{"id":2060,"type":"article-journal","abstract":"Creativity and innovation concern the process of creating and applying new knowledge. As such, they are at the very heart of Knowledge Management. Knowledge Management, however, is a new discipline and creativity and innovation need to be thought about in this new context. A framework is created in which to discuss these issues. The ways in which creativity is blocked are explored, including deep-seated beliefs about the world. A brief look is given to two tools to support Knowledge Management and creativity: one in the human domain - dialogue, and the other in the technology domain - groupware.","container-title":"Journal of Knowledge Management; Kempston","DOI":"http://dx.doi.org.sheffield.idm.oclc.org/10.1108/13673279810800744","ISSN":"13673270","issue":"1","language":"English","license":"Copyright IFS International Ltd. Sep 1998","page":"5-13","source":"ProQuest","title":"Knowledge, creativity and innovation","volume":"2","author":[{"family":"Gurteen","given":"David"}],"issued":{"date-parts":[["1998"]]}}}],"schema":"https://github.com/citation-style-language/schema/raw/master/csl-citation.json"}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(Gurteen, 1998)</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Data refers to raw numbers and facts, information is processed data, and knowledge is that information after being authenticated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{"citationID":"NR0p1fxw","properties":{"formattedCitation":"(Machlup, 2014)","plainCitation":"(Machlup, 2014)","noteIndex":0},"citationItems":[{"id":2043,"uris":["http://zotero.org/users/5709166/items/D33S8DEC"],"itemData":{"id":2043,"type":"book","abstract":"With this first of eight volumes, the eminent economist Fritz Machlup launches his monumental inquiry into the production of knowledge as an economic activity. Volume I presents the conceptual framework for this inquiry and falls into three parts: Types of Knowledge, Qualities of Knowledge, and Knowledge as a Product.Originally published in 1981.The Princeton Legacy Library uses the latest print-on-demand technology to again make available previously out-of-print books from the distinguished backlist of Princeton University Press. These editions preserve the original texts of these important books while presenting them in durable paperback and hardcover editions. The goal of the Princeton Legacy Library is to vastly increase access to the rich scholarly heritage found in the thousands of books published by Princeton University Press since its founding in 1905.","ISBN":"978-1-4008-5600-8","language":"en","note":"Google-Books-ID: DtT_AwAAQBAJ","number-of-pages":"304","publisher":"Princeton University Press","source":"Google Books","title":"Knowledge: Its Creation, Distribution and Economic Significance, Volume I: Knowledge and Knowledge Production","title-short":"Knowledge","author":[{"family":"Machlup","given":"Fritz"}],"issued":{"date-parts":[["2014",7,14]]}}}],"schema":"https://github.com/citation-style-language/schema/raw/master/csl-citation.json"}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(Machlup, 2014)</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There are several features distinguishing the three interrelated concepts, as summarised in Table 2.</w:t>
      </w:r>
      <w:bookmarkStart w:id="56" w:name="_Hlk23730851"/>
      <w:r w:rsidRPr="00F153F6">
        <w:rPr>
          <w:rFonts w:ascii="Times New Roman" w:hAnsi="Times New Roman" w:cs="Times New Roman"/>
          <w:color w:val="000000" w:themeColor="text1"/>
          <w:sz w:val="24"/>
          <w:szCs w:val="24"/>
        </w:rPr>
        <w:t>1.</w:t>
      </w:r>
      <w:bookmarkEnd w:id="56"/>
    </w:p>
    <w:p w14:paraId="325211C2" w14:textId="77777777" w:rsidR="00D94282" w:rsidRPr="00F153F6" w:rsidRDefault="00D94282" w:rsidP="004424B4">
      <w:pPr>
        <w:spacing w:line="360" w:lineRule="auto"/>
        <w:jc w:val="both"/>
        <w:rPr>
          <w:rFonts w:ascii="Times New Roman" w:hAnsi="Times New Roman" w:cs="Times New Roman"/>
          <w:color w:val="000000" w:themeColor="text1"/>
          <w:sz w:val="24"/>
          <w:szCs w:val="24"/>
        </w:rPr>
      </w:pPr>
    </w:p>
    <w:p w14:paraId="79D19E53" w14:textId="0684B8D6" w:rsidR="0010678A" w:rsidRPr="00F153F6" w:rsidRDefault="0010678A" w:rsidP="0010678A">
      <w:pPr>
        <w:pStyle w:val="Caption"/>
        <w:keepNext/>
        <w:spacing w:line="360" w:lineRule="auto"/>
        <w:jc w:val="both"/>
        <w:rPr>
          <w:rFonts w:ascii="Times New Roman" w:hAnsi="Times New Roman" w:cs="Times New Roman"/>
          <w:i w:val="0"/>
          <w:iCs w:val="0"/>
          <w:color w:val="auto"/>
          <w:sz w:val="22"/>
          <w:szCs w:val="22"/>
        </w:rPr>
      </w:pPr>
      <w:bookmarkStart w:id="57" w:name="_Toc119445137"/>
      <w:bookmarkStart w:id="58" w:name="_Toc119448002"/>
      <w:r w:rsidRPr="00F153F6">
        <w:rPr>
          <w:rFonts w:ascii="Times New Roman" w:hAnsi="Times New Roman" w:cs="Times New Roman"/>
          <w:i w:val="0"/>
          <w:iCs w:val="0"/>
          <w:color w:val="auto"/>
          <w:sz w:val="22"/>
          <w:szCs w:val="22"/>
        </w:rPr>
        <w:t xml:space="preserve">Table 2.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Table_2. \* ARABIC </w:instrText>
      </w:r>
      <w:r w:rsidRPr="00F153F6">
        <w:rPr>
          <w:rFonts w:ascii="Times New Roman" w:hAnsi="Times New Roman" w:cs="Times New Roman"/>
          <w:i w:val="0"/>
          <w:iCs w:val="0"/>
          <w:color w:val="auto"/>
          <w:sz w:val="22"/>
          <w:szCs w:val="22"/>
        </w:rPr>
        <w:fldChar w:fldCharType="separate"/>
      </w:r>
      <w:r w:rsidR="00D345CD" w:rsidRPr="00F153F6">
        <w:rPr>
          <w:rFonts w:ascii="Times New Roman" w:hAnsi="Times New Roman" w:cs="Times New Roman"/>
          <w:i w:val="0"/>
          <w:iCs w:val="0"/>
          <w:noProof/>
          <w:color w:val="auto"/>
          <w:sz w:val="22"/>
          <w:szCs w:val="22"/>
        </w:rPr>
        <w:t>1</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Key characteristics distinguishing data, information and knowledge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ADDIN ZOTERO_ITEM CSL_CITATION {"citationID":"lzYOhviQ","properties":{"formattedCitation":"(van Vuuren, 2011)","plainCitation":"(van Vuuren, 2011)","noteIndex":0},"citationItems":[{"id":496,"uris":["http://zotero.org/users/5709166/items/ZRGZR4JZ"],"itemData":{"id":496,"type":"article-journal","language":"en","page":"374","source":"Zotero","title":"Inter-Organisational Knowledge Sharing in the Public Sector: The Role of Social Capital and Information and Communication Technology","author":[{"family":"Vuuren","given":"Sally Jansen","non-dropping-particle":"van"}],"issued":{"date-parts":[["2011"]]}},"label":"page"}],"schema":"https://github.com/citation-style-language/schema/raw/master/csl-citation.json"}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color w:val="auto"/>
          <w:sz w:val="22"/>
          <w:szCs w:val="22"/>
        </w:rPr>
        <w:t>(van Vuuren, 2011)</w:t>
      </w:r>
      <w:bookmarkEnd w:id="57"/>
      <w:bookmarkEnd w:id="58"/>
      <w:r w:rsidRPr="00F153F6">
        <w:rPr>
          <w:rFonts w:ascii="Times New Roman" w:hAnsi="Times New Roman" w:cs="Times New Roman"/>
          <w:i w:val="0"/>
          <w:iCs w:val="0"/>
          <w:color w:val="auto"/>
          <w:sz w:val="22"/>
          <w:szCs w:val="22"/>
        </w:rPr>
        <w:fldChar w:fldCharType="end"/>
      </w:r>
    </w:p>
    <w:p w14:paraId="4AEAC256" w14:textId="6B1B389F" w:rsidR="002C1A2F" w:rsidRPr="00F153F6" w:rsidRDefault="002C1A2F" w:rsidP="004424B4">
      <w:pPr>
        <w:spacing w:line="360" w:lineRule="auto"/>
        <w:jc w:val="both"/>
        <w:rPr>
          <w:rFonts w:ascii="Times New Roman" w:hAnsi="Times New Roman" w:cs="Times New Roman"/>
          <w:color w:val="000000" w:themeColor="text1"/>
        </w:rPr>
      </w:pPr>
      <w:r w:rsidRPr="00F153F6">
        <w:rPr>
          <w:rFonts w:ascii="Times New Roman" w:hAnsi="Times New Roman" w:cs="Times New Roman"/>
          <w:noProof/>
          <w:color w:val="000000" w:themeColor="text1"/>
        </w:rPr>
        <w:drawing>
          <wp:inline distT="0" distB="0" distL="0" distR="0" wp14:anchorId="4D43DA0A" wp14:editId="3F10924A">
            <wp:extent cx="5731510" cy="3065780"/>
            <wp:effectExtent l="0" t="0" r="2540" b="127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065780"/>
                    </a:xfrm>
                    <a:prstGeom prst="rect">
                      <a:avLst/>
                    </a:prstGeom>
                    <a:noFill/>
                    <a:ln>
                      <a:noFill/>
                    </a:ln>
                  </pic:spPr>
                </pic:pic>
              </a:graphicData>
            </a:graphic>
          </wp:inline>
        </w:drawing>
      </w:r>
    </w:p>
    <w:p w14:paraId="63CA2072" w14:textId="77777777" w:rsidR="00D94282" w:rsidRPr="00F153F6" w:rsidRDefault="00D94282" w:rsidP="004424B4">
      <w:pPr>
        <w:spacing w:line="360" w:lineRule="auto"/>
        <w:jc w:val="both"/>
        <w:rPr>
          <w:rFonts w:ascii="Times New Roman" w:hAnsi="Times New Roman" w:cs="Times New Roman"/>
          <w:color w:val="000000" w:themeColor="text1"/>
        </w:rPr>
      </w:pPr>
    </w:p>
    <w:p w14:paraId="2B2E392E" w14:textId="28D0C1CE"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Drawing on the same structure but taking it further, Spiegler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{"citationID":"7zEP13bB","properties":{"formattedCitation":"(2000)","plainCitation":"(2000)","noteIndex":0},"citationItems":[{"id":2041,"uris":["http://zotero.org/users/5709166/items/47JUI4MQ"],"itemData":{"id":2041,"type":"article-journal","abstract":"Reading recent knowledge management (KM) articles, one cannot escape the impression of a recycled concept. Definitions of the new field look remarkably like those of information systems, decision support systems, and even data management of the past. Since we believe KM is essentially new, a refined articulation of KM is desirable. Our point of departure is the observation that yesterday’s data are today’s information, which will become tomorrow’s knowledge, and knowledge, in turn, recycles down the value chain back into information and into data. We outline a framework of KM that articulates the basic terms of this perpetual process. The proposed model defines operations and transformations of data-to-information, information-to-knowledge, and their reverse order. Such transformations correspond to a time dimension of pastpresent-future and resemble the process of abstraction. Based on our analysis, we conclude that knowledge management is truly a new idea, not a recycled concept.","container-title":"CAIS","DOI":"10.17705/1cais.00314","page":"14","source":"Semantic Scholar","title":"Knowledge Management: A New Idea Or a Recycled Concept?","title-short":"Knowledge Management","volume":"3","author":[{"family":"Spiegler","given":"Israel"}],"issued":{"date-parts":[["2000"]]}},"suppress-author":true}],"schema":"https://github.com/citation-style-language/schema/raw/master/csl-citation.json"}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(2000)</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develops the relationship among data, information and knowledge, as showed in Figure 2.1. He notes that data is </w:t>
      </w:r>
      <w:r w:rsidRPr="00F153F6">
        <w:rPr>
          <w:rFonts w:ascii="Times New Roman" w:hAnsi="Times New Roman" w:cs="Times New Roman"/>
          <w:color w:val="000000" w:themeColor="text1"/>
          <w:sz w:val="24"/>
          <w:szCs w:val="24"/>
        </w:rPr>
        <w:lastRenderedPageBreak/>
        <w:t xml:space="preserve">attributes, information is knowing-what, while knowledge means knowing-how and can reach to wisdom when knowing </w:t>
      </w:r>
      <w:r w:rsidR="00D94282" w:rsidRPr="00F153F6">
        <w:rPr>
          <w:rFonts w:ascii="Times New Roman" w:eastAsiaTheme="minorEastAsia" w:hAnsi="Times New Roman" w:cs="Times New Roman"/>
          <w:color w:val="000000" w:themeColor="text1"/>
          <w:sz w:val="24"/>
          <w:szCs w:val="24"/>
          <w:lang w:eastAsia="zh-CN"/>
        </w:rPr>
        <w:t>“</w:t>
      </w:r>
      <w:r w:rsidRPr="00F153F6">
        <w:rPr>
          <w:rFonts w:ascii="Times New Roman" w:hAnsi="Times New Roman" w:cs="Times New Roman"/>
          <w:color w:val="000000" w:themeColor="text1"/>
          <w:sz w:val="24"/>
          <w:szCs w:val="24"/>
        </w:rPr>
        <w:t>when</w:t>
      </w:r>
      <w:r w:rsidR="00D94282" w:rsidRPr="00F153F6">
        <w:rPr>
          <w:rFonts w:ascii="Times New Roman" w:hAnsi="Times New Roman" w:cs="Times New Roman"/>
          <w:color w:val="000000" w:themeColor="text1"/>
          <w:sz w:val="24"/>
          <w:szCs w:val="24"/>
        </w:rPr>
        <w:t>”</w:t>
      </w:r>
      <w:r w:rsidRPr="00F153F6">
        <w:rPr>
          <w:rFonts w:ascii="Times New Roman" w:hAnsi="Times New Roman" w:cs="Times New Roman"/>
          <w:color w:val="000000" w:themeColor="text1"/>
          <w:sz w:val="24"/>
          <w:szCs w:val="24"/>
        </w:rPr>
        <w:t xml:space="preserve"> or </w:t>
      </w:r>
      <w:r w:rsidR="00D94282" w:rsidRPr="00F153F6">
        <w:rPr>
          <w:rFonts w:ascii="Times New Roman" w:hAnsi="Times New Roman" w:cs="Times New Roman"/>
          <w:color w:val="000000" w:themeColor="text1"/>
          <w:sz w:val="24"/>
          <w:szCs w:val="24"/>
        </w:rPr>
        <w:t>“</w:t>
      </w:r>
      <w:r w:rsidRPr="00F153F6">
        <w:rPr>
          <w:rFonts w:ascii="Times New Roman" w:hAnsi="Times New Roman" w:cs="Times New Roman"/>
          <w:color w:val="000000" w:themeColor="text1"/>
          <w:sz w:val="24"/>
          <w:szCs w:val="24"/>
        </w:rPr>
        <w:t>if</w:t>
      </w:r>
      <w:r w:rsidR="00D94282" w:rsidRPr="00F153F6">
        <w:rPr>
          <w:rFonts w:ascii="Times New Roman" w:hAnsi="Times New Roman" w:cs="Times New Roman"/>
          <w:color w:val="000000" w:themeColor="text1"/>
          <w:sz w:val="24"/>
          <w:szCs w:val="24"/>
        </w:rPr>
        <w:t>”</w:t>
      </w:r>
      <w:r w:rsidRPr="00F153F6">
        <w:rPr>
          <w:rFonts w:ascii="Times New Roman" w:hAnsi="Times New Roman" w:cs="Times New Roman"/>
          <w:color w:val="000000" w:themeColor="text1"/>
          <w:sz w:val="24"/>
          <w:szCs w:val="24"/>
        </w:rPr>
        <w:t xml:space="preserve">. This view emphasises an evolutionary view of knowledge. These various perspectives of knowledge provide a fundamental understanding of the nature of knowledge for this research. </w:t>
      </w:r>
    </w:p>
    <w:p w14:paraId="1F614F2C" w14:textId="77777777" w:rsidR="00D94282" w:rsidRPr="00F153F6" w:rsidRDefault="00D94282" w:rsidP="004424B4">
      <w:pPr>
        <w:spacing w:line="360" w:lineRule="auto"/>
        <w:jc w:val="both"/>
        <w:rPr>
          <w:rFonts w:ascii="Times New Roman" w:hAnsi="Times New Roman" w:cs="Times New Roman"/>
          <w:color w:val="000000" w:themeColor="text1"/>
          <w:sz w:val="24"/>
          <w:szCs w:val="24"/>
        </w:rPr>
      </w:pPr>
    </w:p>
    <w:p w14:paraId="7648C0EF" w14:textId="77777777" w:rsidR="0010678A" w:rsidRPr="00F153F6" w:rsidRDefault="002C1A2F" w:rsidP="0010678A">
      <w:pPr>
        <w:keepNext/>
        <w:spacing w:line="360" w:lineRule="auto"/>
        <w:jc w:val="center"/>
      </w:pPr>
      <w:r w:rsidRPr="00F153F6">
        <w:rPr>
          <w:rFonts w:ascii="Times New Roman" w:hAnsi="Times New Roman" w:cs="Times New Roman"/>
          <w:noProof/>
          <w:color w:val="000000" w:themeColor="text1"/>
        </w:rPr>
        <w:drawing>
          <wp:inline distT="0" distB="0" distL="0" distR="0" wp14:anchorId="79C906DB" wp14:editId="70096B2A">
            <wp:extent cx="5038725" cy="2938046"/>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5317" cy="2941890"/>
                    </a:xfrm>
                    <a:prstGeom prst="rect">
                      <a:avLst/>
                    </a:prstGeom>
                    <a:noFill/>
                    <a:ln>
                      <a:noFill/>
                    </a:ln>
                  </pic:spPr>
                </pic:pic>
              </a:graphicData>
            </a:graphic>
          </wp:inline>
        </w:drawing>
      </w:r>
    </w:p>
    <w:p w14:paraId="27546EAE" w14:textId="62E1D4A1" w:rsidR="002C1A2F" w:rsidRPr="00F153F6" w:rsidRDefault="0010678A" w:rsidP="0010678A">
      <w:pPr>
        <w:pStyle w:val="Caption"/>
        <w:jc w:val="center"/>
        <w:rPr>
          <w:rFonts w:ascii="Times New Roman" w:hAnsi="Times New Roman" w:cs="Times New Roman"/>
          <w:i w:val="0"/>
          <w:iCs w:val="0"/>
          <w:color w:val="auto"/>
          <w:sz w:val="22"/>
          <w:szCs w:val="22"/>
        </w:rPr>
      </w:pPr>
      <w:bookmarkStart w:id="59" w:name="_Toc119448446"/>
      <w:r w:rsidRPr="00F153F6">
        <w:rPr>
          <w:rFonts w:ascii="Times New Roman" w:hAnsi="Times New Roman" w:cs="Times New Roman"/>
          <w:i w:val="0"/>
          <w:iCs w:val="0"/>
          <w:color w:val="auto"/>
          <w:sz w:val="22"/>
          <w:szCs w:val="22"/>
        </w:rPr>
        <w:t xml:space="preserve">Figure 2.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Figure_2. \* ARABIC </w:instrText>
      </w:r>
      <w:r w:rsidRPr="00F153F6">
        <w:rPr>
          <w:rFonts w:ascii="Times New Roman" w:hAnsi="Times New Roman" w:cs="Times New Roman"/>
          <w:i w:val="0"/>
          <w:iCs w:val="0"/>
          <w:color w:val="auto"/>
          <w:sz w:val="22"/>
          <w:szCs w:val="22"/>
        </w:rPr>
        <w:fldChar w:fldCharType="separate"/>
      </w:r>
      <w:r w:rsidR="00D345CD" w:rsidRPr="00F153F6">
        <w:rPr>
          <w:rFonts w:ascii="Times New Roman" w:hAnsi="Times New Roman" w:cs="Times New Roman"/>
          <w:i w:val="0"/>
          <w:iCs w:val="0"/>
          <w:noProof/>
          <w:color w:val="auto"/>
          <w:sz w:val="22"/>
          <w:szCs w:val="22"/>
        </w:rPr>
        <w:t>1</w:t>
      </w:r>
      <w:r w:rsidRPr="00F153F6">
        <w:rPr>
          <w:rFonts w:ascii="Times New Roman" w:hAnsi="Times New Roman" w:cs="Times New Roman"/>
          <w:i w:val="0"/>
          <w:iCs w:val="0"/>
          <w:color w:val="auto"/>
          <w:sz w:val="22"/>
          <w:szCs w:val="22"/>
        </w:rPr>
        <w:fldChar w:fldCharType="end"/>
      </w:r>
      <w:r w:rsidR="00D345CD" w:rsidRPr="00F153F6">
        <w:rPr>
          <w:rFonts w:ascii="Times New Roman" w:hAnsi="Times New Roman" w:cs="Times New Roman"/>
          <w:i w:val="0"/>
          <w:iCs w:val="0"/>
          <w:color w:val="auto"/>
          <w:sz w:val="22"/>
          <w:szCs w:val="22"/>
        </w:rPr>
        <w:t xml:space="preserve">  Knowledge terms and transformations </w:t>
      </w:r>
      <w:r w:rsidR="00D345CD" w:rsidRPr="00F153F6">
        <w:rPr>
          <w:rFonts w:ascii="Times New Roman" w:hAnsi="Times New Roman" w:cs="Times New Roman"/>
          <w:i w:val="0"/>
          <w:iCs w:val="0"/>
          <w:color w:val="auto"/>
          <w:sz w:val="22"/>
          <w:szCs w:val="22"/>
        </w:rPr>
        <w:fldChar w:fldCharType="begin"/>
      </w:r>
      <w:r w:rsidR="00D345CD" w:rsidRPr="00F153F6">
        <w:rPr>
          <w:rFonts w:ascii="Times New Roman" w:hAnsi="Times New Roman" w:cs="Times New Roman"/>
          <w:i w:val="0"/>
          <w:iCs w:val="0"/>
          <w:color w:val="auto"/>
          <w:sz w:val="22"/>
          <w:szCs w:val="22"/>
        </w:rPr>
        <w:instrText xml:space="preserve"> ADDIN ZOTERO_ITEM CSL_CITATION {"citationID":"bgHjlHls","properties":{"formattedCitation":"(Spiegler, 2000)","plainCitation":"(Spiegler, 2000)","noteIndex":0},"citationItems":[{"id":2041,"uris":["http://zotero.org/users/5709166/items/47JUI4MQ"],"itemData":{"id":2041,"type":"article-journal","abstract":"Reading recent knowledge management (KM) articles, one cannot escape the impression of a recycled concept. Definitions of the new field look remarkably like those of information systems, decision support systems, and even data management of the past. Since we believe KM is essentially new, a refined articulation of KM is desirable. Our point of departure is the observation that yesterday’s data are today’s information, which will become tomorrow’s knowledge, and knowledge, in turn, recycles down the value chain back into information and into data. We outline a framework of KM that articulates the basic terms of this perpetual process. The proposed model defines operations and transformations of data-to-information, information-to-knowledge, and their reverse order. Such transformations correspond to a time dimension of pastpresent-future and resemble the process of abstraction. Based on our analysis, we conclude that knowledge management is truly a new idea, not a recycled concept.","container-title":"CAIS","DOI":"10.17705/1cais.00314","page":"14","source":"Semantic Scholar","title":"Knowledge Management: A New Idea Or a Recycled Concept?","title-short":"Knowledge Management","volume":"3","author":[{"family":"Spiegler","given":"Israel"}],"issued":{"date-parts":[["2000"]]}}}],"schema":"https://github.com/citation-style-language/schema/raw/master/csl-citation.json"} </w:instrText>
      </w:r>
      <w:r w:rsidR="00D345CD" w:rsidRPr="00F153F6">
        <w:rPr>
          <w:rFonts w:ascii="Times New Roman" w:hAnsi="Times New Roman" w:cs="Times New Roman"/>
          <w:i w:val="0"/>
          <w:iCs w:val="0"/>
          <w:color w:val="auto"/>
          <w:sz w:val="22"/>
          <w:szCs w:val="22"/>
        </w:rPr>
        <w:fldChar w:fldCharType="separate"/>
      </w:r>
      <w:r w:rsidR="00D345CD" w:rsidRPr="00F153F6">
        <w:rPr>
          <w:rFonts w:ascii="Times New Roman" w:hAnsi="Times New Roman" w:cs="Times New Roman"/>
          <w:i w:val="0"/>
          <w:iCs w:val="0"/>
          <w:color w:val="auto"/>
          <w:sz w:val="22"/>
          <w:szCs w:val="22"/>
        </w:rPr>
        <w:t>(Spiegler, 2000)</w:t>
      </w:r>
      <w:bookmarkEnd w:id="59"/>
      <w:r w:rsidR="00D345CD" w:rsidRPr="00F153F6">
        <w:rPr>
          <w:rFonts w:ascii="Times New Roman" w:hAnsi="Times New Roman" w:cs="Times New Roman"/>
          <w:i w:val="0"/>
          <w:iCs w:val="0"/>
          <w:color w:val="auto"/>
          <w:sz w:val="22"/>
          <w:szCs w:val="22"/>
        </w:rPr>
        <w:fldChar w:fldCharType="end"/>
      </w:r>
    </w:p>
    <w:p w14:paraId="31AA326E" w14:textId="77777777" w:rsidR="00D345CD" w:rsidRPr="00F153F6" w:rsidRDefault="00D345CD" w:rsidP="00D345CD">
      <w:pPr>
        <w:rPr>
          <w:lang w:eastAsia="zh-CN"/>
        </w:rPr>
      </w:pPr>
    </w:p>
    <w:p w14:paraId="07C47CB1" w14:textId="77777777" w:rsidR="002C1A2F" w:rsidRPr="00F153F6" w:rsidRDefault="002C1A2F" w:rsidP="004424B4">
      <w:pPr>
        <w:pStyle w:val="Heading3"/>
        <w:spacing w:line="360" w:lineRule="auto"/>
        <w:ind w:left="720"/>
        <w:jc w:val="both"/>
        <w:rPr>
          <w:rFonts w:ascii="Times New Roman" w:hAnsi="Times New Roman" w:cs="Times New Roman"/>
          <w:b/>
          <w:color w:val="000000" w:themeColor="text1"/>
          <w:sz w:val="28"/>
          <w:szCs w:val="28"/>
        </w:rPr>
      </w:pPr>
      <w:bookmarkStart w:id="60" w:name="_Toc50065926"/>
      <w:bookmarkStart w:id="61" w:name="_Toc118371086"/>
      <w:bookmarkStart w:id="62" w:name="_Toc133252109"/>
      <w:bookmarkStart w:id="63" w:name="OLE_LINK200"/>
      <w:bookmarkStart w:id="64" w:name="OLE_LINK201"/>
      <w:bookmarkStart w:id="65" w:name="OLE_LINK221"/>
      <w:bookmarkStart w:id="66" w:name="OLE_LINK220"/>
      <w:r w:rsidRPr="00F153F6">
        <w:rPr>
          <w:rFonts w:ascii="Times New Roman" w:hAnsi="Times New Roman" w:cs="Times New Roman"/>
          <w:b/>
          <w:color w:val="000000" w:themeColor="text1"/>
          <w:sz w:val="28"/>
          <w:szCs w:val="28"/>
        </w:rPr>
        <w:t>2.2.2 Knowledge and Knowing</w:t>
      </w:r>
      <w:bookmarkEnd w:id="60"/>
      <w:bookmarkEnd w:id="61"/>
      <w:bookmarkEnd w:id="62"/>
    </w:p>
    <w:p w14:paraId="17F0482D" w14:textId="77777777"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In knowledge management literature, knowledge is conceptualised from various dimensions. </w:t>
      </w:r>
      <w:bookmarkStart w:id="67" w:name="OLE_LINK394"/>
      <w:bookmarkStart w:id="68" w:name="OLE_LINK395"/>
      <w:r w:rsidRPr="00F153F6">
        <w:rPr>
          <w:rFonts w:ascii="Times New Roman" w:hAnsi="Times New Roman" w:cs="Times New Roman"/>
          <w:color w:val="000000" w:themeColor="text1"/>
          <w:sz w:val="24"/>
          <w:szCs w:val="24"/>
        </w:rPr>
        <w:t xml:space="preserve">Schultze and Stabell </w:t>
      </w:r>
      <w:bookmarkStart w:id="69" w:name="OLE_LINK25"/>
      <w:bookmarkStart w:id="70" w:name="OLE_LINK26"/>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{"citationID":"a1vfiv9gi1i","properties":{"formattedCitation":"(2004)","plainCitation":"(2004)","noteIndex":0},"citationItems":[{"id":2357,"uris":["http://zotero.org/users/5709166/items/HER3VGQU"],"itemData":{"id":2357,"type":"article-journal","abstract":"Even though knowledge management scholars generally advocate explicit management of knowledge, there is research that cautions against the unintended consequences of such efforts. Some researchers go as far as arguing that knowledge and management are contradictory concepts (Alvesson and Kärreman, 2001). This paper explores the apparent double-edged nature of knowledge management by developing a theory-based framework that highlights different fundamental assumptions about knowledge and its management. This framework, which is an adaptation of Burrell and Morgan's four paradigms of social and organizational inquiry, distinguishes among a neo-functionalist, a constructivist, a critical and a dialogic discourse. We use the contradiction of managing tacit knowledge, which has been highlighted in the knowledge management literature, as an analytical device to explore the four discourses in more detail. We show how notions of knowledge, and what it means to manage knowledge, vary across the four discourses. We conclude that all four discourses need to be appreciated, understood and represented in knowledge management research for this area of inquiry to deal with the rich and problematic nature of managing knowledge in practice.","container-title":"Journal of Management Studies","DOI":"10.1111/j.1467-6486.2004.00444.x","ISSN":"1467-6486","issue":"4","language":"en","note":"_eprint: https://onlinelibrary.wiley.com/doi/pdf/10.1111/j.1467-6486.2004.00444.x","page":"549-573","source":"Wiley Online Library","title":"Knowing What You Don’t Know? Discourses and Contradictions in Knowledge Management Research","title-short":"Knowing What You Don’t Know?","volume":"41","author":[{"family":"Schultze","given":"Ulrike"},{"family":"Stabell","given":"Charles"}],"issued":{"date-parts":[["2004"]]}},"suppress-author":true}],"schema":"https://github.com/citation-style-language/schema/raw/master/csl-citation.json"}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(2004)</w:t>
      </w:r>
      <w:r w:rsidRPr="00F153F6">
        <w:rPr>
          <w:rFonts w:ascii="Times New Roman" w:hAnsi="Times New Roman" w:cs="Times New Roman"/>
          <w:color w:val="000000" w:themeColor="text1"/>
          <w:sz w:val="24"/>
          <w:szCs w:val="24"/>
        </w:rPr>
        <w:fldChar w:fldCharType="end"/>
      </w:r>
      <w:bookmarkEnd w:id="69"/>
      <w:bookmarkEnd w:id="70"/>
      <w:r w:rsidRPr="00F153F6">
        <w:rPr>
          <w:rFonts w:ascii="Times New Roman" w:hAnsi="Times New Roman" w:cs="Times New Roman"/>
          <w:color w:val="000000" w:themeColor="text1"/>
          <w:sz w:val="24"/>
          <w:szCs w:val="24"/>
        </w:rPr>
        <w:t xml:space="preserve"> suggests two epistemology perspectives to understand the notion of knowledge</w:t>
      </w:r>
      <w:bookmarkEnd w:id="67"/>
      <w:bookmarkEnd w:id="68"/>
      <w:r w:rsidRPr="00F153F6">
        <w:rPr>
          <w:rFonts w:ascii="Times New Roman" w:hAnsi="Times New Roman" w:cs="Times New Roman"/>
          <w:color w:val="000000" w:themeColor="text1"/>
          <w:sz w:val="24"/>
          <w:szCs w:val="24"/>
        </w:rPr>
        <w:t xml:space="preserve">, which reflects a construction of the world in terms of dualism and duality. Dualism reflects a binary and mutually exclusive world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{"citationID":"a1775jgrjc3","properties":{"formattedCitation":"(Kondo, 2009)","plainCitation":"(Kondo, 2009)","noteIndex":0},"citationItems":[{"id":2356,"uris":["http://zotero.org/users/5709166/items/BEVHVFGF"],"itemData":{"id":2356,"type":"book","abstract":"\"The ethnography of Japan is currently being reshaped by a new generation of Japanologists, and the present work certainly deserves a place in this body of literature. . . . The combination of utility with beauty makes Kondo's book required reading, for those with an interest not only in Japan but also in reflexive anthropology, women's studies, field methods, the anthropology of work, social psychology, Asian Americans, and even modern literature.\"—Paul H. Noguchi, American Anthropologist  \"Kondo's work is significant because she goes beyond disharmony, insisting on complexity. Kondo shows that inequalities are not simply oppressive-they are meaningful ways to establish identities.\"—Nancy Rosenberger, Journal of Asian Studies","ISBN":"978-0-226-09815-9","language":"en","note":"Google-Books-ID: _YZoAAAAQBAJ","number-of-pages":"366","publisher":"University of Chicago Press","source":"Google Books","title":"Crafting Selves: Power, Gender, and Discourses of Identity in a Japanese Workplace","title-short":"Crafting Selves","author":[{"family":"Kondo","given":"Dorinne K."}],"issued":{"date-parts":[["2009",2,20]]}}}],"schema":"https://github.com/citation-style-language/schema/raw/master/csl-citation.json"}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(Kondo, 2009)</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in which </w:t>
      </w:r>
      <w:bookmarkStart w:id="71" w:name="OLE_LINK27"/>
      <w:bookmarkStart w:id="72" w:name="OLE_LINK28"/>
      <w:r w:rsidRPr="00F153F6">
        <w:rPr>
          <w:rFonts w:ascii="Times New Roman" w:hAnsi="Times New Roman" w:cs="Times New Roman"/>
          <w:color w:val="000000" w:themeColor="text1"/>
          <w:sz w:val="24"/>
          <w:szCs w:val="24"/>
        </w:rPr>
        <w:t xml:space="preserve">knowledge is viewed as an object that can be separated from the knower </w:t>
      </w:r>
      <w:bookmarkEnd w:id="71"/>
      <w:bookmarkEnd w:id="72"/>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{"citationID":"a13l29acv5n","properties":{"formattedCitation":"(Orlikowski &amp; Robey, 1991; Schultze &amp; Stabell, 2004)","plainCitation":"(Orlikowski &amp; Robey, 1991; Schultze &amp; Stabell, 2004)","noteIndex":0},"citationItems":[{"id":2355,"uris":["http://zotero.org/users/5709166/items/2M4I5Q4U"],"itemData":{"id":2355,"type":"article-journal","abstract":"Recent work in social theory departs from prior traditions in proposing that social phenomena can be understood as comprising both subjective and objective elements. We apply this premise of duality to understanding the relationship between information technology and organizations. We construct a theoretical framework in which the development and deployment of information technology in organizations is a social phenomenon, and in which the organizational consequences of technology are products of both material and social dimensions. The framework is based on Giddens' theory of structuration, and it allows us to progress beyond several of the false dichotomies (subjective vs objective, socially constructed vs material, macro vs micro, and qualitative vs quantitative) that persist in investigations of the interaction between organizations and information technology. The framework can be used to guide studies in two main areas of information systems research— systems development and the organizational consequences of using information technology.","archive":"JSTOR","container-title":"Information Systems Research","ISSN":"1047-7047","issue":"2","note":"publisher: INFORMS","page":"143-169","source":"JSTOR","title":"Information Technology and the Structuring of Organizations","volume":"2","author":[{"family":"Orlikowski","given":"Wanda J."},{"family":"Robey","given":"Daniel"}],"issued":{"date-parts":[["1991"]]}}},{"id":2357,"uris":["http://zotero.org/users/5709166/items/HER3VGQU"],"itemData":{"id":2357,"type":"article-journal","abstract":"Even though knowledge management scholars generally advocate explicit management of knowledge, there is research that cautions against the unintended consequences of such efforts. Some researchers go as far as arguing that knowledge and management are contradictory concepts (Alvesson and Kärreman, 2001). This paper explores the apparent double-edged nature of knowledge management by developing a theory-based framework that highlights different fundamental assumptions about knowledge and its management. This framework, which is an adaptation of Burrell and Morgan's four paradigms of social and organizational inquiry, distinguishes among a neo-functionalist, a constructivist, a critical and a dialogic discourse. We use the contradiction of managing tacit knowledge, which has been highlighted in the knowledge management literature, as an analytical device to explore the four discourses in more detail. We show how notions of knowledge, and what it means to manage knowledge, vary across the four discourses. We conclude that all four discourses need to be appreciated, understood and represented in knowledge management research for this area of inquiry to deal with the rich and problematic nature of managing knowledge in practice.","container-title":"Journal of Management Studies","DOI":"10.1111/j.1467-6486.2004.00444.x","ISSN":"1467-6486","issue":"4","language":"en","note":"_eprint: https://onlinelibrary.wiley.com/doi/pdf/10.1111/j.1467-6486.2004.00444.x","page":"549-573","source":"Wiley Online Library","title":"Knowing What You Don’t Know? Discourses and Contradictions in Knowledge Management Research","title-short":"Knowing What You Don’t Know?","volume":"41","author":[{"family":"Schultze","given":"Ulrike"},{"family":"Stabell","given":"Charles"}],"issued":{"date-parts":[["2004"]]}}}],"schema":"https://github.com/citation-style-language/schema/raw/master/csl-citation.json"}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(Orlikowski &amp; Robey, 1991; Schultze &amp; Stabell, 2004)</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Duality reflects an integrated and mutually constitutive world in which knowledge is viewed as a state of mind that is continually being shaped by social practices, so called ‘knowing’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{"citationID":"a2917l6hq6h","properties":{"formattedCitation":"(Alavi &amp; Leidner, 2001; Tsoukas, 1996)","plainCitation":"(Alavi &amp; Leidner, 2001; Tsoukas, 1996)","noteIndex":0},"citationItems":[{"id":495,"uris":["http://zotero.org/users/5709166/items/WI8WHJPC"],"itemData":{"id":495,"type":"article-journal","abstract":"Knowledge is a broad and abstract notion that has defined epistemological debate in western philosophy since the classical Greek era. In the past few years, however, there has been a growing interest in treating knowledge as a significant organizational resource. Consistent with the interest in organizational knowledge and knowledge management (KM), IS researchers have begun promoting a class of information systems, referred to as knowledge management systems (KMS). The objective of KMS is to support creation, transfer, and application of knowledge in organizations. Knowledge and knowledge management are complex and multi-faceted concepts. Thus, effective development and implementation of KMS requires a foundation in several rich literatures. To be credible, KMS research and development should preserve and build upon the significant literature that exists in different but rzelated fields. This paper provides a review and interpretation of knowledge management literatures in different fields with an eye toward identifying the important areas for research. We present a detailed process view of organizational knowledge management with a focus on the potential role of information technology in this process. Drawing upon the literature review and analysis of knowledge management processes, we discuss several important research issues surrounding the knowledge management processes and the role of IT in support of these processes.","archive":"JSTOR","container-title":"MIS Quarterly","DOI":"10.2307/3250961","ISSN":"0276-7783","issue":"1","page":"107-136","source":"JSTOR","title":"Review: Knowledge Management and Knowledge Management Systems: Conceptual Foundations and Research Issues","title-short":"Review","volume":"25","author":[{"family":"Alavi","given":"Maryam"},{"family":"Leidner","given":"Dorothy E."}],"issued":{"date-parts":[["2001"]]}}},{"id":2025,"uris":["http://zotero.org/users/5709166/items/H29J29BN"],"itemData":{"id":2025,"type":"article-journal","abstract":"The organizational problem firms face is the utilization of knowledge which is not, and cannot be, known by a single agent. Even more importantly, no single agent can fully specify in advance what kind of practical knowledge is going to be relevant, when and where. Firms, therefore, are distributed knowledge systems in a strong sense: they are decentered systems, lacking an overseeing ‘mind’. The knowledge they need to draw upon is inherently indeterminate and continually emerging; it is not self-contained. Individuals' stock of knowledge consists of (a) role-related normative expectations; (b) dispositions, which have been formed in the course of past socializations; and (c) local knowledge of particular circumstances of time and place. A firm has greater-or-lesser control over normative expectations, but very limited control over the other two. At any point in time, a firm's knowledge is the indeterminate outcome of individuals attempting to manage the inevitable tensions between normative expectations, dispositions, and local contexts.","container-title":"Strategic Management Journal","DOI":"10.1002/smj.4250171104","ISSN":"1097-0266","issue":"S2","language":"en","page":"11-25","source":"Wiley Online Library","title":"The firm as a distributed knowledge system: A constructionist approach","title-short":"The firm as a distributed knowledge system","volume":"17","author":[{"family":"Tsoukas","given":"Haridimos"}],"issued":{"date-parts":[["1996"]]}}}],"schema":"https://github.com/citation-style-language/schema/raw/master/csl-citation.json"}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(Alavi &amp; Leidner, 2001; Tsoukas, 1996)</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These two worldviews underlie the conceptualisation of knowledge towards two epistemologies: objectivist perspective and practice-based perspective on knowledge </w:t>
      </w:r>
      <w:bookmarkStart w:id="73" w:name="OLE_LINK29"/>
      <w:bookmarkStart w:id="74" w:name="OLE_LINK30"/>
      <w:bookmarkStart w:id="75" w:name="OLE_LINK51"/>
      <w:bookmarkStart w:id="76" w:name="OLE_LINK396"/>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{"citationID":"a2le8pj0s48","properties":{"formattedCitation":"(Hislop et al., 2018)","plainCitation":"(Hislop et al., 2018)","noteIndex":0},"citationItems":[{"id":475,"uris":["http://zotero.org/users/5709166/items/K99MV3Q7"],"itemData":{"id":475,"type":"book","abstract":"Knowledge Management in Organizations is the most comprehensive and critical textbook on the subject. Encompassing a number of perspectives - including organizational behaviour, HRM, systems, and sociocultural factors - the text introduces the concept of knowledge before examining how it can be effectively managed within the organizations in which we work. The international author team ensure the broad theoretical coverage is brought to life with practical illustrations and case studies exploring topics such as knowledge sharing via social media, knowledge transfer in different cultural contexts, and the interaction of leadership, culture, and knowledge management in Australian SMEs. Examples are diverse, international, and highly relevant to each chapter, showcasing the significance of knowledge management in all types of organizational settings. 'Time to Reflect' boxes, review and discussion questions, and a question or activity to accompany every illustration and case study ensure students are challenged to engage with the subject critically and reflectively. Despite the critical approach and depth of coverage, the text remains accessible through its widely praised writing style, coherent structure, in-chapter definition boxes, and manageable size. This book is accompanied by a selection of online resources: For students: Extra online casesWeb links to additional resources and relevant websitesExtension questions For lecturers: Suggested exam questions Suggested essay/coursework questionsSuggestions for classroom activities Figures and tables from the book","ISBN":"978-0-19-872401-8","language":"en","note":"Google-Books-ID: fhFQDwAAQBAJ","number-of-pages":"345","publisher":"Oxford University Press","source":"Google Books","title":"Knowledge Management in Organizations: A Critical Introduction","title-short":"Knowledge Management in Organizations","author":[{"family":"Hislop","given":"Donald"},{"family":"Bosua","given":"Rachelle"},{"family":"Helms","given":"Remko"}],"issued":{"date-parts":[["2018",3,29]]}}}],"schema":"https://github.com/citation-style-language/schema/raw/master/csl-citation.json"}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(Hislop et al., 2018)</w:t>
      </w:r>
      <w:r w:rsidRPr="00F153F6">
        <w:rPr>
          <w:rFonts w:ascii="Times New Roman" w:hAnsi="Times New Roman" w:cs="Times New Roman"/>
          <w:color w:val="000000" w:themeColor="text1"/>
          <w:sz w:val="24"/>
          <w:szCs w:val="24"/>
        </w:rPr>
        <w:fldChar w:fldCharType="end"/>
      </w:r>
      <w:bookmarkEnd w:id="73"/>
      <w:bookmarkEnd w:id="74"/>
      <w:bookmarkEnd w:id="75"/>
      <w:bookmarkEnd w:id="76"/>
      <w:r w:rsidRPr="00F153F6">
        <w:rPr>
          <w:rFonts w:ascii="Times New Roman" w:hAnsi="Times New Roman" w:cs="Times New Roman"/>
          <w:color w:val="000000" w:themeColor="text1"/>
          <w:sz w:val="24"/>
          <w:szCs w:val="24"/>
        </w:rPr>
        <w:t>.</w:t>
      </w:r>
    </w:p>
    <w:p w14:paraId="780DB0D3" w14:textId="77777777" w:rsidR="002C1A2F" w:rsidRPr="00F153F6" w:rsidRDefault="002C1A2F" w:rsidP="004424B4">
      <w:pPr>
        <w:pStyle w:val="Heading4"/>
        <w:spacing w:line="360" w:lineRule="auto"/>
        <w:ind w:firstLine="720"/>
        <w:jc w:val="both"/>
        <w:rPr>
          <w:rFonts w:ascii="Times New Roman" w:hAnsi="Times New Roman" w:cs="Times New Roman"/>
          <w:color w:val="000000" w:themeColor="text1"/>
          <w:sz w:val="28"/>
          <w:szCs w:val="28"/>
        </w:rPr>
      </w:pPr>
      <w:bookmarkStart w:id="77" w:name="OLE_LINK52"/>
      <w:bookmarkStart w:id="78" w:name="OLE_LINK53"/>
      <w:bookmarkStart w:id="79" w:name="OLE_LINK205"/>
      <w:bookmarkStart w:id="80" w:name="OLE_LINK204"/>
      <w:bookmarkEnd w:id="63"/>
      <w:bookmarkEnd w:id="64"/>
      <w:r w:rsidRPr="00F153F6">
        <w:rPr>
          <w:rFonts w:ascii="Times New Roman" w:hAnsi="Times New Roman" w:cs="Times New Roman"/>
          <w:color w:val="000000" w:themeColor="text1"/>
          <w:sz w:val="28"/>
          <w:szCs w:val="28"/>
        </w:rPr>
        <w:lastRenderedPageBreak/>
        <w:t xml:space="preserve">2.2.2.1 Objectivist Perspective of Knowledge </w:t>
      </w:r>
    </w:p>
    <w:bookmarkEnd w:id="77"/>
    <w:bookmarkEnd w:id="78"/>
    <w:p w14:paraId="40457D9F" w14:textId="586F2E41"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From an objectivist perspective of knowledge, several assumptions can be made as to the objectivist character of knowledge. One such assumption is that knowledge is viewed as an object and can be separated from the knower who possess the knowledge </w:t>
      </w:r>
      <w:bookmarkStart w:id="81" w:name="OLE_LINK397"/>
      <w:bookmarkStart w:id="82" w:name="OLE_LINK398"/>
      <w:r w:rsidRPr="00F153F6">
        <w:rPr>
          <w:rFonts w:ascii="Times New Roman" w:hAnsi="Times New Roman" w:cs="Times New Roman"/>
          <w:color w:val="000000" w:themeColor="text1"/>
          <w:sz w:val="24"/>
          <w:szCs w:val="24"/>
        </w:rPr>
        <w:fldChar w:fldCharType="begin"/>
      </w:r>
      <w:r w:rsidR="00FA2025" w:rsidRPr="00F153F6">
        <w:rPr>
          <w:rFonts w:ascii="Times New Roman" w:hAnsi="Times New Roman" w:cs="Times New Roman"/>
          <w:color w:val="000000" w:themeColor="text1"/>
          <w:sz w:val="24"/>
          <w:szCs w:val="24"/>
        </w:rPr>
        <w:instrText xml:space="preserve"> ADDIN ZOTERO_ITEM CSL_CITATION {"citationID":"S35Z8ANZ","properties":{"formattedCitation":"(Hartmann &amp; Dor\\uc0\\u233{}e, 2015)","plainCitation":"(Hartmann &amp; Dorée, 2015)","noteIndex":0},"citationItems":[{"id":2352,"uris":["http://zotero.org/users/5709166/items/5GJA62NY"],"itemData":{"id":2352,"type":"article-journal","abstract":"Although learning from projects has gained much importance in research and practice, progress in understanding and improving inter-project learning appears to be slight. We argue that the adoption of a sender/receiver approach limits the learning effectiveness in project-based organisations. Drawing upon the notion of learning as a social activity embedded in an organisational context, we develop the argument that learning from projects takes place within projects rooted in the historical, organisational and cultural context of previous and current projects. We underpin our argument with results from a multiple-case study on learning in construction organisations. We show that learning cannot be segregated from immediate practice and occurs when individuals engage in project work. Particularly the orientation towards project goals and project-overarching ambitions or trajectories can serve as contextual binder for learning in and between projects.","container-title":"International Journal of Project Management","DOI":"10.1016/j.ijproman.2014.07.006","ISSN":"0263-7863","issue":"2","journalAbbreviation":"International Journal of Project Management","language":"en","page":"341-351","source":"ScienceDirect","title":"Learning between projects: More than sending messages in bottles","title-short":"Learning between projects","volume":"33","author":[{"family":"Hartmann","given":"Andreas"},{"family":"Dorée","given":"André"}],"issued":{"date-parts":[["2015",2,1]]}}}],"schema":"https://github.com/citation-style-language/schema/raw/master/csl-citation.json"}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(Hartmann &amp; Dorée, 2015)</w:t>
      </w:r>
      <w:r w:rsidRPr="00F153F6">
        <w:rPr>
          <w:rFonts w:ascii="Times New Roman" w:hAnsi="Times New Roman" w:cs="Times New Roman"/>
          <w:color w:val="000000" w:themeColor="text1"/>
          <w:sz w:val="24"/>
          <w:szCs w:val="24"/>
        </w:rPr>
        <w:fldChar w:fldCharType="end"/>
      </w:r>
      <w:bookmarkEnd w:id="81"/>
      <w:bookmarkEnd w:id="82"/>
      <w:r w:rsidRPr="00F153F6">
        <w:rPr>
          <w:rFonts w:ascii="Times New Roman" w:hAnsi="Times New Roman" w:cs="Times New Roman"/>
          <w:color w:val="000000" w:themeColor="text1"/>
          <w:sz w:val="24"/>
          <w:szCs w:val="24"/>
        </w:rPr>
        <w:t xml:space="preserve">. Based on this assumption, knowledge as an object that can be codified into texts, documents, or technologies and made explicit by and separated from individuals </w:t>
      </w:r>
      <w:bookmarkStart w:id="83" w:name="OLE_LINK399"/>
      <w:bookmarkStart w:id="84" w:name="OLE_LINK400"/>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{"citationID":"a12tt2ckjrf","properties":{"formattedCitation":"(King &amp; Marks, 2008)","plainCitation":"(King &amp; Marks, 2008)","noteIndex":0},"citationItems":[{"id":2351,"uris":["http://zotero.org/users/5709166/items/W3REL3VD"],"itemData":{"id":2351,"type":"article-journal","abstract":"Based on both economic and sociological theory, the effects of supervisory control and organizational support on the frequency and effort of individuals in contributing their personally held valuable knowledge to a “best practices-lessons learned, repository-based” knowledge management system (KMS) were compared. Supervisory control, as expected, had significant impact on frequency, but it also had unexpectedly significant influence on effort. When system variables—usefulness and ease of use—were controlled for, the organizational support measure had little effect on either outcome. These results provide greater support for economic-agency-theory motivators of knowledge sharing and lesser support for organizational support motivators than has been previously believed. They also emphasize the important impact of systems variables in motivating KMS use. Since the study was conducted in a government (joint civilian–military) organization, the organizational type may significantly influence the results. However, since the result is contrary to the conventional wisdom that suggests that a “knowledge-sharing culture” is all-important, at the very least, this study shows that the nature of the organization may moderate the relationship between the motivational approach and the outcomes.","collection-title":"Special Issue Section: Papers presented at the INFORMS conference, Atlanta, 2003","container-title":"Omega","DOI":"10.1016/j.omega.2005.10.006","ISSN":"0305-0483","issue":"1","journalAbbreviation":"Omega","language":"en","page":"131-146","source":"ScienceDirect","title":"Motivating knowledge sharing through a knowledge management system","volume":"36","author":[{"family":"King","given":"William R."},{"family":"Marks","given":"Peter V."}],"issued":{"date-parts":[["2008",2,1]]}}}],"schema":"https://github.com/citation-style-language/schema/raw/master/csl-citation.json"}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(King &amp; Marks, 2008)</w:t>
      </w:r>
      <w:r w:rsidRPr="00F153F6">
        <w:rPr>
          <w:rFonts w:ascii="Times New Roman" w:hAnsi="Times New Roman" w:cs="Times New Roman"/>
          <w:color w:val="000000" w:themeColor="text1"/>
          <w:sz w:val="24"/>
          <w:szCs w:val="24"/>
        </w:rPr>
        <w:fldChar w:fldCharType="end"/>
      </w:r>
      <w:bookmarkEnd w:id="83"/>
      <w:bookmarkEnd w:id="84"/>
      <w:r w:rsidRPr="00F153F6">
        <w:rPr>
          <w:rFonts w:ascii="Times New Roman" w:hAnsi="Times New Roman" w:cs="Times New Roman"/>
          <w:color w:val="000000" w:themeColor="text1"/>
          <w:sz w:val="24"/>
          <w:szCs w:val="24"/>
        </w:rPr>
        <w:t xml:space="preserve">. A further assumption about knowledge as an object is that knowledge can be objective and objective knowledge can be produced </w:t>
      </w:r>
      <w:bookmarkStart w:id="85" w:name="OLE_LINK39"/>
      <w:bookmarkStart w:id="86" w:name="OLE_LINK40"/>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{"citationID":"5rH4zM1b","properties":{"formattedCitation":"(Hislop et al., 2018)","plainCitation":"(Hislop et al., 2018)","noteIndex":0},"citationItems":[{"id":475,"uris":["http://zotero.org/users/5709166/items/K99MV3Q7"],"itemData":{"id":475,"type":"book","abstract":"Knowledge Management in Organizations is the most comprehensive and critical textbook on the subject. Encompassing a number of perspectives - including organizational behaviour, HRM, systems, and sociocultural factors - the text introduces the concept of knowledge before examining how it can be effectively managed within the organizations in which we work. The international author team ensure the broad theoretical coverage is brought to life with practical illustrations and case studies exploring topics such as knowledge sharing via social media, knowledge transfer in different cultural contexts, and the interaction of leadership, culture, and knowledge management in Australian SMEs. Examples are diverse, international, and highly relevant to each chapter, showcasing the significance of knowledge management in all types of organizational settings. 'Time to Reflect' boxes, review and discussion questions, and a question or activity to accompany every illustration and case study ensure students are challenged to engage with the subject critically and reflectively. Despite the critical approach and depth of coverage, the text remains accessible through its widely praised writing style, coherent structure, in-chapter definition boxes, and manageable size. This book is accompanied by a selection of online resources: For students: Extra online casesWeb links to additional resources and relevant websitesExtension questions For lecturers: Suggested exam questions Suggested essay/coursework questionsSuggestions for classroom activities Figures and tables from the book","ISBN":"978-0-19-872401-8","language":"en","note":"Google-Books-ID: fhFQDwAAQBAJ","number-of-pages":"345","publisher":"Oxford University Press","source":"Google Books","title":"Knowledge Management in Organizations: A Critical Introduction","title-short":"Knowledge Management in Organizations","author":[{"family":"Hislop","given":"Donald"},{"family":"Bosua","given":"Rachelle"},{"family":"Helms","given":"Remko"}],"issued":{"date-parts":[["2018",3,29]]}}}],"schema":"https://github.com/citation-style-language/schema/raw/master/csl-citation.json"}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(Hislop et al., 2018)</w:t>
      </w:r>
      <w:r w:rsidRPr="00F153F6">
        <w:rPr>
          <w:rFonts w:ascii="Times New Roman" w:hAnsi="Times New Roman" w:cs="Times New Roman"/>
          <w:color w:val="000000" w:themeColor="text1"/>
          <w:sz w:val="24"/>
          <w:szCs w:val="24"/>
        </w:rPr>
        <w:fldChar w:fldCharType="end"/>
      </w:r>
      <w:bookmarkEnd w:id="85"/>
      <w:bookmarkEnd w:id="86"/>
      <w:r w:rsidRPr="00F153F6">
        <w:rPr>
          <w:rFonts w:ascii="Times New Roman" w:hAnsi="Times New Roman" w:cs="Times New Roman"/>
          <w:color w:val="000000" w:themeColor="text1"/>
          <w:sz w:val="24"/>
          <w:szCs w:val="24"/>
        </w:rPr>
        <w:t xml:space="preserve">. In this assumption, social phenomena is argued to be measurable and made explicit as objective knowledge, such as laws or scientific principles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{"citationID":"a1ggnap1taj","properties":{"formattedCitation":"(McAdam &amp; McCreedy, 2000)","plainCitation":"(McAdam &amp; McCreedy, 2000)","noteIndex":0},"citationItems":[{"id":2350,"uris":["http://zotero.org/users/5709166/items/2ZRJ93TL"],"itemData":{"id":2350,"type":"article-journal","abstract":"There is a increasing interest in the area of knowledge management. Few studies exist which are holistic and seek to cover knowledge management as an emerging paradigm which embraces both theory and practice. This article describes such a study, throughout the article a critical perspective is adopted and applied to Knowledge Management.","container-title":"New Technology, Work and Employment","DOI":"10.1111/1468-005X.00071","ISSN":"1468-005X","issue":"2","language":"en","note":"_eprint: https://onlinelibrary.wiley.com/doi/pdf/10.1111/1468-005X.00071","page":"155-168","source":"Wiley Online Library","title":"A critique of knowledge management: using a social constructionist model","title-short":"A critique of knowledge management","volume":"15","author":[{"family":"McAdam","given":"Rodney"},{"family":"McCreedy","given":"Sandra"}],"issued":{"date-parts":[["2000"]]}}}],"schema":"https://github.com/citation-style-language/schema/raw/master/csl-citation.json"}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(McAdam &amp; McCreedy, 2000)</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w:t>
      </w:r>
    </w:p>
    <w:p w14:paraId="44F1170D" w14:textId="3938F4AD"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Another assumption is related to two different dimensions concerning the nature of knowledge: tacit knowledge and explicit knowledge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{"citationID":"a1vnmd714vr","properties":{"formattedCitation":"(Ikujiro Nonaka &amp; Takeuchi, 1995)","plainCitation":"(Ikujiro Nonaka &amp; Takeuchi, 1995)","dontUpdate":true,"noteIndex":0},"citationItems":[{"id":2030,"uris":["http://zotero.org/users/5709166/items/AAFKUAPP"],"itemData":{"id":2030,"type":"article-journal","title":"The knowledge creating company","URL":"http://www.sietmanagement.fr/wp-content/uploads/2016/04/nonaka_1991.pdf","author":[{"family":"Nonaka","given":"Ikujiro"},{"family":"Takeuchi","given":"Hirotaka"}],"accessed":{"date-parts":[["2019",10,20]]},"issued":{"date-parts":[["1995"]]}}}],"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(Nonaka &amp; Takeuchi, 1995)</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Tacit knowledge refers to knowledge that is rooted in personal experiences or organisational routines and is hard to be expressed in words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{"citationID":"fZbeKSFF","properties":{"formattedCitation":"(Polanyi, 1966)","plainCitation":"(Polanyi, 1966)","noteIndex":0},"citationItems":[{"id":2020,"uris":["http://zotero.org/users/5709166/items/GZ7REDER"],"itemData":{"id":2020,"type":"book","event-place":"Garden City, N.Y.","ISBN":"978-0-385-06988-5","language":"English","note":"OCLC: 374908","publisher":"Doubleday","publisher-place":"Garden City, N.Y.","source":"Open WorldCat","title":"The tacit dimension.","author":[{"family":"Polanyi","given":"Michael"}],"issued":{"date-parts":[["1966"]]}}}],"schema":"https://github.com/citation-style-language/schema/raw/master/csl-citation.json"}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(Polanyi, 1966)</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Explicit knowledge, on the other hand, is defined as articulated, codified, stored and generalised knowledge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{"citationID":"ac63if631f","properties":{"formattedCitation":"(H\\uc0\\u233{}lie &amp; Sun, 2010)","plainCitation":"(Hélie &amp; Sun, 2010)","noteIndex":0},"citationItems":[{"id":2015,"uris":["http://zotero.org/users/5709166/items/RXH6FF29"],"itemData":{"id":2015,"type":"article-journal","abstract":"This article proposes a unified framework for understanding creative problem solving, namely, the explicit–implicit interaction theory. This new theory of creative problem solving constitutes an attempt at providing a more unified explanation of relevant phenomena (in part by reinterpreting/integrating various fragmentary existing theories of incubation and insight). The explicit–implicit interaction theory relies mainly on 5 basic principles, namely, (a) the coexistence of and the difference between explicit and implicit knowledge, (b) the simultaneous involvement of implicit and explicit processes in most tasks, (c) the redundant representation of explicit and implicit knowledge, (d) the integration of the results of explicit and implicit processing, and (e) the iterative (and possibly bidirectional) processing. A computational implementation of the theory is developed based on the CLARION cognitive architecture and applied to the simulation of relevant human data. This work represents an initial step in the development of process-based theories of creativity encompassing incubation, insight, and various other related phenomena.","container-title":"Psychological Review","DOI":"10.1037/a0019532","ISSN":"1939-1471, 0033-295X","issue":"3","language":"en","page":"994-1024","source":"Crossref","title":"Incubation, insight, and creative problem solving: A unified theory and a connectionist model.","title-short":"Incubation, insight, and creative problem solving","volume":"117","author":[{"family":"Hélie","given":"Sébastien"},{"family":"Sun","given":"Ron"}],"issued":{"date-parts":[["2010"]]}}}],"schema":"https://github.com/citation-style-language/schema/raw/master/csl-citation.json"}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(Hélie &amp; Sun, 2010)</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From </w:t>
      </w:r>
      <w:r w:rsidR="00042F66" w:rsidRPr="00F153F6">
        <w:rPr>
          <w:rFonts w:ascii="Times New Roman" w:hAnsi="Times New Roman" w:cs="Times New Roman"/>
          <w:color w:val="000000" w:themeColor="text1"/>
          <w:sz w:val="24"/>
          <w:szCs w:val="24"/>
        </w:rPr>
        <w:t xml:space="preserve">an </w:t>
      </w:r>
      <w:r w:rsidRPr="00F153F6">
        <w:rPr>
          <w:rFonts w:ascii="Times New Roman" w:hAnsi="Times New Roman" w:cs="Times New Roman"/>
          <w:color w:val="000000" w:themeColor="text1"/>
          <w:sz w:val="24"/>
          <w:szCs w:val="24"/>
        </w:rPr>
        <w:t xml:space="preserve">objectivist epistemology, explicit knowledge is assumed to be superior to tacit knowledge, since explicit knowledge is easier expressed, codified and thereby is regarded as more formal than objective knowledge. Tacit knowledge, however, is more difficult to articulate so that it is regarded as more informal and subjective </w:t>
      </w:r>
      <w:bookmarkStart w:id="87" w:name="OLE_LINK404"/>
      <w:bookmarkStart w:id="88" w:name="OLE_LINK405"/>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{"citationID":"a1bqa50euhv","properties":{"formattedCitation":"(Marabelli &amp; Newell, 2014)","plainCitation":"(Marabelli &amp; Newell, 2014)","noteIndex":0},"citationItems":[{"id":2349,"uris":["http://zotero.org/users/5709166/items/M9QH84ZU"],"itemData":{"id":2349,"type":"article-journal","abstract":"Most studies on absorptive capacity (AC) are based on assumptions that are characteristic of viewing knowledge from an epistemology of possession (knowledge is possessed by individuals and is transferrable). However, the literature on managing knowledge (or better knowledge work) acknowledges also an epistemology of practice (knowledge is unpredictable and dynamic and constituted in and through practice). Moreover, the literature on AC is relatively silent on the relationship between knowledge and power. In this paper, the authors argue that the AC construct should be interpreted in light of the possession and the practice perspectives of knowledge and power. The analysis includes a systematic literature review of AC that supports the authors' claims and, based on this, they suggest an interpretation of the construct that takes into account knowledge–power relationships. This review and theorizing contribute to a richer and processual view of AC.","container-title":"International Journal of Management Reviews","DOI":"10.1111/ijmr.12031","ISSN":"1468-2370","issue":"4","language":"en","note":"_eprint: https://onlinelibrary.wiley.com/doi/pdf/10.1111/ijmr.12031","page":"479-499","source":"Wiley Online Library","title":"Knowing, Power and Materiality: A Critical Review and Reconceptualization of Absorptive Capacity","title-short":"Knowing, Power and Materiality","volume":"16","author":[{"family":"Marabelli","given":"Marco"},{"family":"Newell","given":"Sue"}],"issued":{"date-parts":[["2014"]]}}}],"schema":"https://github.com/citation-style-language/schema/raw/master/csl-citation.json"}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(Marabelli &amp; Newell, 2014)</w:t>
      </w:r>
      <w:r w:rsidRPr="00F153F6">
        <w:rPr>
          <w:rFonts w:ascii="Times New Roman" w:hAnsi="Times New Roman" w:cs="Times New Roman"/>
          <w:color w:val="000000" w:themeColor="text1"/>
          <w:sz w:val="24"/>
          <w:szCs w:val="24"/>
        </w:rPr>
        <w:fldChar w:fldCharType="end"/>
      </w:r>
      <w:bookmarkEnd w:id="87"/>
      <w:bookmarkEnd w:id="88"/>
      <w:r w:rsidRPr="00F153F6">
        <w:rPr>
          <w:rFonts w:ascii="Times New Roman" w:hAnsi="Times New Roman" w:cs="Times New Roman"/>
          <w:color w:val="000000" w:themeColor="text1"/>
          <w:sz w:val="24"/>
          <w:szCs w:val="24"/>
        </w:rPr>
        <w:t xml:space="preserve">. The final major assumption is that knowledge is a cognitive, intellectual entity </w:t>
      </w:r>
      <w:bookmarkStart w:id="89" w:name="OLE_LINK41"/>
      <w:bookmarkStart w:id="90" w:name="OLE_LINK42"/>
      <w:bookmarkStart w:id="91" w:name="OLE_LINK54"/>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{"citationID":"a1jp4j1ouej","properties":{"formattedCitation":"(Hislop et al., 2018)","plainCitation":"(Hislop et al., 2018)","noteIndex":0},"citationItems":[{"id":475,"uris":["http://zotero.org/users/5709166/items/K99MV3Q7"],"itemData":{"id":475,"type":"book","abstract":"Knowledge Management in Organizations is the most comprehensive and critical textbook on the subject. Encompassing a number of perspectives - including organizational behaviour, HRM, systems, and sociocultural factors - the text introduces the concept of knowledge before examining how it can be effectively managed within the organizations in which we work. The international author team ensure the broad theoretical coverage is brought to life with practical illustrations and case studies exploring topics such as knowledge sharing via social media, knowledge transfer in different cultural contexts, and the interaction of leadership, culture, and knowledge management in Australian SMEs. Examples are diverse, international, and highly relevant to each chapter, showcasing the significance of knowledge management in all types of organizational settings. 'Time to Reflect' boxes, review and discussion questions, and a question or activity to accompany every illustration and case study ensure students are challenged to engage with the subject critically and reflectively. Despite the critical approach and depth of coverage, the text remains accessible through its widely praised writing style, coherent structure, in-chapter definition boxes, and manageable size. This book is accompanied by a selection of online resources: For students: Extra online casesWeb links to additional resources and relevant websitesExtension questions For lecturers: Suggested exam questions Suggested essay/coursework questionsSuggestions for classroom activities Figures and tables from the book","ISBN":"978-0-19-872401-8","language":"en","note":"Google-Books-ID: fhFQDwAAQBAJ","number-of-pages":"345","publisher":"Oxford University Press","source":"Google Books","title":"Knowledge Management in Organizations: A Critical Introduction","title-short":"Knowledge Management in Organizations","author":[{"family":"Hislop","given":"Donald"},{"family":"Bosua","given":"Rachelle"},{"family":"Helms","given":"Remko"}],"issued":{"date-parts":[["2018",3,29]]}}}],"schema":"https://github.com/citation-style-language/schema/raw/master/csl-citation.json"}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(Hislop et al., 2018)</w:t>
      </w:r>
      <w:r w:rsidRPr="00F153F6">
        <w:rPr>
          <w:rFonts w:ascii="Times New Roman" w:hAnsi="Times New Roman" w:cs="Times New Roman"/>
          <w:color w:val="000000" w:themeColor="text1"/>
          <w:sz w:val="24"/>
          <w:szCs w:val="24"/>
        </w:rPr>
        <w:fldChar w:fldCharType="end"/>
      </w:r>
      <w:bookmarkEnd w:id="89"/>
      <w:bookmarkEnd w:id="90"/>
      <w:bookmarkEnd w:id="91"/>
      <w:r w:rsidRPr="00F153F6">
        <w:rPr>
          <w:rFonts w:ascii="Times New Roman" w:hAnsi="Times New Roman" w:cs="Times New Roman"/>
          <w:color w:val="000000" w:themeColor="text1"/>
          <w:sz w:val="24"/>
          <w:szCs w:val="24"/>
        </w:rPr>
        <w:t xml:space="preserve">. Knowledge is argued as something held in the head and thereby is a cognitive entity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{"citationID":"ajanvl5o78","properties":{"formattedCitation":"(Cook &amp; Brown, 1999; Newell, 2015)","plainCitation":"(Cook &amp; Brown, 1999; Newell, 2015)","noteIndex":0},"citationItems":[{"id":2224,"uris":["http://zotero.org/users/5709166/items/TIMW2RH3"],"itemData":{"id":2224,"type":"article-journal","abstract":"Much current work on organizational knowledge, intellectual capital, knowledge-creating organizations, knowledge work, and the like rests on a single, traditional understanding of the nature of knowledge. We call this understanding the “epistemology of possession,” since it treats knowledge as something people possess. Yet, this epistemology cannot account for the knowing found in individual and group practice. Knowing as action calls for an “epistemology of practice.” Moreover, the epistemology of possession tends to privilege explicit over tacit knowledge, and knowledge possessed by individuals over that possessed by groups. Current work on organizations is limited by this privileging and by the scant attention given to knowing in its own right. Organizations are better understood if explicit, tacit, individual and group knowledge are treated as four distinct and coequal forms of knowledge (each doing work the others cannot), and if knowledge and knowing are seen as mutually enabling (not competing). We hold that knowledge is a tool of knowing, that knowing is an aspect of our interaction with the social and physical world, and that the interplay of knowledge and knowing can generate new knowledge and new ways of knowing. We believe this generative dance between knowledge and knowing is a powerful source of organizational innovation. Harnessing this innovation calls for organizational and technological infrastructures that support the interplay of knowledge and knowing. Ultimately, these concepts make possible a more robust framing of such epistemologically-centered concerns as core competencies, the management of intellectual capital, etc. We explore these views through three brief case studies drawn from recent research.","container-title":"Organization Science","DOI":"10.1287/orsc.10.4.381","ISSN":"1047-7039, 1526-5455","issue":"4","journalAbbreviation":"Organization Science","language":"en","page":"381-400","source":"DOI.org (Crossref)","title":"Bridging Epistemologies: The Generative Dance Between Organizational Knowledge and Organizational Knowing","title-short":"Bridging Epistemologies","volume":"10","author":[{"family":"Cook","given":"Scott D. N."},{"family":"Brown","given":"John Seely"}],"issued":{"date-parts":[["1999",8]]}}},{"id":453,"uris":["http://zotero.org/users/5709166/items/MD9D4ULD"],"itemData":{"id":453,"type":"article-journal","abstract":"In this paper we review the recent IS literature on knowledge and consider different assumptions that underpin different approaches to this broad research area. In doing this we contrast those who focus on knowledge management with those who focus on knowing as practice and examine how contexts, processes and purposes need to be considered whichever approach to knowledge one is adopting. We also identify how recent IT developments, especially in relation to social software and the digitization of everything, are presenting new opportunities (and challenges) for how organizations can manage both knowledge and knowledge work. This presents IS scholars with new research agendas for examining and understanding the relationships between technology, organization and society.","container-title":"Journal of Information Technology","DOI":"10.1057/jit.2014.12","ISSN":"0268-3962","issue":"1","journalAbbreviation":"Journal of Information Technology","language":"en","page":"1-17","source":"SAGE Journals","title":"Managing Knowledge and Managing Knowledge Work: What we know and what the Future holds","title-short":"Managing Knowledge and Managing Knowledge Work","volume":"30","author":[{"family":"Newell","given":"Sue"}],"issued":{"date-parts":[["2015",3,1]]}}}],"schema":"https://github.com/citation-style-language/schema/raw/master/csl-citation.json"}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(Cook &amp; Brown, 1999; Newell, 2015)</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w:t>
      </w:r>
    </w:p>
    <w:p w14:paraId="700E22D7" w14:textId="77777777"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Based on these assumptions, objectivists conceptualise knowledge more as a dichotomy. For example, from an objectivist perspective, tacit and explicit are viewed as separated types of knowledge </w:t>
      </w:r>
      <w:r w:rsidRPr="00F153F6">
        <w:rPr>
          <w:rFonts w:ascii="Times New Roman" w:hAnsi="Times New Roman" w:cs="Times New Roman"/>
          <w:color w:val="000000" w:themeColor="text1"/>
          <w:sz w:val="24"/>
          <w:szCs w:val="24"/>
        </w:rPr>
        <w:fldChar w:fldCharType="begin"/>
      </w:r>
      <w:bookmarkStart w:id="92" w:name="OLE_LINK402"/>
      <w:bookmarkStart w:id="93" w:name="OLE_LINK401"/>
      <w:r w:rsidRPr="00F153F6">
        <w:rPr>
          <w:rFonts w:ascii="Times New Roman" w:hAnsi="Times New Roman" w:cs="Times New Roman"/>
          <w:color w:val="000000" w:themeColor="text1"/>
          <w:sz w:val="24"/>
          <w:szCs w:val="24"/>
        </w:rPr>
        <w:instrText xml:space="preserve"> ADDIN ZOTERO_ITEM CSL_CITATION {"citationID":"amtkfa5tbk","properties":{"formattedCitation":"(Ikujiro Nonaka et al., 2000)","plainCitation":"(Ikujiro Nonaka et al., 2000)","dontUpdate":true,"noteIndex":0},"citationItems":[{"id":490,"uris":["http://zotero.org/users/5709166/items/ENA3UM7W"],"itemData":{"id":490,"type":"article-journal","container-title":"Long Range Planning","language":"en","page":"30","source":"Zotero","title":"SECI, Ba and Leadership: a Uni®ed Model of Dynamic Knowledge Creation","volume":"33","author":[{"family":"Nonaka","given":"Ikujiro"},{"family":"Toyama","given":"Ryoko"},{"family":"Konno","given":"Noboru"}],"issued":{"date-parts":[["2000"]]}}}],"schema":"https://github.com/citation-style-language/schema/raw/master/csl-citation.json"}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(Nonaka et al., 2000)</w:t>
      </w:r>
      <w:r w:rsidRPr="00F153F6">
        <w:rPr>
          <w:rFonts w:ascii="Times New Roman" w:hAnsi="Times New Roman" w:cs="Times New Roman"/>
          <w:color w:val="000000" w:themeColor="text1"/>
          <w:sz w:val="24"/>
          <w:szCs w:val="24"/>
        </w:rPr>
        <w:fldChar w:fldCharType="end"/>
      </w:r>
      <w:bookmarkEnd w:id="92"/>
      <w:bookmarkEnd w:id="93"/>
      <w:r w:rsidRPr="00F153F6">
        <w:rPr>
          <w:rFonts w:ascii="Times New Roman" w:hAnsi="Times New Roman" w:cs="Times New Roman"/>
          <w:color w:val="000000" w:themeColor="text1"/>
          <w:sz w:val="24"/>
          <w:szCs w:val="24"/>
        </w:rPr>
        <w:t xml:space="preserve">. Explicit knowledge can be formally articulated, elucidated, and codified into a tangible form so that it can be documented and stored in technologies such as databases or files for sharing with others </w:t>
      </w:r>
      <w:bookmarkStart w:id="94" w:name="OLE_LINK45"/>
      <w:bookmarkStart w:id="95" w:name="OLE_LINK46"/>
      <w:bookmarkStart w:id="96" w:name="OLE_LINK403"/>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{"citationID":"MqDqjMRg","properties":{"formattedCitation":"(McInerney, 2002)","plainCitation":"(McInerney, 2002)","noteIndex":0},"citationItems":[{"id":2013,"uris":["http://zotero.org/users/5709166/items/QHJ7QBQZ"],"itemData":{"id":2013,"type":"article-journal","abstract":"Knowledge management (KM) or knowledge sharing in organizations is based on an understanding of knowledge creation and knowledge transfer. In implementation, KM is an effort to benefit from the knowledge that resides in an organization by using it to achieve the organization's mission. The transfer of tacit or implicit knowledge to explicit and accessible formats, the goal of many KM projects, is challenging, controversial, and endowed with ongoing management issues. This article argues that effective knowledge management in many disciplinary contexts must be based on understanding the dynamic nature of knowledge itself. The article critiques some current thinking in the KM literature and concludes with a view towards knowledge management programs built around knowledge as a dynamic process.","container-title":"Journal of the American Society for Information Science and Technology","DOI":"10.1002/asi.10109","ISSN":"1532-2890","issue":"12","language":"en","page":"1009-1018","source":"Wiley Online Library","title":"Knowledge management and the dynamic nature of knowledge","volume":"53","author":[{"family":"McInerney","given":"Claire"}],"issued":{"date-parts":[["2002"]]}}}],"schema":"https://github.com/citation-style-language/schema/raw/master/csl-citation.json"}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(McInerney, 2002)</w:t>
      </w:r>
      <w:r w:rsidRPr="00F153F6">
        <w:rPr>
          <w:rFonts w:ascii="Times New Roman" w:hAnsi="Times New Roman" w:cs="Times New Roman"/>
          <w:color w:val="000000" w:themeColor="text1"/>
          <w:sz w:val="24"/>
          <w:szCs w:val="24"/>
        </w:rPr>
        <w:fldChar w:fldCharType="end"/>
      </w:r>
      <w:bookmarkEnd w:id="94"/>
      <w:bookmarkEnd w:id="95"/>
      <w:bookmarkEnd w:id="96"/>
      <w:r w:rsidRPr="00F153F6">
        <w:rPr>
          <w:rFonts w:ascii="Times New Roman" w:hAnsi="Times New Roman" w:cs="Times New Roman"/>
          <w:color w:val="000000" w:themeColor="text1"/>
          <w:sz w:val="24"/>
          <w:szCs w:val="24"/>
        </w:rPr>
        <w:t xml:space="preserve">. On the other hand, tacit knowledge is subconscious and based on experiences and embedded in narratives so that it is hard to articulate and only can be held within self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{"citationID":"uD5mAxED","properties":{"formattedCitation":"(McInerney, 2002)","plainCitation":"(McInerney, 2002)","noteIndex":0},"citationItems":[{"id":2013,"uris":["http://zotero.org/users/5709166/items/QHJ7QBQZ"],"itemData":{"id":2013,"type":"article-journal","abstract":"Knowledge management (KM) or knowledge sharing in organizations is based on an understanding of knowledge creation and knowledge transfer. In implementation, KM is an effort to benefit from the knowledge that resides in an organization by using it to achieve the organization's mission. The transfer of tacit or implicit knowledge to explicit and accessible formats, the goal of many KM projects, is challenging, controversial, and endowed with ongoing management issues. This article argues that effective knowledge management in many disciplinary contexts must be based on understanding the dynamic nature of knowledge itself. The article critiques some current thinking in the KM literature and concludes with a view towards knowledge management programs built around knowledge as a dynamic process.","container-title":"Journal of the American Society for Information Science and Technology","DOI":"10.1002/asi.10109","ISSN":"1532-2890","issue":"12","language":"en","page":"1009-1018","source":"Wiley Online Library","title":"Knowledge management and the dynamic nature of knowledge","volume":"53","author":[{"family":"McInerney","given":"Claire"}],"issued":{"date-parts":[["2002"]]}}}],"schema":"https://github.com/citation-style-language/schema/raw/master/csl-citation.json"}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(McInerney, 2002)</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Polanyi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DQBPBuya","properties":{"formattedCitation":"(1958)","plainCitation":"(1958)","noteIndex":0},"citationItems":[{"id":2021,"uris":["http://zotero.org/users/5709166/items/FKVWFLST"],"itemData":{"id":2021,"type":"webpage","container-title":"eweb:773","language":"en","title":"Personal Knowledge: Towards a Post-Critical Philosophy","title-short":"Personal Knowledge","URL":"https://repository.library.georgetown.edu/handle/10822/762168","author":[{"family":"Polanyi","given":"Michael"}],"accessed":{"date-parts":[["2019",10,21]]},"issued":{"date-parts":[["1958"]]}},"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(1958)</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noted that all knowledge is rooted in tacit knowledge and cannot be entirely articulated. In contrast with tacit knowledge of ‘knowing how’, explicit knowledge is more concerned with ‘knowing what’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{"citationID":"L0xT5UKE","properties":{"formattedCitation":"(S. Li, 2018)","plainCitation":"(S. Li, 2018)","dontUpdate":true,"noteIndex":0},"citationItems":[{"id":2014,"uris":["http://zotero.org/users/5709166/items/6AKM3HG4"],"itemData":{"id":2014,"type":"thesis","title":"Knowledge Domains and Skills that Facilitate Knowledge Sharing in Project Management -A Case Study in the Chinese Construction Industry","URL":"http://etheses.whiterose.ac.uk/21467/2/Thesis_Shuyang%20Li.pdf","author":[{"family":"Li","given":"Shuyang"}],"accessed":{"date-parts":[["2019",10,21]]},"issued":{"date-parts":[["2018"]]}}}],"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(Li, 2018)</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This distinction has led to KM being studied separately. For example, Asher </w:t>
      </w:r>
      <w:r w:rsidRPr="00F153F6">
        <w:rPr>
          <w:rFonts w:ascii="Times New Roman" w:hAnsi="Times New Roman" w:cs="Times New Roman"/>
          <w:color w:val="000000" w:themeColor="text1"/>
          <w:sz w:val="24"/>
          <w:szCs w:val="24"/>
        </w:rPr>
        <w:lastRenderedPageBreak/>
        <w:t xml:space="preserve">and Popper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{"citationID":"a2m7tbsp162","properties":{"formattedCitation":"(2019)","plainCitation":"(2019)","noteIndex":0},"citationItems":[{"id":2016,"uris":["http://zotero.org/users/5709166/items/TJX2GE7E"],"itemData":{"id":2016,"type":"article-journal","abstract":"Purpose – This paper aims to clarify the term “tacit knowledge” and suggests the “onion model” as a way to explore conceptually linked layers of tacit knowledge. The model allows the application of different methodologies to elicit tacit knowledge in each layer, the ability to infer tacit knowledge in other layers from tacit knowledge gained in another layer and the exploration of the dynamics of tacit knowledge among the various layers presented in the model. Conceptual and practical advantages compared to prior works on tacit knowledge are discussed.","container-title":"The Learning Organization","DOI":"10.1108/TLO-06-2018-0105","ISSN":"0969-6474, 0969-6474","issue":"3","language":"en","page":"264-275","source":"Crossref","title":"Tacit knowledge as a multilayer phenomenon: the “onion” model","title-short":"Tacit knowledge as a multilayer phenomenon","volume":"26","author":[{"family":"Asher","given":"Dan"},{"family":"Popper","given":"Micha"}],"issued":{"date-parts":[["2019",4,8]]}},"suppress-author":true}],"schema":"https://github.com/citation-style-language/schema/raw/master/csl-citation.json"}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(2019)</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studied tacit knowledge through the identification of different layers: hidden practical knowledge that can provide the most explicit and personal-aware knowledge but unknown to the organisation; reflective tacit knowledge that is the result of experiences and more abstract to people; and demonstrated tacit knowledge that is knowledge of which individuals are unaware of and cannot be elicited. Nonaka et al.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{"citationID":"a28g9thhvnm","properties":{"formattedCitation":"(2000)","plainCitation":"(2000)","noteIndex":0},"citationItems":[{"id":490,"uris":["http://zotero.org/users/5709166/items/ENA3UM7W"],"itemData":{"id":490,"type":"article-journal","container-title":"Long Range Planning","language":"en","page":"30","source":"Zotero","title":"SECI, Ba and Leadership: a Uni®ed Model of Dynamic Knowledge Creation","volume":"33","author":[{"family":"Nonaka","given":"Ikujiro"},{"family":"Toyama","given":"Ryoko"},{"family":"Konno","given":"Noboru"}],"issued":{"date-parts":[["2000"]]}},"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(2000)</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argues that knowledge can be created through transformation processes between tacit knowledge and explicit knowledge. </w:t>
      </w:r>
    </w:p>
    <w:p w14:paraId="695B7921" w14:textId="77777777"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Another major depiction of dichotomy on knowledge relates to individual and organisational knowledge. This depiction focuses on the distinction between individual and organisational knowledge owners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{"citationID":"a2i1tk84dmg","properties":{"formattedCitation":"(Curado, 2006)","plainCitation":"(Curado, 2006)","noteIndex":0},"citationItems":[{"id":2011,"uris":["http://zotero.org/users/5709166/items/2ZBHGBTM"],"itemData":{"id":2011,"type":"article-journal","abstract":"Approach This paper explores a new idea presenting the possible relationship between organizational learning and organizational design. The establishment of this relation is based upon extensive literature review.","language":"en","page":"22","source":"Zotero","title":"ORGANIZATIONAL LEARNING AND ORGANIZATIONAL DESIGN","author":[{"family":"Curado","given":"Carla"}],"issued":{"date-parts":[["2006"]]}}}],"schema":"https://github.com/citation-style-language/schema/raw/master/csl-citation.json"}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(Curado, 2006)</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Individual knowledge is originally argued as a specialised and domain-specific knowledge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{"citationID":"0am75QPY","properties":{"formattedCitation":"(Simon, 1957)","plainCitation":"(Simon, 1957)","noteIndex":0},"citationItems":[{"id":2009,"uris":["http://zotero.org/users/5709166/items/2FGUGT45"],"itemData":{"id":2009,"type":"book","title":"Administrative_Behavior__4th_Edition_by_Herbert_A_Simon_-_Masterpiece_On_Decision-Making_Within_Organizations.pdf","URL":"https://s3.amazonaws.com/academia.edu.documents/31129363/Administrative_Behavior__4th_Edition_by_Herbert_A_Simon_-_Masterpiece_On_Decision-Making_Within_Organizations.pdf?response-content-disposition=inline%3B%20filename%3DAdministrative_behavior.pdf&amp;X-Amz-Algorithm=AWS4-HMAC-SHA256&amp;X-Amz-Credential=AKIAIWOWYYGZ2Y53UL3A%2F20191021%2Fus-east-1%2Fs3%2Faws4_request&amp;X-Amz-Date=20191021T230601Z&amp;X-Amz-Expires=3600&amp;X-Amz-SignedHeaders=host&amp;X-Amz-Signature=b45e43e5b955e4b802268eeae87940f75f6c73674a492dffc1505cb3b68b4963","author":[{"family":"Simon","given":"Herbert A"}],"accessed":{"date-parts":[["2019",10,22]]},"issued":{"date-parts":[["1957"]]}}}],"schema":"https://github.com/citation-style-language/schema/raw/master/csl-citation.json"}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(Simon, 1957)</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Therefore, individual knowledge is transferable and can become part of an organisation’s knowledge yet possessed by the individual </w:t>
      </w:r>
      <w:bookmarkStart w:id="97" w:name="OLE_LINK406"/>
      <w:bookmarkStart w:id="98" w:name="OLE_LINK407"/>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{"citationID":"a152aqll2pq","properties":{"formattedCitation":"(Lam, 2000)","plainCitation":"(Lam, 2000)","noteIndex":0},"citationItems":[{"id":2010,"uris":["http://zotero.org/users/5709166/items/8TZYIZRS"],"itemData":{"id":2010,"type":"article-journal","title":"Tacit Knowledge, Organizational Learning and Societal Institutions: An Integrated Framework","URL":"https://journals.sagepub.com/doi/pdf/10.1177/0170840600213001","author":[{"family":"Lam","given":"Alice"}],"accessed":{"date-parts":[["2019",10,22]]},"issued":{"date-parts":[["2000"]]}}}],"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(Lam, 2000)</w:t>
      </w:r>
      <w:r w:rsidRPr="00F153F6">
        <w:rPr>
          <w:rFonts w:ascii="Times New Roman" w:hAnsi="Times New Roman" w:cs="Times New Roman"/>
          <w:color w:val="000000" w:themeColor="text1"/>
          <w:sz w:val="24"/>
          <w:szCs w:val="24"/>
        </w:rPr>
        <w:fldChar w:fldCharType="end"/>
      </w:r>
      <w:bookmarkEnd w:id="97"/>
      <w:bookmarkEnd w:id="98"/>
      <w:r w:rsidRPr="00F153F6">
        <w:rPr>
          <w:rFonts w:ascii="Times New Roman" w:hAnsi="Times New Roman" w:cs="Times New Roman"/>
          <w:color w:val="000000" w:themeColor="text1"/>
          <w:sz w:val="24"/>
          <w:szCs w:val="24"/>
        </w:rPr>
        <w:t xml:space="preserve">. On the contrary, organisational knowledge or collective knowledge, is defined as “the accumulated knowledge of the organisation stored in its rules, procedures, routines, and shared norms which guide the problem-solving activities and patterns of interaction among its members”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{"citationID":"a5lhu7q94l","properties":{"formattedCitation":"(Lam, 1998, p. 8)","plainCitation":"(Lam, 1998, p. 8)","noteIndex":0},"citationItems":[{"id":2223,"uris":["http://zotero.org/users/5709166/items/IZSDYR88"],"itemData":{"id":2223,"type":"article-journal","title":"Tacit Knowledge, Organisational Learning and Innovation: A Societal Perspective","URL":"https://pdfs.semanticscholar.org/707c/af11b2eb0fb931e76a412bd221166420db28.pdf","author":[{"family":"Lam","given":"Alice"}],"accessed":{"date-parts":[["2020",2,20]]},"issued":{"date-parts":[["1998"]]}},"locator":"8"}],"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(Lam, 1998, p. 8)</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Organisational knowledge exists only between individuals instead of within individuals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{"citationID":"a12gavno2s0","properties":{"formattedCitation":"(Lam, 2000)","plainCitation":"(Lam, 2000)","noteIndex":0},"citationItems":[{"id":2010,"uris":["http://zotero.org/users/5709166/items/8TZYIZRS"],"itemData":{"id":2010,"type":"article-journal","title":"Tacit Knowledge, Organizational Learning and Societal Institutions: An Integrated Framework","URL":"https://journals.sagepub.com/doi/pdf/10.1177/0170840600213001","author":[{"family":"Lam","given":"Alice"}],"accessed":{"date-parts":[["2019",10,22]]},"issued":{"date-parts":[["2000"]]}}}],"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(Lam, 2000)</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and resides in social collective works such as shared practices and routines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{"citationID":"a1rfh145prg","properties":{"formattedCitation":"(Razmerita et al., 2014)","plainCitation":"(Razmerita et al., 2014)","noteIndex":0},"citationItems":[{"id":2002,"uris":["http://zotero.org/users/5709166/items/FC24JDJT"],"itemData":{"id":2002,"type":"article-journal","abstract":"By using social media, many companies try to exploit new forms of interaction, collaboration, and knowledge sharing through leveraging the social, collaborative dimension of social software. The traditional collective knowledge management model based on a top-down approach is now opening up new avenues for a bottom-up approach incorporating a more personal knowledge management dimension, which could be synergized into collective knowledge using the social-collaborative dimension of social media. This article addresses the following questions: (1) How can social media support the management of personal and collective knowledge using a synergetic approach? (2) Do the personal and collective dimensions compete with each other, or can they reinforce each other in a more effective manner using social media? Our findings indicate that social media supports both the personal and collective dimensions of knowledge, while integrating a social collaborative dimension. The article introduces a framework that classifies social software into four categories according to the level of interaction and control. With certain tools, individuals are more in control. With other tools, the group is in control, resulting in a higher level of interaction and a diversity of knowledge and mindsets brought together. However, deploying and adopting these new tools in an organizational context is still a challenging task for management, owing to both organizational and individual factors.","container-title":"Journal of Organizational Computing and Electronic Commerce","DOI":"10.1080/10919392.2014.866504","ISSN":"1091-9392","issue":"1","page":"74-93","source":"Taylor and Francis+NEJM","title":"Social Media in Organizations: Leveraging Personal and Collective Knowledge Processes","title-short":"Social Media in Organizations","volume":"24","author":[{"family":"Razmerita","given":"Liana"},{"family":"Kirchner","given":"Kathrin"},{"family":"Nabeth","given":"Thierry"}],"issued":{"date-parts":[["2014",1,2]]}}}],"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(Razmerita et al., 2014)</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Spender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{"citationID":"a1bnusmf2k4","properties":{"formattedCitation":"(1996)","plainCitation":"(1996)","noteIndex":0},"citationItems":[{"id":2344,"uris":["http://zotero.org/users/5709166/items/X58KZH2W"],"itemData":{"id":2344,"type":"article-journal","container-title":"Journal of Organizational Change Management","DOI":"10.1108/09534819610156813","ISSN":"0953-4814","issue":"1","journalAbbreviation":"Journal of OrgChange Mgmt","language":"en","page":"63-78","source":"DOI.org (Crossref)","title":"Organizational knowledge, learning and memory: three concepts in search of a theory","title-short":"Organizational knowledge, learning and memory","volume":"9","author":[{"family":"Spender","given":"J.‐C."}],"issued":{"date-parts":[["1996",2]]}},"suppress-author":true}],"schema":"https://github.com/citation-style-language/schema/raw/master/csl-citation.json"}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(1996)</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combines the tacit-explicit dichotomy of knowledge and suggests a two by two matrix to illustrate four different types of knowledge: Conscious, Objectified, Automatic, and Collective (see Table 2.2.2.1). Conscious and Automatic knowledge represents individuals’ explicit and tacit knowledge. In social groups, objectified knowledge implies explicit group knowledge that will exist in libraries or rule-based production systems. Collective knowledge implies tacit group knowledge that comprises cognitive meaning and organisational behaviours, which represent inimitable knowledge possessed by a social group, such as an organisation’s value system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{"citationID":"6e9FFFJ1","properties":{"formattedCitation":"(Hislop et al., 2018)","plainCitation":"(Hislop et al., 2018)","noteIndex":0},"citationItems":[{"id":475,"uris":["http://zotero.org/users/5709166/items/K99MV3Q7"],"itemData":{"id":475,"type":"book","abstract":"Knowledge Management in Organizations is the most comprehensive and critical textbook on the subject. Encompassing a number of perspectives - including organizational behaviour, HRM, systems, and sociocultural factors - the text introduces the concept of knowledge before examining how it can be effectively managed within the organizations in which we work. The international author team ensure the broad theoretical coverage is brought to life with practical illustrations and case studies exploring topics such as knowledge sharing via social media, knowledge transfer in different cultural contexts, and the interaction of leadership, culture, and knowledge management in Australian SMEs. Examples are diverse, international, and highly relevant to each chapter, showcasing the significance of knowledge management in all types of organizational settings. 'Time to Reflect' boxes, review and discussion questions, and a question or activity to accompany every illustration and case study ensure students are challenged to engage with the subject critically and reflectively. Despite the critical approach and depth of coverage, the text remains accessible through its widely praised writing style, coherent structure, in-chapter definition boxes, and manageable size. This book is accompanied by a selection of online resources: For students: Extra online casesWeb links to additional resources and relevant websitesExtension questions For lecturers: Suggested exam questions Suggested essay/coursework questionsSuggestions for classroom activities Figures and tables from the book","ISBN":"978-0-19-872401-8","language":"en","note":"Google-Books-ID: fhFQDwAAQBAJ","number-of-pages":"345","publisher":"Oxford University Press","source":"Google Books","title":"Knowledge Management in Organizations: A Critical Introduction","title-short":"Knowledge Management in Organizations","author":[{"family":"Hislop","given":"Donald"},{"family":"Bosua","given":"Rachelle"},{"family":"Helms","given":"Remko"}],"issued":{"date-parts":[["2018",3,29]]}}}],"schema":"https://github.com/citation-style-language/schema/raw/master/csl-citation.json"}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(Hislop et al., 2018)</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w:t>
      </w:r>
    </w:p>
    <w:bookmarkEnd w:id="65"/>
    <w:bookmarkEnd w:id="66"/>
    <w:bookmarkEnd w:id="79"/>
    <w:bookmarkEnd w:id="80"/>
    <w:p w14:paraId="7542DDE6" w14:textId="77777777" w:rsidR="002C1A2F" w:rsidRPr="00F153F6" w:rsidRDefault="002C1A2F" w:rsidP="004424B4">
      <w:pPr>
        <w:spacing w:line="360" w:lineRule="auto"/>
        <w:jc w:val="both"/>
        <w:rPr>
          <w:rFonts w:ascii="Times New Roman" w:hAnsi="Times New Roman" w:cs="Times New Roman"/>
          <w:color w:val="000000" w:themeColor="text1"/>
          <w:sz w:val="24"/>
          <w:szCs w:val="24"/>
        </w:rPr>
      </w:pPr>
    </w:p>
    <w:p w14:paraId="4C0E6CDE" w14:textId="2A7E50C7" w:rsidR="00D345CD" w:rsidRPr="00F153F6" w:rsidRDefault="00D345CD" w:rsidP="00D345CD">
      <w:pPr>
        <w:pStyle w:val="Caption"/>
        <w:keepNext/>
        <w:rPr>
          <w:rFonts w:ascii="Times New Roman" w:hAnsi="Times New Roman" w:cs="Times New Roman"/>
          <w:i w:val="0"/>
          <w:iCs w:val="0"/>
          <w:color w:val="auto"/>
          <w:sz w:val="24"/>
          <w:szCs w:val="24"/>
        </w:rPr>
      </w:pPr>
      <w:bookmarkStart w:id="99" w:name="_Toc119448003"/>
      <w:bookmarkStart w:id="100" w:name="OLE_LINK222"/>
      <w:bookmarkStart w:id="101" w:name="OLE_LINK223"/>
      <w:r w:rsidRPr="00F153F6">
        <w:rPr>
          <w:rFonts w:ascii="Times New Roman" w:hAnsi="Times New Roman" w:cs="Times New Roman"/>
          <w:i w:val="0"/>
          <w:iCs w:val="0"/>
          <w:color w:val="auto"/>
          <w:sz w:val="24"/>
          <w:szCs w:val="24"/>
        </w:rPr>
        <w:t xml:space="preserve">Table 2. </w:t>
      </w:r>
      <w:r w:rsidRPr="00F153F6">
        <w:rPr>
          <w:rFonts w:ascii="Times New Roman" w:hAnsi="Times New Roman" w:cs="Times New Roman"/>
          <w:i w:val="0"/>
          <w:iCs w:val="0"/>
          <w:color w:val="auto"/>
          <w:sz w:val="24"/>
          <w:szCs w:val="24"/>
        </w:rPr>
        <w:fldChar w:fldCharType="begin"/>
      </w:r>
      <w:r w:rsidRPr="00F153F6">
        <w:rPr>
          <w:rFonts w:ascii="Times New Roman" w:hAnsi="Times New Roman" w:cs="Times New Roman"/>
          <w:i w:val="0"/>
          <w:iCs w:val="0"/>
          <w:color w:val="auto"/>
          <w:sz w:val="24"/>
          <w:szCs w:val="24"/>
        </w:rPr>
        <w:instrText xml:space="preserve"> SEQ Table_2. \* ARABIC </w:instrText>
      </w:r>
      <w:r w:rsidRPr="00F153F6">
        <w:rPr>
          <w:rFonts w:ascii="Times New Roman" w:hAnsi="Times New Roman" w:cs="Times New Roman"/>
          <w:i w:val="0"/>
          <w:iCs w:val="0"/>
          <w:color w:val="auto"/>
          <w:sz w:val="24"/>
          <w:szCs w:val="24"/>
        </w:rPr>
        <w:fldChar w:fldCharType="separate"/>
      </w:r>
      <w:r w:rsidRPr="00F153F6">
        <w:rPr>
          <w:rFonts w:ascii="Times New Roman" w:hAnsi="Times New Roman" w:cs="Times New Roman"/>
          <w:i w:val="0"/>
          <w:iCs w:val="0"/>
          <w:noProof/>
          <w:color w:val="auto"/>
          <w:sz w:val="24"/>
          <w:szCs w:val="24"/>
        </w:rPr>
        <w:t>2</w:t>
      </w:r>
      <w:r w:rsidRPr="00F153F6">
        <w:rPr>
          <w:rFonts w:ascii="Times New Roman" w:hAnsi="Times New Roman" w:cs="Times New Roman"/>
          <w:i w:val="0"/>
          <w:iCs w:val="0"/>
          <w:color w:val="auto"/>
          <w:sz w:val="24"/>
          <w:szCs w:val="24"/>
        </w:rPr>
        <w:fldChar w:fldCharType="end"/>
      </w:r>
      <w:r w:rsidRPr="00F153F6">
        <w:rPr>
          <w:rFonts w:ascii="Times New Roman" w:hAnsi="Times New Roman" w:cs="Times New Roman"/>
          <w:i w:val="0"/>
          <w:iCs w:val="0"/>
          <w:color w:val="auto"/>
          <w:sz w:val="24"/>
          <w:szCs w:val="24"/>
        </w:rPr>
        <w:t xml:space="preserve"> Different types of knowledge </w:t>
      </w:r>
      <w:r w:rsidRPr="00F153F6">
        <w:rPr>
          <w:rFonts w:ascii="Times New Roman" w:hAnsi="Times New Roman" w:cs="Times New Roman"/>
          <w:i w:val="0"/>
          <w:iCs w:val="0"/>
          <w:color w:val="auto"/>
          <w:sz w:val="24"/>
          <w:szCs w:val="24"/>
        </w:rPr>
        <w:fldChar w:fldCharType="begin"/>
      </w:r>
      <w:r w:rsidRPr="00F153F6">
        <w:rPr>
          <w:rFonts w:ascii="Times New Roman" w:hAnsi="Times New Roman" w:cs="Times New Roman"/>
          <w:i w:val="0"/>
          <w:iCs w:val="0"/>
          <w:color w:val="auto"/>
          <w:sz w:val="24"/>
          <w:szCs w:val="24"/>
        </w:rPr>
        <w:instrText xml:space="preserve"> ADDIN ZOTERO_ITEM CSL_CITATION {"citationID":"ause9cstpu","properties":{"formattedCitation":"(Spender, 1996)","plainCitation":"(Spender, 1996)","noteIndex":0},"citationItems":[{"id":2344,"uris":["http://zotero.org/users/5709166/items/X58KZH2W"],"itemData":{"id":2344,"type":"article-journal","container-title":"Journal of Organizational Change Management","DOI":"10.1108/09534819610156813","ISSN":"0953-4814","issue":"1","journalAbbreviation":"Journal of OrgChange Mgmt","language":"en","page":"63-78","source":"DOI.org (Crossref)","title":"Organizational knowledge, learning and memory: three concepts in search of a theory","title-short":"Organizational knowledge, learning and memory","volume":"9","author":[{"family":"Spender","given":"J.‐C."}],"issued":{"date-parts":[["1996",2]]}}}],"schema":"https://github.com/citation-style-language/schema/raw/master/csl-citation.json"} </w:instrText>
      </w:r>
      <w:r w:rsidRPr="00F153F6">
        <w:rPr>
          <w:rFonts w:ascii="Times New Roman" w:hAnsi="Times New Roman" w:cs="Times New Roman"/>
          <w:i w:val="0"/>
          <w:iCs w:val="0"/>
          <w:color w:val="auto"/>
          <w:sz w:val="24"/>
          <w:szCs w:val="24"/>
        </w:rPr>
        <w:fldChar w:fldCharType="separate"/>
      </w:r>
      <w:r w:rsidRPr="00F153F6">
        <w:rPr>
          <w:rFonts w:ascii="Times New Roman" w:hAnsi="Times New Roman" w:cs="Times New Roman"/>
          <w:i w:val="0"/>
          <w:iCs w:val="0"/>
          <w:color w:val="auto"/>
          <w:sz w:val="24"/>
          <w:szCs w:val="24"/>
        </w:rPr>
        <w:t>(Spender, 1996)</w:t>
      </w:r>
      <w:bookmarkEnd w:id="99"/>
      <w:r w:rsidRPr="00F153F6">
        <w:rPr>
          <w:rFonts w:ascii="Times New Roman" w:hAnsi="Times New Roman" w:cs="Times New Roman"/>
          <w:i w:val="0"/>
          <w:iCs w:val="0"/>
          <w:color w:val="auto"/>
          <w:sz w:val="24"/>
          <w:szCs w:val="24"/>
        </w:rPr>
        <w:fldChar w:fldCharType="end"/>
      </w:r>
    </w:p>
    <w:tbl>
      <w:tblPr>
        <w:tblStyle w:val="PlainTable4"/>
        <w:tblW w:w="0" w:type="auto"/>
        <w:tblBorders>
          <w:top w:val="single" w:sz="4" w:space="0" w:color="auto"/>
          <w:bottom w:val="single" w:sz="4" w:space="0" w:color="auto"/>
        </w:tblBorders>
        <w:tblLook w:val="04A0" w:firstRow="1" w:lastRow="0" w:firstColumn="1" w:lastColumn="0" w:noHBand="0" w:noVBand="1"/>
      </w:tblPr>
      <w:tblGrid>
        <w:gridCol w:w="2268"/>
        <w:gridCol w:w="3402"/>
        <w:gridCol w:w="3346"/>
      </w:tblGrid>
      <w:tr w:rsidR="002C1A2F" w:rsidRPr="00F153F6" w14:paraId="17723161" w14:textId="77777777" w:rsidTr="004314D7">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nil"/>
              <w:bottom w:val="nil"/>
              <w:right w:val="nil"/>
            </w:tcBorders>
          </w:tcPr>
          <w:p w14:paraId="547EF50E" w14:textId="77777777" w:rsidR="002C1A2F" w:rsidRPr="00F153F6" w:rsidRDefault="002C1A2F" w:rsidP="004424B4">
            <w:pPr>
              <w:spacing w:line="360" w:lineRule="auto"/>
              <w:rPr>
                <w:rFonts w:ascii="Times New Roman" w:hAnsi="Times New Roman" w:cs="Times New Roman"/>
                <w:color w:val="000000" w:themeColor="text1"/>
                <w:sz w:val="24"/>
                <w:szCs w:val="24"/>
              </w:rPr>
            </w:pPr>
          </w:p>
        </w:tc>
        <w:tc>
          <w:tcPr>
            <w:tcW w:w="3402" w:type="dxa"/>
            <w:tcBorders>
              <w:top w:val="single" w:sz="4" w:space="0" w:color="auto"/>
              <w:left w:val="nil"/>
              <w:bottom w:val="nil"/>
              <w:right w:val="nil"/>
            </w:tcBorders>
            <w:hideMark/>
          </w:tcPr>
          <w:p w14:paraId="258BEE28" w14:textId="77777777" w:rsidR="002C1A2F" w:rsidRPr="00F153F6" w:rsidRDefault="002C1A2F"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Individual</w:t>
            </w:r>
          </w:p>
        </w:tc>
        <w:tc>
          <w:tcPr>
            <w:tcW w:w="3346" w:type="dxa"/>
            <w:tcBorders>
              <w:top w:val="single" w:sz="4" w:space="0" w:color="auto"/>
              <w:left w:val="nil"/>
              <w:bottom w:val="nil"/>
              <w:right w:val="nil"/>
            </w:tcBorders>
            <w:hideMark/>
          </w:tcPr>
          <w:p w14:paraId="043C46BB" w14:textId="77777777" w:rsidR="002C1A2F" w:rsidRPr="00F153F6" w:rsidRDefault="002C1A2F"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Social</w:t>
            </w:r>
          </w:p>
        </w:tc>
      </w:tr>
    </w:tbl>
    <w:tbl>
      <w:tblPr>
        <w:tblW w:w="0" w:type="auto"/>
        <w:tblBorders>
          <w:top w:val="single" w:sz="4" w:space="0" w:color="auto"/>
          <w:bottom w:val="single" w:sz="4" w:space="0" w:color="auto"/>
        </w:tblBorders>
        <w:tblLook w:val="04A0" w:firstRow="1" w:lastRow="0" w:firstColumn="1" w:lastColumn="0" w:noHBand="0" w:noVBand="1"/>
      </w:tblPr>
      <w:tblGrid>
        <w:gridCol w:w="2268"/>
        <w:gridCol w:w="3402"/>
        <w:gridCol w:w="3346"/>
      </w:tblGrid>
      <w:tr w:rsidR="002C1A2F" w:rsidRPr="00F153F6" w14:paraId="1D919E80" w14:textId="77777777" w:rsidTr="004314D7">
        <w:trPr>
          <w:trHeight w:val="372"/>
        </w:trPr>
        <w:tc>
          <w:tcPr>
            <w:tcW w:w="2268" w:type="dxa"/>
            <w:tcBorders>
              <w:top w:val="nil"/>
              <w:left w:val="nil"/>
              <w:bottom w:val="nil"/>
              <w:right w:val="nil"/>
            </w:tcBorders>
            <w:hideMark/>
          </w:tcPr>
          <w:p w14:paraId="12DD079E" w14:textId="77777777" w:rsidR="002C1A2F" w:rsidRPr="00F153F6" w:rsidRDefault="002C1A2F" w:rsidP="004424B4">
            <w:pPr>
              <w:spacing w:after="0" w:line="360" w:lineRule="auto"/>
              <w:jc w:val="both"/>
              <w:rPr>
                <w:color w:val="000000" w:themeColor="text1"/>
                <w:sz w:val="24"/>
                <w:szCs w:val="24"/>
              </w:rPr>
            </w:pPr>
            <w:r w:rsidRPr="00F153F6">
              <w:rPr>
                <w:color w:val="000000" w:themeColor="text1"/>
                <w:sz w:val="24"/>
                <w:szCs w:val="24"/>
              </w:rPr>
              <w:t>Explicit</w:t>
            </w:r>
          </w:p>
        </w:tc>
        <w:tc>
          <w:tcPr>
            <w:tcW w:w="3402" w:type="dxa"/>
            <w:tcBorders>
              <w:top w:val="nil"/>
              <w:left w:val="nil"/>
              <w:bottom w:val="nil"/>
              <w:right w:val="nil"/>
            </w:tcBorders>
            <w:hideMark/>
          </w:tcPr>
          <w:p w14:paraId="447A06C6" w14:textId="77777777" w:rsidR="002C1A2F" w:rsidRPr="00F153F6" w:rsidRDefault="002C1A2F" w:rsidP="004424B4">
            <w:pPr>
              <w:spacing w:after="0" w:line="360" w:lineRule="auto"/>
              <w:jc w:val="both"/>
              <w:rPr>
                <w:color w:val="000000" w:themeColor="text1"/>
                <w:sz w:val="24"/>
                <w:szCs w:val="24"/>
              </w:rPr>
            </w:pPr>
            <w:r w:rsidRPr="00F153F6">
              <w:rPr>
                <w:color w:val="000000" w:themeColor="text1"/>
                <w:sz w:val="24"/>
                <w:szCs w:val="24"/>
              </w:rPr>
              <w:t>Conscious</w:t>
            </w:r>
          </w:p>
        </w:tc>
        <w:tc>
          <w:tcPr>
            <w:tcW w:w="3346" w:type="dxa"/>
            <w:tcBorders>
              <w:top w:val="nil"/>
              <w:left w:val="nil"/>
              <w:bottom w:val="nil"/>
              <w:right w:val="nil"/>
            </w:tcBorders>
            <w:hideMark/>
          </w:tcPr>
          <w:p w14:paraId="1862B39F" w14:textId="77777777" w:rsidR="002C1A2F" w:rsidRPr="00F153F6" w:rsidRDefault="002C1A2F" w:rsidP="004424B4">
            <w:pPr>
              <w:spacing w:after="0" w:line="360" w:lineRule="auto"/>
              <w:jc w:val="both"/>
              <w:rPr>
                <w:color w:val="000000" w:themeColor="text1"/>
                <w:sz w:val="24"/>
                <w:szCs w:val="24"/>
              </w:rPr>
            </w:pPr>
            <w:r w:rsidRPr="00F153F6">
              <w:rPr>
                <w:color w:val="000000" w:themeColor="text1"/>
                <w:sz w:val="24"/>
                <w:szCs w:val="24"/>
              </w:rPr>
              <w:t>Objectified</w:t>
            </w:r>
          </w:p>
        </w:tc>
      </w:tr>
      <w:tr w:rsidR="002C1A2F" w:rsidRPr="00F153F6" w14:paraId="10E04851" w14:textId="77777777" w:rsidTr="004314D7">
        <w:trPr>
          <w:trHeight w:val="419"/>
        </w:trPr>
        <w:tc>
          <w:tcPr>
            <w:tcW w:w="2268" w:type="dxa"/>
            <w:tcBorders>
              <w:top w:val="nil"/>
              <w:left w:val="nil"/>
              <w:bottom w:val="single" w:sz="4" w:space="0" w:color="auto"/>
              <w:right w:val="nil"/>
            </w:tcBorders>
            <w:hideMark/>
          </w:tcPr>
          <w:p w14:paraId="767A4FC4" w14:textId="77777777" w:rsidR="002C1A2F" w:rsidRPr="00F153F6" w:rsidRDefault="002C1A2F" w:rsidP="004424B4">
            <w:pPr>
              <w:spacing w:after="0" w:line="360" w:lineRule="auto"/>
              <w:jc w:val="both"/>
              <w:rPr>
                <w:color w:val="000000" w:themeColor="text1"/>
                <w:sz w:val="24"/>
                <w:szCs w:val="24"/>
              </w:rPr>
            </w:pPr>
            <w:r w:rsidRPr="00F153F6">
              <w:rPr>
                <w:color w:val="000000" w:themeColor="text1"/>
                <w:sz w:val="24"/>
                <w:szCs w:val="24"/>
              </w:rPr>
              <w:t>Implicit</w:t>
            </w:r>
          </w:p>
        </w:tc>
        <w:tc>
          <w:tcPr>
            <w:tcW w:w="3402" w:type="dxa"/>
            <w:tcBorders>
              <w:top w:val="nil"/>
              <w:left w:val="nil"/>
              <w:bottom w:val="single" w:sz="4" w:space="0" w:color="auto"/>
              <w:right w:val="nil"/>
            </w:tcBorders>
            <w:shd w:val="clear" w:color="auto" w:fill="F2F2F2" w:themeFill="background1" w:themeFillShade="F2"/>
            <w:hideMark/>
          </w:tcPr>
          <w:p w14:paraId="4D53060B" w14:textId="77777777" w:rsidR="002C1A2F" w:rsidRPr="00F153F6" w:rsidRDefault="002C1A2F" w:rsidP="004424B4">
            <w:pPr>
              <w:spacing w:after="0" w:line="360" w:lineRule="auto"/>
              <w:jc w:val="both"/>
              <w:rPr>
                <w:color w:val="000000" w:themeColor="text1"/>
                <w:sz w:val="24"/>
                <w:szCs w:val="24"/>
              </w:rPr>
            </w:pPr>
            <w:r w:rsidRPr="00F153F6">
              <w:rPr>
                <w:color w:val="000000" w:themeColor="text1"/>
                <w:sz w:val="24"/>
                <w:szCs w:val="24"/>
              </w:rPr>
              <w:t>Automatic</w:t>
            </w:r>
          </w:p>
        </w:tc>
        <w:tc>
          <w:tcPr>
            <w:tcW w:w="3346" w:type="dxa"/>
            <w:tcBorders>
              <w:top w:val="nil"/>
              <w:left w:val="nil"/>
              <w:bottom w:val="single" w:sz="4" w:space="0" w:color="auto"/>
              <w:right w:val="nil"/>
            </w:tcBorders>
            <w:shd w:val="clear" w:color="auto" w:fill="F2F2F2" w:themeFill="background1" w:themeFillShade="F2"/>
            <w:hideMark/>
          </w:tcPr>
          <w:p w14:paraId="051BA6F2" w14:textId="77777777" w:rsidR="002C1A2F" w:rsidRPr="00F153F6" w:rsidRDefault="002C1A2F" w:rsidP="004424B4">
            <w:pPr>
              <w:spacing w:after="0" w:line="360" w:lineRule="auto"/>
              <w:jc w:val="both"/>
              <w:rPr>
                <w:color w:val="000000" w:themeColor="text1"/>
                <w:sz w:val="24"/>
                <w:szCs w:val="24"/>
              </w:rPr>
            </w:pPr>
            <w:r w:rsidRPr="00F153F6">
              <w:rPr>
                <w:color w:val="000000" w:themeColor="text1"/>
                <w:sz w:val="24"/>
                <w:szCs w:val="24"/>
              </w:rPr>
              <w:t>Collective</w:t>
            </w:r>
          </w:p>
        </w:tc>
      </w:tr>
    </w:tbl>
    <w:p w14:paraId="0742F9F6" w14:textId="77777777" w:rsidR="002C1A2F" w:rsidRPr="00F153F6" w:rsidRDefault="002C1A2F" w:rsidP="004424B4">
      <w:pPr>
        <w:spacing w:line="360" w:lineRule="auto"/>
        <w:jc w:val="both"/>
        <w:rPr>
          <w:rFonts w:ascii="Times New Roman" w:hAnsi="Times New Roman" w:cs="Times New Roman"/>
          <w:color w:val="000000" w:themeColor="text1"/>
          <w:sz w:val="24"/>
          <w:szCs w:val="24"/>
        </w:rPr>
      </w:pPr>
    </w:p>
    <w:p w14:paraId="2F7BFE20" w14:textId="77777777"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From an objectivist perspective on knowledge, there are various theories that underpin KM research. For example, Grant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{"citationID":"ao716snlfs","properties":{"formattedCitation":"(1996)","plainCitation":"(1996)","noteIndex":0},"citationItems":[{"id":2108,"uris":["http://zotero.org/users/5709166/items/4ZH9YDLD"],"itemData":{"id":2108,"type":"article-journal","abstract":"Given assumptions about the characteristics of knowledge and the knowledge requirements of production, the firm is conceptualized as an institution for integrating knowledge. The primary contribution of the paper is in exploring the coordination mechanisms through which firms integrate the specialist knowledge of their members. In contrast to earlier literature, knowledge is viewed as residing within the individual, and the primary role of the organization is knowledge application rather than knowledge creation. The resulting theory has implications for the basis of organizational capability, the principles of organization design (in particular, the analysis of hierarchy and the distribution of decision-making authority), and the determinants of the horizontal and vertical boundaries of the firm. More generally, the knowledge-based approach sheds new light upon current organizational innovations and trends and has far-reaching implications for management practice.","container-title":"Strategic Management Journal","DOI":"10.1002/smj.4250171110","ISSN":"1097-0266","issue":"S2","language":"en","page":"109-122","source":"Wiley Online Library","title":"Toward a knowledge-based theory of the firm","volume":"17","author":[{"family":"Grant","given":"Robert M."}],"issued":{"date-parts":[["1996"]]}},"suppress-author":true}],"schema":"https://github.com/citation-style-language/schema/raw/master/csl-citation.json"}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(1996)</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suggests a knowledge-based theory of an organisation that views knowledge as a significant resource Organisations can provide mechanism or techniques to manage the exchange of knowledge, such as knowledge sharing between people. Simon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{"citationID":"a2p1ju6v1bb","properties":{"formattedCitation":"(1960)","plainCitation":"(1960)","noteIndex":0},"citationItems":[{"id":2343,"uris":["http://zotero.org/users/5709166/items/7TR34QMV"],"itemData":{"id":2343,"type":"book","abstract":"My research activities during the past decade have brought me into contact with developments in the use of electronic digital computers. These computers are startling even in a world that takes atomic energy and the prospects of space travel in its stride. The computer and the new decision-making techniques associated with it are bringing changes in white-collar, executive, and professional work as momentous as those the introduction of machinery has brought to manual jobs. The invitation extended to me by the School of Commerce, Accounts, and Finance of New York University, to spend some weeks there as Ford Distinguished Visiting Professor and to deliver a series of public lectures, provided me a welcome opportunity to reflect about the organizational and social implications of these rapid technical developments. The lectures, slightly expanded here from the form of their public presentation, record the product—a very speculative product—of my reflections. (PsycINFO Database Record (c) 2016 APA, all rights reserved)","collection-title":"The new science of management decision","event-place":"New York, NY, US","note":"page: xii, 50\nDOI: 10.1037/13978-000","number-of-pages":"xii, 50","publisher":"Harper &amp; Brothers","publisher-place":"New York, NY, US","source":"APA PsycNET","title":"The new science of management decision","author":[{"family":"Simon","given":"Herbert A."}],"issued":{"date-parts":[["1960"]]}},"suppress-author":true}],"schema":"https://github.com/citation-style-language/schema/raw/master/csl-citation.json"}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(1960)</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suggests an information processing view of knowledge creation describing how new knowledge is built through a series of elementary information processes. Like a computer routine, knowledge is created through converting input information to output information in order to solve all subproblems towards a final solution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{"citationID":"a2b1rlgk953","properties":{"formattedCitation":"(Y. Li et al., 2006)","plainCitation":"(Y. Li et al., 2006)","dontUpdate":true,"noteIndex":0},"citationItems":[{"id":2342,"uris":["http://zotero.org/users/5709166/items/RU3G583K"],"itemData":{"id":2342,"type":"article-journal","abstract":"Past Information Systems (IS) research on knowledge creation has not adequately accounted for the evolutionary nature of knowledge. Research limitations also exist in depicting the roles of information in the knowledge creation process. These two problems present difficulties for practitioners when attempting to successfully implement Information Technology (IT) to facilitate knowledge creation. Based on a problem-solving paradigm, this research analyzes knowledge creation from both the evolutionary and information-processing perspectives. The resultant theory outlines a process whereby tentative knowledge is generated from varied existing knowledge and applied to a problem, producing information to test the extent to which the problem can be solved. An iterative process continues until the tentative knowledge with the highest potential to solve the problem is found, yielding the information to best meet the goal. This process is further embedded in an organization-wide problem-solving hierarchy where new knowledge is developed via the integration of knowledge elements of sub-problems. By incorporating the evolutionary nature of knowledge, this research provides a deeper understanding of the knowledge creation process and the key determinants of its success. More importantly, by clearly specifying the roles of information in the process, it offers promise in the better design of IT to improve knowledge creation performance. We develop a framework based on this Evolutionary Information-Processing Theory to aid practitioners in IS design.","container-title":"Journal of the Association for Information Systems","DOI":"10.17705/1jais.00101","ISSN":"15369323","issue":"9","journalAbbreviation":"JAIS","language":"en","page":"593-617","source":"DOI.org (Crossref)","title":"An Evolutionary Information-Processing Theory of Knowledge Creation","volume":"7","author":[{"family":"Li","given":"Yuan"},{"family":"Kettinger","given":"William"},{"literal":"University of South Carolina"}],"issued":{"date-parts":[["2006",9]]}}}],"schema":"https://github.com/citation-style-language/schema/raw/master/csl-citation.json"}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(Li et al., 2006)</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From an objectivist perspective, knowledge normally is viewed as an asset and the role of knowledge is to progress individuals or organisations towards an ideal competitive advantage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{"citationID":"a28d22bj319","properties":{"formattedCitation":"(Schultze &amp; Stabell, 2004)","plainCitation":"(Schultze &amp; Stabell, 2004)","noteIndex":0},"citationItems":[{"id":2357,"uris":["http://zotero.org/users/5709166/items/HER3VGQU"],"itemData":{"id":2357,"type":"article-journal","abstract":"Even though knowledge management scholars generally advocate explicit management of knowledge, there is research that cautions against the unintended consequences of such efforts. Some researchers go as far as arguing that knowledge and management are contradictory concepts (Alvesson and Kärreman, 2001). This paper explores the apparent double-edged nature of knowledge management by developing a theory-based framework that highlights different fundamental assumptions about knowledge and its management. This framework, which is an adaptation of Burrell and Morgan's four paradigms of social and organizational inquiry, distinguishes among a neo-functionalist, a constructivist, a critical and a dialogic discourse. We use the contradiction of managing tacit knowledge, which has been highlighted in the knowledge management literature, as an analytical device to explore the four discourses in more detail. We show how notions of knowledge, and what it means to manage knowledge, vary across the four discourses. We conclude that all four discourses need to be appreciated, understood and represented in knowledge management research for this area of inquiry to deal with the rich and problematic nature of managing knowledge in practice.","container-title":"Journal of Management Studies","DOI":"10.1111/j.1467-6486.2004.00444.x","ISSN":"1467-6486","issue":"4","language":"en","note":"_eprint: https://onlinelibrary.wiley.com/doi/pdf/10.1111/j.1467-6486.2004.00444.x","page":"549-573","source":"Wiley Online Library","title":"Knowing What You Don’t Know? Discourses and Contradictions in Knowledge Management Research","title-short":"Knowing What You Don’t Know?","volume":"41","author":[{"family":"Schultze","given":"Ulrike"},{"family":"Stabell","given":"Charles"}],"issued":{"date-parts":[["2004"]]}}}],"schema":"https://github.com/citation-style-language/schema/raw/master/csl-citation.json"}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(Schultze &amp; Stabell, 2004)</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w:t>
      </w:r>
    </w:p>
    <w:p w14:paraId="42D0EE76" w14:textId="77777777" w:rsidR="002C1A2F" w:rsidRPr="00F153F6" w:rsidRDefault="002C1A2F" w:rsidP="004424B4">
      <w:pPr>
        <w:pStyle w:val="Heading4"/>
        <w:spacing w:line="360" w:lineRule="auto"/>
        <w:ind w:firstLine="720"/>
        <w:jc w:val="both"/>
        <w:rPr>
          <w:rFonts w:ascii="Times New Roman" w:hAnsi="Times New Roman" w:cs="Times New Roman"/>
          <w:color w:val="000000" w:themeColor="text1"/>
          <w:sz w:val="28"/>
          <w:szCs w:val="28"/>
        </w:rPr>
      </w:pPr>
      <w:r w:rsidRPr="00F153F6">
        <w:rPr>
          <w:rFonts w:ascii="Times New Roman" w:hAnsi="Times New Roman" w:cs="Times New Roman"/>
          <w:color w:val="000000" w:themeColor="text1"/>
          <w:sz w:val="28"/>
          <w:szCs w:val="28"/>
        </w:rPr>
        <w:t xml:space="preserve">2.2.2.2 Practice-based Perspective of Knowledge </w:t>
      </w:r>
    </w:p>
    <w:p w14:paraId="645900BA" w14:textId="7BEF02E0"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A practice-based perspective of knowledge lies in a practice view on our world that is shaped by human ongoing practices and the results of performance and accomplishments </w:t>
      </w:r>
      <w:r w:rsidRPr="00F153F6">
        <w:rPr>
          <w:rFonts w:ascii="Times New Roman" w:hAnsi="Times New Roman" w:cs="Times New Roman"/>
          <w:color w:val="000000" w:themeColor="text1"/>
          <w:sz w:val="24"/>
          <w:szCs w:val="24"/>
        </w:rPr>
        <w:fldChar w:fldCharType="begin"/>
      </w:r>
      <w:r w:rsidR="00FA2025" w:rsidRPr="00F153F6">
        <w:rPr>
          <w:rFonts w:ascii="Times New Roman" w:hAnsi="Times New Roman" w:cs="Times New Roman"/>
          <w:color w:val="000000" w:themeColor="text1"/>
          <w:sz w:val="24"/>
          <w:szCs w:val="24"/>
        </w:rPr>
        <w:instrText xml:space="preserve"> ADDIN ZOTERO_ITEM CSL_CITATION {"citationID":"P77bYZHb","properties":{"formattedCitation":"(Nicolini, 2013a)","plainCitation":"(Nicolini, 2013a)","noteIndex":0},"citationItems":[{"id":10204,"uris":["http://zotero.org/users/5709166/items/WGYAA3F4"],"itemData":{"id":10204,"type":"book","abstract":"\"What is practice theory? Where do practice theories come from? What do they say? Do they really offer something new to the study of work and organization? In setting out to answer these questions, this book provides a rigorous yet accessible introduction to contemporary theories of practice, discussing their distinctive contribution to work and organization studies. Practice theories are a set of conceptual tools and methodologies for investigating, analysing, and representing everyday practice through written text, language, images, and behaviour. Drawing on a variety of theoretical traditions, they have explored the idea that phenomena such as knowledge, meaning, science, power, organized activity, sociality, and institutions are rooted in practice. The book first examines the origins of the idea of practice. Recognizing that a unified theory of practice does not exist, the central chapters of the book then discuss the theory and concepts of the main scholarly traditions that have, collectively, contributed to the 'practice turn' in social and organization studies. Each of the central chapters concludes with a fully worked example of the theory in application. Practice theories have become of increasing interest for management and organizational scholars in recent years, and this book is an advanced introduction to the complexities of the area for academics, researchers, and graduate students in organization studies, management, and across the social sciences.\"--Publisher's website","call-number":"HD30.4 N536 2013","edition":"First Edition","event-place":"Oxford","ISBN":"978-0-19-923160-7","language":"en","note":"OCLC: ocn828774985","number-of-pages":"272","publisher":"Oxford University Press","publisher-place":"Oxford","source":"Library of Congress ISBN","title":"Practice Theory, Work, and Organization: An Introduction","title-short":"Practice Theory, Work, and Organization","author":[{"family":"Nicolini","given":"Davide"}],"issued":{"date-parts":[["2013"]]}}}],"schema":"https://github.com/citation-style-language/schema/raw/master/csl-citation.json"}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(Nicolini, 2013)</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From this perspective, organisations are considered as a bundle of practices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{"citationID":"ahaqkii8nf","properties":{"formattedCitation":"(Nicolini, 2017)","plainCitation":"(Nicolini, 2017)","noteIndex":0},"citationItems":[{"id":2549,"uris":["http://zotero.org/users/5709166/items/665H2PPG"],"itemData":{"id":2549,"type":"article-journal","container-title":"Methodological Reflections on Practice Oriented Theories","page":"19-34","title":"Practice theory as a package of theory, method and vocabulary: Affordances and limitations","author":[{"family":"Nicolini","given":"Davide"}],"issued":{"date-parts":[["2017"]]}}}],"schema":"https://github.com/citation-style-language/schema/raw/master/csl-citation.json"}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(Nicolini, 2017)</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and ongoing accomplishments as people engage in everyday activities and recurrent actions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{"citationID":"a956ekmfat","properties":{"formattedCitation":"(Feldman &amp; Orlikowski, 2011)","plainCitation":"(Feldman &amp; Orlikowski, 2011)","noteIndex":0},"citationItems":[{"id":2654,"uris":["http://zotero.org/users/5709166/items/KEX89KSH"],"itemData":{"id":2654,"type":"article-journal","container-title":"Organization Science","DOI":"10.1287/orsc.1100.0612","ISSN":"1047-7039, 1526-5455","issue":"5","journalAbbreviation":"Organization Science","language":"en","page":"1240-1253","source":"DOI.org (Crossref)","title":"Theorizing Practice and Practicing Theory","volume":"22","author":[{"family":"Feldman","given":"Martha S."},{"family":"Orlikowski","given":"Wanda J."}],"issued":{"date-parts":[["2011",10]]}}}],"schema":"https://github.com/citation-style-language/schema/raw/master/csl-citation.json"}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(Feldman &amp; Orlikowski, 2011)</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Organisational phenomena such as knowledge “occur within and are aspects or components of the field of practices”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{"citationID":"a2826eujdj9","properties":{"formattedCitation":"(Schatzki et al., 2005, p. 11)","plainCitation":"(Schatzki et al., 2005, p. 11)","noteIndex":0},"citationItems":[{"id":10239,"uris":["http://zotero.org/users/5709166/items/LX8558F8"],"itemData":{"id":10239,"type":"book","abstract":"This book provides an exciting and diverse philosophical exploration of the role of practice and practices in human activity. It contains original essays and critiques of this philosophical and sociological attempt to move beyond current problematic ways of thinking in the humanities and social sciences. It will be useful across many disciplines, including philosophy, sociology, science, cultural theory, history and anthropology","event-place":"Florence","ISBN":"978-0-203-97745-3","language":"en","note":"OCLC: 1048459840","publisher":"Taylor and Francis","publisher-place":"Florence","source":"Open WorldCat","title":"The Practice Turn in Contemporary Theory","author":[{"family":"Schatzki","given":"Theodore R."},{"family":"Knorr Cetina","given":"Karin"},{"family":"Savigny","given":"Eike","dropping-particle":"von"},{"family":"Knorr-Cetina","given":"K."}],"issued":{"date-parts":[["2005"]]}},"locator":"11","label":"pag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(Schatzki et al., 2005, p. 11)</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Organisational researchers have increasingly used such a perspective to investigate organisational phenomena where the focus has been put on the dynamics, relations and enactment of organisational phenomena through analysis of everyday human actions. Such perspective put an emphasis on a relational construct that agencies (such as human agencies and material agencies) always come in relations and organisational phenomena always exist in relation to each other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{"citationID":"a136oajl2ou","properties":{"formattedCitation":"(Feldman &amp; Orlikowski, 2011; Nicolini, 2017; \\uc0\\u216{}sterlund &amp; Carlile, 2005)","plainCitation":"(Feldman &amp; Orlikowski, 2011; Nicolini, 2017; Østerlund &amp; Carlile, 2005)","noteIndex":0},"citationItems":[{"id":2654,"uris":["http://zotero.org/users/5709166/items/KEX89KSH"],"itemData":{"id":2654,"type":"article-journal","container-title":"Organization Science","DOI":"10.1287/orsc.1100.0612","ISSN":"1047-7039, 1526-5455","issue":"5","journalAbbreviation":"Organization Science","language":"en","page":"1240-1253","source":"DOI.org (Crossref)","title":"Theorizing Practice and Practicing Theory","volume":"22","author":[{"family":"Feldman","given":"Martha S."},{"family":"Orlikowski","given":"Wanda J."}],"issued":{"date-parts":[["2011",10]]}}},{"id":2549,"uris":["http://zotero.org/users/5709166/items/665H2PPG"],"itemData":{"id":2549,"type":"article-journal","container-title":"Methodological Reflections on Practice Oriented Theories","page":"19-34","title":"Practice theory as a package of theory, method and vocabulary: Affordances and limitations","author":[{"family":"Nicolini","given":"Davide"}],"issued":{"date-parts":[["2017"]]}}},{"id":10341,"uris":["http://zotero.org/users/5709166/items/PKNQCKYM"],"itemData":{"id":10341,"type":"article-journal","abstract":"We examine practice theories concerned with knowledge sharing in complex organizations to distinguish common trends and variations in this complex body of work. We suggest that an analytical framework highlighting the relational thinking in practice theories can serve as a tool to sort through the literature on knowledge sharing. First, we delineate a relational framework consisting of seven attributes associated with a practice theory. Second, we use this framework to analyze a narrow set of practice theories represented by three seminal works on communities of practice. Third, we compare and contrast the relational dynamics found in the three seminal works in regard to how they conceptualize knowledge sharing within and across communal boundaries.","container-title":"The Information Society","DOI":"10.1080/01972240590925294","ISSN":"0197-2243, 1087-6537","issue":"2","journalAbbreviation":"The Information Society","language":"en","page":"91-107","source":"DOI.org (Crossref)","title":"Relations in Practice: Sorting Through Practice Theories on Knowledge Sharing in Complex Organizations","title-short":"Relations in Practice","volume":"21","author":[{"family":"Østerlund","given":"Carsten"},{"family":"Carlile","given":"Paul"}],"issued":{"date-parts":[["2005",4]]}}}],"schema":"https://github.com/citation-style-language/schema/raw/master/csl-citation.json"}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(Feldman &amp; Orlikowski, 2011; Nicolini, 2017; Østerlund &amp; Carlile, 2005)</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w:t>
      </w:r>
    </w:p>
    <w:p w14:paraId="457DD3EF" w14:textId="22D65F9F"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From a practice-based perspective, knowledge cannot be depicted as an independent aspect of organisational life such as a codified object or entity; rather, it is embedded within the working practices and always in relation to the materials, tools and human bodies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{"citationID":"ad3ooeafe0","properties":{"formattedCitation":"(Nicolini, 2013a; Orlikowski, 2002b)","plainCitation":"(Nicolini, 2013a; Orlikowski, 2002b)","noteIndex":0},"citationItems":[{"id":10204,"uris":["http://zotero.org/users/5709166/items/WGYAA3F4"],"itemData":{"id":10204,"type":"book","abstract":"\"What is practice theory? Where do practice theories come from? What do they say? Do they really offer something new to the study of work and organization? In setting out to answer these questions, this book provides a rigorous yet accessible introduction to contemporary theories of practice, discussing their distinctive contribution to work and organization studies. Practice theories are a set of conceptual tools and methodologies for investigating, analysing, and representing everyday practice through written text, language, images, and behaviour. Drawing on a variety of theoretical traditions, they have explored the idea that phenomena such as knowledge, meaning, science, power, organized activity, sociality, and institutions are rooted in practice. The book first examines the origins of the idea of practice. Recognizing that a unified theory of practice does not exist, the central chapters of the book then discuss the theory and concepts of the main scholarly traditions that have, collectively, contributed to the 'practice turn' in social and organization studies. Each of the central chapters concludes with a fully worked example of the theory in application. Practice theories have become of increasing interest for management and organizational scholars in recent years, and this book is an advanced introduction to the complexities of the area for academics, researchers, and graduate students in organization studies, management, and across the social sciences.\"--Publisher's website","call-number":"HD30.4 N536 2013","edition":"First Edition","event-place":"Oxford","ISBN":"978-0-19-923160-7","language":"en","note":"OCLC: ocn828774985","number-of-pages":"272","publisher":"Oxford University Press","publisher-place":"Oxford","source":"Library of Congress ISBN","title":"Practice Theory, Work, and Organization: An Introduction","title-short":"Practice Theory, Work, and Organization","author":[{"family":"Nicolini","given":"Davide"}],"issued":{"date-parts":[["2013"]]}}},{"id":2563,"uris":["http://zotero.org/users/5709166/items/9U4BIGZY"],"itemData":{"id":2563,"type":"article-journal","abstract":"In this paper, I outline a perspective on knowing in practice which highlights the essential role of human action in knowing how to get things done in complex organizational work. The perspective suggests that knowing is not a static embedded capability or stable disposition of actors, but rather an ongoing social accomplishment, constituted and reconstituted as actors engage the world in practice. In interpreting the findings of an empirical study conducted in a geographically dispersed hightech organization, I suggest that the competence to do global product development is both collective and distributed, grounded in the everyday practices of organizational members. I conclude by discussing some of the research implications of a perspective on organizational knowing in practice.","container-title":"Organization Science","DOI":"10.1287/orsc.13.3.249.2776","ISSN":"1047-7039","issue":"3","note":"publisher: INFORMS","page":"249-273","source":"pubsonline.informs.org (Atypon)","title":"Knowing in Practice: Enacting a Collective Capability in Distributed Organizing","title-short":"Knowing in Practice","volume":"13","author":[{"family":"Orlikowski","given":"Wanda J."}],"issued":{"date-parts":[["2002",6,1]]}}}],"schema":"https://github.com/citation-style-language/schema/raw/master/csl-citation.json"}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(Nicolini, 2013; Orlikowski, 2002)</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This perspective emphasis ‘the epistemology of practice’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{"citationID":"aeh0qtd208","properties":{"formattedCitation":"(Cook &amp; Brown, 1999)","plainCitation":"(Cook &amp; Brown, 1999)","noteIndex":0},"citationItems":[{"id":2224,"uris":["http://zotero.org/users/5709166/items/TIMW2RH3"],"itemData":{"id":2224,"type":"article-journal","abstract":"Much current work on organizational knowledge, intellectual capital, knowledge-creating organizations, knowledge work, and the like rests on a single, traditional understanding of the nature of knowledge. We call this understanding the “epistemology of possession,” since it treats knowledge as something people possess. Yet, this epistemology cannot account for the knowing found in individual and group practice. Knowing as action calls for an “epistemology of practice.” Moreover, the epistemology of possession tends to privilege explicit over tacit knowledge, and knowledge possessed by individuals over that possessed by groups. Current work on organizations is limited by this privileging and by the scant attention given to knowing in its own right. Organizations are better understood if explicit, tacit, individual and group knowledge are treated as four distinct and coequal forms of knowledge (each doing work the others cannot), and if knowledge and knowing are seen as mutually enabling (not competing). We hold that knowledge is a tool of knowing, that knowing is an aspect of our interaction with the social and physical world, and that the interplay of knowledge and knowing can generate new knowledge and new ways of knowing. We believe this generative dance between knowledge and knowing is a powerful source of organizational innovation. Harnessing this innovation calls for organizational and technological infrastructures that support the interplay of knowledge and knowing. Ultimately, these concepts make possible a more robust framing of such epistemologically-centered concerns as core competencies, the management of intellectual capital, etc. We explore these views through three brief case studies drawn from recent research.","container-title":"Organization Science","DOI":"10.1287/orsc.10.4.381","ISSN":"1047-7039, 1526-5455","issue":"4","journalAbbreviation":"Organization Science","language":"en","page":"381-400","source":"DOI.org (Crossref)","title":"Bridging Epistemologies: The Generative Dance Between Organizational Knowledge and Organizational Knowing","title-short":"Bridging Epistemologies","volume":"10","author":[{"family":"Cook","given":"Scott D. N."},{"family":"Brown","given":"John Seely"}],"issued":{"date-parts":[["1999",8]]}}}],"schema":"https://github.com/citation-style-language/schema/raw/master/csl-citation.json"}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(Cook &amp; Brown, 1999)</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and views knowledge as “action-oriented and implicit…and acquired by experience in a specific context”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{"citationID":"a2jfclc8qlh","properties":{"formattedCitation":"(Ripamonti &amp; Scaratti, 2012, p. 185)","plainCitation":"(Ripamonti &amp; Scaratti, 2012, p. 185)","noteIndex":0},"citationItems":[{"id":2341,"uris":["http://zotero.org/users/5709166/items/SC4E349L"],"itemData":{"id":2341,"type":"article-journal","abstract":"The aim of this article is to demonstrate the importance of local knowledge for the design of assessment tools intended to develop and enhance human resources in organizations. With respect to the standardization of assessment procedures brought about by the application of universal and global reference models, the article uses a case study to illustrate the potentialities and shortcomings of using a local approach. After a brief survey of the main theoretical frames of reference, the article describes how local knowledge was used at an assessment centre set up at a multinational operating in the maritime transport sector, with a view to developing the competences required by the company. The article describes and discusses the ways in which certain classic knowledge management situations were adapted at the assessment centre to local needs and conditions, and the main results obtained. Finally discussed are the practical and social implications, as well as the limitations and the transferability, of a local approach to assessment.","container-title":"Management Learning","DOI":"10.1177/1350507611429911","ISSN":"1350-5076","issue":"2","journalAbbreviation":"Management Learning","note":"publisher: SAGE Publications Ltd","page":"183-197","source":"SAGE Journals","title":"Weak knowledge for strengthening competences: A practice-based approach in assessment management","title-short":"Weak knowledge for strengthening competences","volume":"43","author":[{"family":"Ripamonti","given":"Silvio"},{"family":"Scaratti","given":"Giuseppe"}],"issued":{"date-parts":[["2012",4,1]]}},"locator":"185","label":"pag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(Ripamonti &amp; Scaratti, 2012, p. 185)</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w:t>
      </w:r>
    </w:p>
    <w:p w14:paraId="05167E5C" w14:textId="026B7198" w:rsidR="00E97F08" w:rsidRPr="00F153F6" w:rsidRDefault="002E5E64" w:rsidP="006D4F18">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lastRenderedPageBreak/>
        <w:t>Adopting</w:t>
      </w:r>
      <w:r w:rsidR="00E97F08" w:rsidRPr="00F153F6">
        <w:rPr>
          <w:rFonts w:ascii="Times New Roman" w:hAnsi="Times New Roman" w:cs="Times New Roman"/>
          <w:color w:val="000000" w:themeColor="text1"/>
          <w:sz w:val="24"/>
          <w:szCs w:val="24"/>
        </w:rPr>
        <w:t xml:space="preserve"> </w:t>
      </w:r>
      <w:r w:rsidRPr="00F153F6">
        <w:rPr>
          <w:rFonts w:ascii="Times New Roman" w:hAnsi="Times New Roman" w:cs="Times New Roman"/>
          <w:color w:val="000000" w:themeColor="text1"/>
          <w:sz w:val="24"/>
          <w:szCs w:val="24"/>
        </w:rPr>
        <w:t>a</w:t>
      </w:r>
      <w:r w:rsidR="00E97F08" w:rsidRPr="00F153F6">
        <w:rPr>
          <w:rFonts w:ascii="Times New Roman" w:hAnsi="Times New Roman" w:cs="Times New Roman"/>
          <w:color w:val="000000" w:themeColor="text1"/>
          <w:sz w:val="24"/>
          <w:szCs w:val="24"/>
        </w:rPr>
        <w:t xml:space="preserve"> practice-based </w:t>
      </w:r>
      <w:r w:rsidRPr="00F153F6">
        <w:rPr>
          <w:rFonts w:ascii="Times New Roman" w:hAnsi="Times New Roman" w:cs="Times New Roman"/>
          <w:color w:val="000000" w:themeColor="text1"/>
          <w:sz w:val="24"/>
          <w:szCs w:val="24"/>
        </w:rPr>
        <w:t>approach</w:t>
      </w:r>
      <w:r w:rsidR="00E97F08" w:rsidRPr="00F153F6">
        <w:rPr>
          <w:rFonts w:ascii="Times New Roman" w:hAnsi="Times New Roman" w:cs="Times New Roman"/>
          <w:color w:val="000000" w:themeColor="text1"/>
          <w:sz w:val="24"/>
          <w:szCs w:val="24"/>
        </w:rPr>
        <w:t>, Lave and Wenger</w:t>
      </w:r>
      <w:r w:rsidRPr="00F153F6">
        <w:rPr>
          <w:rFonts w:ascii="Times New Roman" w:hAnsi="Times New Roman" w:cs="Times New Roman"/>
          <w:color w:val="000000" w:themeColor="text1"/>
          <w:sz w:val="24"/>
          <w:szCs w:val="24"/>
        </w:rPr>
        <w:t xml:space="preserve">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{"citationID":"GW9QlnKG","properties":{"formattedCitation":"(1991)","plainCitation":"(1991)","noteIndex":0},"citationItems":[{"id":10244,"uris":["http://zotero.org/users/5709166/items/GTDHE27S"],"itemData":{"id":10244,"type":"book","abstract":"In this important theoretical treatise, Jean Lave, anthropologist, and Etienne Wenger, computer scientist, push forward the notion of situated learning--that learning is fundamentally a social process and not solely in the learner's head. The authors maintain that learning viewed as situated activity has as its central defining characteristic a process they call legitimate peripheral participation. Learners participate in communities of practitioners, moving toward full participation in the sociocultural practices of a community. Legitimate peripheral participation provides a way to speak about crucial relations between newcomers and oldtimers and about their activities, identities, artifacts, knowledge and practice. The communities discussed in the book are midwives, tailors, quartermasters, butchers, and recovering alcoholics, however, the process by which participants in those communities learn can be generalized to other social groups.","ISBN":"978-0-521-42374-8","language":"en","note":"Google-Books-ID: CAVIOrW3vYAC","number-of-pages":"144","publisher":"Cambridge University Press","source":"Google Books","title":"Situated Learning: Legitimate Peripheral Participation","title-short":"Situated Learning","author":[{"family":"Lave","given":"Jean"},{"family":"Wenger","given":"Etienne"}],"issued":{"date-parts":[["1991",9,27]]}},"label":"page","suppress-author":true}],"schema":"https://github.com/citation-style-language/schema/raw/master/csl-citation.json"}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sz w:val="24"/>
          <w:szCs w:val="24"/>
        </w:rPr>
        <w:t>(1991)</w:t>
      </w:r>
      <w:r w:rsidRPr="00F153F6">
        <w:rPr>
          <w:rFonts w:ascii="Times New Roman" w:hAnsi="Times New Roman" w:cs="Times New Roman"/>
          <w:color w:val="000000" w:themeColor="text1"/>
          <w:sz w:val="24"/>
          <w:szCs w:val="24"/>
        </w:rPr>
        <w:fldChar w:fldCharType="end"/>
      </w:r>
      <w:r w:rsidR="00E97F08" w:rsidRPr="00F153F6">
        <w:rPr>
          <w:rFonts w:ascii="Times New Roman" w:hAnsi="Times New Roman" w:cs="Times New Roman"/>
          <w:color w:val="000000" w:themeColor="text1"/>
          <w:sz w:val="24"/>
          <w:szCs w:val="24"/>
        </w:rPr>
        <w:t xml:space="preserve"> </w:t>
      </w:r>
      <w:r w:rsidR="0069097A" w:rsidRPr="00F153F6">
        <w:rPr>
          <w:rFonts w:ascii="Times New Roman" w:hAnsi="Times New Roman" w:cs="Times New Roman"/>
          <w:color w:val="000000" w:themeColor="text1"/>
          <w:sz w:val="24"/>
          <w:szCs w:val="24"/>
        </w:rPr>
        <w:t>proposed</w:t>
      </w:r>
      <w:r w:rsidRPr="00F153F6">
        <w:rPr>
          <w:rFonts w:ascii="Times New Roman" w:hAnsi="Times New Roman" w:cs="Times New Roman"/>
          <w:color w:val="000000" w:themeColor="text1"/>
          <w:sz w:val="24"/>
          <w:szCs w:val="24"/>
        </w:rPr>
        <w:t xml:space="preserve"> the Communities of Practice </w:t>
      </w:r>
      <w:r w:rsidR="006855CC" w:rsidRPr="00F153F6">
        <w:rPr>
          <w:rFonts w:ascii="Times New Roman" w:hAnsi="Times New Roman" w:cs="Times New Roman"/>
          <w:color w:val="000000" w:themeColor="text1"/>
          <w:sz w:val="24"/>
          <w:szCs w:val="24"/>
        </w:rPr>
        <w:t xml:space="preserve">(CoP) </w:t>
      </w:r>
      <w:r w:rsidRPr="00F153F6">
        <w:rPr>
          <w:rFonts w:ascii="Times New Roman" w:hAnsi="Times New Roman" w:cs="Times New Roman"/>
          <w:color w:val="000000" w:themeColor="text1"/>
          <w:sz w:val="24"/>
          <w:szCs w:val="24"/>
        </w:rPr>
        <w:t>theory to illustrate the situated learning through which knowledge,</w:t>
      </w:r>
      <w:r w:rsidR="00CE606D" w:rsidRPr="00F153F6">
        <w:rPr>
          <w:rFonts w:ascii="Times New Roman" w:hAnsi="Times New Roman" w:cs="Times New Roman"/>
          <w:color w:val="000000" w:themeColor="text1"/>
          <w:sz w:val="24"/>
          <w:szCs w:val="24"/>
        </w:rPr>
        <w:t xml:space="preserve"> termed</w:t>
      </w:r>
      <w:r w:rsidRPr="00F153F6">
        <w:rPr>
          <w:rFonts w:ascii="Times New Roman" w:hAnsi="Times New Roman" w:cs="Times New Roman"/>
          <w:color w:val="000000" w:themeColor="text1"/>
          <w:sz w:val="24"/>
          <w:szCs w:val="24"/>
        </w:rPr>
        <w:t xml:space="preserve"> </w:t>
      </w:r>
      <w:r w:rsidR="0047116C" w:rsidRPr="00F153F6">
        <w:rPr>
          <w:rFonts w:ascii="Times New Roman" w:hAnsi="Times New Roman" w:cs="Times New Roman"/>
          <w:color w:val="000000" w:themeColor="text1"/>
          <w:sz w:val="24"/>
          <w:szCs w:val="24"/>
        </w:rPr>
        <w:t xml:space="preserve">as </w:t>
      </w:r>
      <w:r w:rsidRPr="00F153F6">
        <w:rPr>
          <w:rFonts w:ascii="Times New Roman" w:hAnsi="Times New Roman" w:cs="Times New Roman"/>
          <w:color w:val="000000" w:themeColor="text1"/>
          <w:sz w:val="24"/>
          <w:szCs w:val="24"/>
        </w:rPr>
        <w:t>knowledgeability, is enacted as people co-participate in the shared practices</w:t>
      </w:r>
      <w:r w:rsidR="00CA4A97" w:rsidRPr="00F153F6">
        <w:rPr>
          <w:rFonts w:ascii="Times New Roman" w:hAnsi="Times New Roman" w:cs="Times New Roman"/>
          <w:color w:val="000000" w:themeColor="text1"/>
          <w:sz w:val="24"/>
          <w:szCs w:val="24"/>
        </w:rPr>
        <w:t xml:space="preserve"> in a community</w:t>
      </w:r>
      <w:r w:rsidRPr="00F153F6">
        <w:rPr>
          <w:rFonts w:ascii="Times New Roman" w:hAnsi="Times New Roman" w:cs="Times New Roman"/>
          <w:color w:val="000000" w:themeColor="text1"/>
          <w:sz w:val="24"/>
          <w:szCs w:val="24"/>
        </w:rPr>
        <w:t>.</w:t>
      </w:r>
      <w:r w:rsidR="00CA4A97" w:rsidRPr="00F153F6">
        <w:rPr>
          <w:rFonts w:ascii="Times New Roman" w:hAnsi="Times New Roman" w:cs="Times New Roman"/>
          <w:color w:val="000000" w:themeColor="text1"/>
          <w:sz w:val="24"/>
          <w:szCs w:val="24"/>
        </w:rPr>
        <w:t xml:space="preserve"> </w:t>
      </w:r>
      <w:r w:rsidR="00485155" w:rsidRPr="00F153F6">
        <w:rPr>
          <w:rFonts w:ascii="Times New Roman" w:hAnsi="Times New Roman" w:cs="Times New Roman"/>
          <w:color w:val="000000" w:themeColor="text1"/>
          <w:sz w:val="24"/>
          <w:szCs w:val="24"/>
        </w:rPr>
        <w:t xml:space="preserve">As </w:t>
      </w:r>
      <w:r w:rsidR="004D1CEF" w:rsidRPr="00F153F6">
        <w:rPr>
          <w:rFonts w:ascii="Times New Roman" w:hAnsi="Times New Roman" w:cs="Times New Roman"/>
          <w:color w:val="000000" w:themeColor="text1"/>
          <w:sz w:val="24"/>
          <w:szCs w:val="24"/>
        </w:rPr>
        <w:t>t</w:t>
      </w:r>
      <w:r w:rsidR="00485155" w:rsidRPr="00F153F6">
        <w:rPr>
          <w:rFonts w:ascii="Times New Roman" w:hAnsi="Times New Roman" w:cs="Times New Roman"/>
          <w:color w:val="000000" w:themeColor="text1"/>
          <w:sz w:val="24"/>
          <w:szCs w:val="24"/>
        </w:rPr>
        <w:t xml:space="preserve">he </w:t>
      </w:r>
      <w:r w:rsidR="00CE606D" w:rsidRPr="00F153F6">
        <w:rPr>
          <w:rFonts w:ascii="Times New Roman" w:hAnsi="Times New Roman" w:cs="Times New Roman"/>
          <w:color w:val="000000" w:themeColor="text1"/>
          <w:sz w:val="24"/>
          <w:szCs w:val="24"/>
        </w:rPr>
        <w:t xml:space="preserve">focus of </w:t>
      </w:r>
      <w:r w:rsidR="00485155" w:rsidRPr="00F153F6">
        <w:rPr>
          <w:rFonts w:ascii="Times New Roman" w:hAnsi="Times New Roman" w:cs="Times New Roman"/>
          <w:color w:val="000000" w:themeColor="text1"/>
          <w:sz w:val="24"/>
          <w:szCs w:val="24"/>
        </w:rPr>
        <w:t xml:space="preserve">CoP theory is evolved from </w:t>
      </w:r>
      <w:r w:rsidR="004D1CEF" w:rsidRPr="00F153F6">
        <w:rPr>
          <w:rFonts w:ascii="Times New Roman" w:hAnsi="Times New Roman" w:cs="Times New Roman"/>
          <w:color w:val="000000" w:themeColor="text1"/>
          <w:sz w:val="24"/>
          <w:szCs w:val="24"/>
        </w:rPr>
        <w:t xml:space="preserve">the </w:t>
      </w:r>
      <w:r w:rsidR="00485155" w:rsidRPr="00F153F6">
        <w:rPr>
          <w:rFonts w:ascii="Times New Roman" w:hAnsi="Times New Roman" w:cs="Times New Roman"/>
          <w:color w:val="000000" w:themeColor="text1"/>
          <w:sz w:val="24"/>
          <w:szCs w:val="24"/>
        </w:rPr>
        <w:t xml:space="preserve">internal processes </w:t>
      </w:r>
      <w:r w:rsidR="004D1CEF" w:rsidRPr="00F153F6">
        <w:rPr>
          <w:rFonts w:ascii="Times New Roman" w:hAnsi="Times New Roman" w:cs="Times New Roman"/>
          <w:color w:val="000000" w:themeColor="text1"/>
          <w:sz w:val="24"/>
          <w:szCs w:val="24"/>
        </w:rPr>
        <w:t>of a</w:t>
      </w:r>
      <w:r w:rsidR="00485155" w:rsidRPr="00F153F6">
        <w:rPr>
          <w:rFonts w:ascii="Times New Roman" w:hAnsi="Times New Roman" w:cs="Times New Roman"/>
          <w:color w:val="000000" w:themeColor="text1"/>
          <w:sz w:val="24"/>
          <w:szCs w:val="24"/>
        </w:rPr>
        <w:t xml:space="preserve"> single community to </w:t>
      </w:r>
      <w:r w:rsidR="004D1CEF" w:rsidRPr="00F153F6">
        <w:rPr>
          <w:rFonts w:ascii="Times New Roman" w:hAnsi="Times New Roman" w:cs="Times New Roman"/>
          <w:color w:val="000000" w:themeColor="text1"/>
          <w:sz w:val="24"/>
          <w:szCs w:val="24"/>
        </w:rPr>
        <w:t xml:space="preserve">the </w:t>
      </w:r>
      <w:r w:rsidR="00485155" w:rsidRPr="00F153F6">
        <w:rPr>
          <w:rFonts w:ascii="Times New Roman" w:hAnsi="Times New Roman" w:cs="Times New Roman"/>
          <w:color w:val="000000" w:themeColor="text1"/>
          <w:sz w:val="24"/>
          <w:szCs w:val="24"/>
        </w:rPr>
        <w:t>interactions between interconnected practices</w:t>
      </w:r>
      <w:r w:rsidR="0069097A" w:rsidRPr="00F153F6">
        <w:rPr>
          <w:rFonts w:ascii="Times New Roman" w:hAnsi="Times New Roman" w:cs="Times New Roman"/>
          <w:color w:val="000000" w:themeColor="text1"/>
          <w:sz w:val="24"/>
          <w:szCs w:val="24"/>
        </w:rPr>
        <w:t xml:space="preserve">, which is further termed as </w:t>
      </w:r>
      <w:r w:rsidR="00485155" w:rsidRPr="00F153F6">
        <w:rPr>
          <w:rFonts w:ascii="Times New Roman" w:hAnsi="Times New Roman" w:cs="Times New Roman"/>
          <w:color w:val="000000" w:themeColor="text1"/>
          <w:sz w:val="24"/>
          <w:szCs w:val="24"/>
        </w:rPr>
        <w:t>the landscape of practice</w:t>
      </w:r>
      <w:r w:rsidR="0031025C" w:rsidRPr="00F153F6">
        <w:rPr>
          <w:rFonts w:ascii="Times New Roman" w:hAnsi="Times New Roman" w:cs="Times New Roman"/>
          <w:color w:val="000000" w:themeColor="text1"/>
          <w:sz w:val="24"/>
          <w:szCs w:val="24"/>
        </w:rPr>
        <w:t>s</w:t>
      </w:r>
      <w:r w:rsidR="0069097A" w:rsidRPr="00F153F6">
        <w:rPr>
          <w:rFonts w:ascii="Times New Roman" w:hAnsi="Times New Roman" w:cs="Times New Roman"/>
          <w:color w:val="000000" w:themeColor="text1"/>
          <w:sz w:val="24"/>
          <w:szCs w:val="24"/>
        </w:rPr>
        <w:t xml:space="preserve"> to describe </w:t>
      </w:r>
      <w:r w:rsidR="00680985" w:rsidRPr="00F153F6">
        <w:rPr>
          <w:rFonts w:ascii="Times New Roman" w:hAnsi="Times New Roman" w:cs="Times New Roman"/>
          <w:color w:val="000000" w:themeColor="text1"/>
          <w:sz w:val="24"/>
          <w:szCs w:val="24"/>
        </w:rPr>
        <w:t>a number of related CoPs working on a body of knowledge</w:t>
      </w:r>
      <w:r w:rsidR="00485155" w:rsidRPr="00F153F6">
        <w:rPr>
          <w:rFonts w:ascii="Times New Roman" w:hAnsi="Times New Roman" w:cs="Times New Roman"/>
          <w:color w:val="000000" w:themeColor="text1"/>
          <w:sz w:val="24"/>
          <w:szCs w:val="24"/>
        </w:rPr>
        <w:t xml:space="preserve"> </w:t>
      </w:r>
      <w:r w:rsidR="00485155" w:rsidRPr="00F153F6">
        <w:rPr>
          <w:rFonts w:ascii="Times New Roman" w:hAnsi="Times New Roman" w:cs="Times New Roman"/>
          <w:color w:val="000000" w:themeColor="text1"/>
          <w:sz w:val="24"/>
          <w:szCs w:val="24"/>
        </w:rPr>
        <w:fldChar w:fldCharType="begin"/>
      </w:r>
      <w:r w:rsidR="00485155" w:rsidRPr="00F153F6">
        <w:rPr>
          <w:rFonts w:ascii="Times New Roman" w:hAnsi="Times New Roman" w:cs="Times New Roman"/>
          <w:color w:val="000000" w:themeColor="text1"/>
          <w:sz w:val="24"/>
          <w:szCs w:val="24"/>
        </w:rPr>
        <w:instrText xml:space="preserve"> ADDIN ZOTERO_ITEM CSL_CITATION {"citationID":"hcqoMWOd","properties":{"formattedCitation":"(Wenger-Trayner et al., 2014)","plainCitation":"(Wenger-Trayner et al., 2014)","noteIndex":0},"citationItems":[{"id":10500,"uris":["http://zotero.org/users/5709166/items/S3NAF7H2"],"itemData":{"id":10500,"type":"book","abstract":"If the body of knowledge of a profession is a living landscape of practice, then our personal experience of learning can be thought of as a journey through this landscape. Within Learning in Landscapes of Practice, this metaphor is further developed in order to start an important conversation about the nature of practice knowledge, identity and the experience of practitioners and their learning. In doing so, this book is a pioneering and timely exploration of the future of professional development and higher education. The book combines a strong theoretical perspective grounded in social learning theories with stories from a broad range of contributors who occupy different locations in their own landscapes of practice. These narratives locate the book within different contemporary concerns such as social media, multi-agency, multi-disciplinary and multi-national partnerships, and the integration of academic study and workplace practice. Both scholarly, in the sense that it builds on prior research to extend and locate the concept of landscapes of practice, and practical because of the way in which it draws on multiple voices from different landscapes. Learning in Landscapes of Practice will be of particular relevance to people concerned with the design of professional or vocational learning. It will also be a valuable resource for students engaged in higher education courses with work-based elements.","event-place":"London, UNITED KINGDOM","ISBN":"978-1-317-69253-9","publisher":"Taylor &amp; Francis Group","publisher-place":"London, UNITED KINGDOM","source":"ProQuest Ebook Central","title":"Learning in Landscapes of Practice: Boundaries, Identity, and Knowledgeability in Practice-Based Learning","title-short":"Learning in Landscapes of Practice","URL":"http://ebookcentral.proquest.com/lib/sheffield/detail.action?docID=1753258","author":[{"family":"Wenger-Trayner","given":"Etienne"},{"family":"Fenton-O'Creevy","given":"Mark"},{"family":"Hutchinson","given":"Steven"},{"family":"Kubiak","given":"Chris"},{"family":"Wenger-Trayner","given":"Beverly"}],"accessed":{"date-parts":[["2023",3,25]]},"issued":{"date-parts":[["2014"]]}}}],"schema":"https://github.com/citation-style-language/schema/raw/master/csl-citation.json"} </w:instrText>
      </w:r>
      <w:r w:rsidR="00485155" w:rsidRPr="00F153F6">
        <w:rPr>
          <w:rFonts w:ascii="Times New Roman" w:hAnsi="Times New Roman" w:cs="Times New Roman"/>
          <w:color w:val="000000" w:themeColor="text1"/>
          <w:sz w:val="24"/>
          <w:szCs w:val="24"/>
        </w:rPr>
        <w:fldChar w:fldCharType="separate"/>
      </w:r>
      <w:r w:rsidR="00485155" w:rsidRPr="00F153F6">
        <w:rPr>
          <w:rFonts w:ascii="Times New Roman" w:hAnsi="Times New Roman" w:cs="Times New Roman"/>
          <w:sz w:val="24"/>
          <w:szCs w:val="24"/>
        </w:rPr>
        <w:t>(Wenger et al., 2014)</w:t>
      </w:r>
      <w:r w:rsidR="00485155" w:rsidRPr="00F153F6">
        <w:rPr>
          <w:rFonts w:ascii="Times New Roman" w:hAnsi="Times New Roman" w:cs="Times New Roman"/>
          <w:color w:val="000000" w:themeColor="text1"/>
          <w:sz w:val="24"/>
          <w:szCs w:val="24"/>
        </w:rPr>
        <w:fldChar w:fldCharType="end"/>
      </w:r>
      <w:r w:rsidR="00680985" w:rsidRPr="00F153F6">
        <w:rPr>
          <w:rFonts w:ascii="Times New Roman" w:hAnsi="Times New Roman" w:cs="Times New Roman"/>
          <w:color w:val="000000" w:themeColor="text1"/>
          <w:sz w:val="24"/>
          <w:szCs w:val="24"/>
        </w:rPr>
        <w:t>.</w:t>
      </w:r>
      <w:r w:rsidR="00485155" w:rsidRPr="00F153F6">
        <w:rPr>
          <w:rFonts w:ascii="Times New Roman" w:hAnsi="Times New Roman" w:cs="Times New Roman"/>
          <w:color w:val="000000" w:themeColor="text1"/>
          <w:sz w:val="24"/>
          <w:szCs w:val="24"/>
        </w:rPr>
        <w:t xml:space="preserve"> </w:t>
      </w:r>
      <w:r w:rsidR="00680985" w:rsidRPr="00F153F6">
        <w:rPr>
          <w:rFonts w:ascii="Times New Roman" w:hAnsi="Times New Roman" w:cs="Times New Roman"/>
          <w:color w:val="000000" w:themeColor="text1"/>
          <w:sz w:val="24"/>
          <w:szCs w:val="24"/>
        </w:rPr>
        <w:t>Participation in a landscape of practice requires members to develop their knowledgeability relevant to the landscape of practice (Pyrko et al., 2019), and thus t</w:t>
      </w:r>
      <w:r w:rsidR="00485155" w:rsidRPr="00F153F6">
        <w:rPr>
          <w:rFonts w:ascii="Times New Roman" w:hAnsi="Times New Roman" w:cs="Times New Roman"/>
          <w:color w:val="000000" w:themeColor="text1"/>
          <w:sz w:val="24"/>
          <w:szCs w:val="24"/>
        </w:rPr>
        <w:t xml:space="preserve">he notion of knowledgeability becomes </w:t>
      </w:r>
      <w:r w:rsidR="0047116C" w:rsidRPr="00F153F6">
        <w:rPr>
          <w:rFonts w:ascii="Times New Roman" w:hAnsi="Times New Roman" w:cs="Times New Roman"/>
          <w:color w:val="000000" w:themeColor="text1"/>
          <w:sz w:val="24"/>
          <w:szCs w:val="24"/>
        </w:rPr>
        <w:t xml:space="preserve">further </w:t>
      </w:r>
      <w:r w:rsidR="00485155" w:rsidRPr="00F153F6">
        <w:rPr>
          <w:rFonts w:ascii="Times New Roman" w:hAnsi="Times New Roman" w:cs="Times New Roman"/>
          <w:color w:val="000000" w:themeColor="text1"/>
          <w:sz w:val="24"/>
          <w:szCs w:val="24"/>
        </w:rPr>
        <w:t xml:space="preserve">important </w:t>
      </w:r>
      <w:r w:rsidR="005F1339" w:rsidRPr="00F153F6">
        <w:rPr>
          <w:rFonts w:ascii="Times New Roman" w:hAnsi="Times New Roman" w:cs="Times New Roman"/>
          <w:color w:val="000000" w:themeColor="text1"/>
          <w:sz w:val="24"/>
          <w:szCs w:val="24"/>
        </w:rPr>
        <w:t>in the context of IOKE practice</w:t>
      </w:r>
      <w:r w:rsidR="0031025C" w:rsidRPr="00F153F6">
        <w:rPr>
          <w:rFonts w:ascii="Times New Roman" w:hAnsi="Times New Roman" w:cs="Times New Roman"/>
          <w:color w:val="000000" w:themeColor="text1"/>
          <w:sz w:val="24"/>
          <w:szCs w:val="24"/>
        </w:rPr>
        <w:t>.</w:t>
      </w:r>
      <w:r w:rsidR="004D1CEF" w:rsidRPr="00F153F6">
        <w:rPr>
          <w:rFonts w:ascii="Times New Roman" w:hAnsi="Times New Roman" w:cs="Times New Roman"/>
          <w:color w:val="000000" w:themeColor="text1"/>
          <w:sz w:val="24"/>
          <w:szCs w:val="24"/>
        </w:rPr>
        <w:t xml:space="preserve"> </w:t>
      </w:r>
      <w:r w:rsidR="006471B9" w:rsidRPr="00F153F6">
        <w:rPr>
          <w:rFonts w:ascii="Times New Roman" w:hAnsi="Times New Roman" w:cs="Times New Roman"/>
          <w:color w:val="000000" w:themeColor="text1"/>
          <w:sz w:val="24"/>
          <w:szCs w:val="24"/>
        </w:rPr>
        <w:t xml:space="preserve">This means knowledge is not only rooted in a single community of practice but also existing between CoPs. </w:t>
      </w:r>
      <w:r w:rsidR="004D1CEF" w:rsidRPr="00F153F6">
        <w:rPr>
          <w:rFonts w:ascii="Times New Roman" w:hAnsi="Times New Roman" w:cs="Times New Roman"/>
          <w:color w:val="000000" w:themeColor="text1"/>
          <w:sz w:val="24"/>
          <w:szCs w:val="24"/>
        </w:rPr>
        <w:t xml:space="preserve">For </w:t>
      </w:r>
      <w:r w:rsidR="005761F3" w:rsidRPr="00F153F6">
        <w:rPr>
          <w:rFonts w:ascii="Times New Roman" w:hAnsi="Times New Roman" w:cs="Times New Roman"/>
          <w:color w:val="000000" w:themeColor="text1"/>
          <w:sz w:val="24"/>
          <w:szCs w:val="24"/>
        </w:rPr>
        <w:t>example,</w:t>
      </w:r>
      <w:r w:rsidR="004D1CEF" w:rsidRPr="00F153F6">
        <w:rPr>
          <w:rFonts w:ascii="Times New Roman" w:hAnsi="Times New Roman" w:cs="Times New Roman"/>
          <w:color w:val="000000" w:themeColor="text1"/>
          <w:sz w:val="24"/>
          <w:szCs w:val="24"/>
        </w:rPr>
        <w:t xml:space="preserve"> in </w:t>
      </w:r>
      <w:r w:rsidR="006471B9" w:rsidRPr="00F153F6">
        <w:rPr>
          <w:rFonts w:ascii="Times New Roman" w:hAnsi="Times New Roman" w:cs="Times New Roman"/>
          <w:color w:val="000000" w:themeColor="text1"/>
          <w:sz w:val="24"/>
          <w:szCs w:val="24"/>
        </w:rPr>
        <w:t xml:space="preserve">an </w:t>
      </w:r>
      <w:r w:rsidR="004D1CEF" w:rsidRPr="00F153F6">
        <w:rPr>
          <w:rFonts w:ascii="Times New Roman" w:hAnsi="Times New Roman" w:cs="Times New Roman"/>
          <w:color w:val="000000" w:themeColor="text1"/>
          <w:sz w:val="24"/>
          <w:szCs w:val="24"/>
        </w:rPr>
        <w:t>inter-organisational collaboration</w:t>
      </w:r>
      <w:r w:rsidR="006471B9" w:rsidRPr="00F153F6">
        <w:rPr>
          <w:rFonts w:ascii="Times New Roman" w:hAnsi="Times New Roman" w:cs="Times New Roman"/>
          <w:color w:val="000000" w:themeColor="text1"/>
          <w:sz w:val="24"/>
          <w:szCs w:val="24"/>
        </w:rPr>
        <w:t xml:space="preserve"> team</w:t>
      </w:r>
      <w:r w:rsidR="004D1CEF" w:rsidRPr="00F153F6">
        <w:rPr>
          <w:rFonts w:ascii="Times New Roman" w:hAnsi="Times New Roman" w:cs="Times New Roman"/>
          <w:color w:val="000000" w:themeColor="text1"/>
          <w:sz w:val="24"/>
          <w:szCs w:val="24"/>
        </w:rPr>
        <w:t xml:space="preserve">, </w:t>
      </w:r>
      <w:r w:rsidR="006471B9" w:rsidRPr="00F153F6">
        <w:rPr>
          <w:rFonts w:ascii="Times New Roman" w:hAnsi="Times New Roman" w:cs="Times New Roman"/>
          <w:color w:val="000000" w:themeColor="text1"/>
          <w:sz w:val="24"/>
          <w:szCs w:val="24"/>
        </w:rPr>
        <w:t>a member who come</w:t>
      </w:r>
      <w:r w:rsidR="00B04DFB" w:rsidRPr="00F153F6">
        <w:rPr>
          <w:rFonts w:ascii="Times New Roman" w:hAnsi="Times New Roman" w:cs="Times New Roman"/>
          <w:color w:val="000000" w:themeColor="text1"/>
          <w:sz w:val="24"/>
          <w:szCs w:val="24"/>
        </w:rPr>
        <w:t>s</w:t>
      </w:r>
      <w:r w:rsidR="006471B9" w:rsidRPr="00F153F6">
        <w:rPr>
          <w:rFonts w:ascii="Times New Roman" w:hAnsi="Times New Roman" w:cs="Times New Roman"/>
          <w:color w:val="000000" w:themeColor="text1"/>
          <w:sz w:val="24"/>
          <w:szCs w:val="24"/>
        </w:rPr>
        <w:t xml:space="preserve"> from a particular organisation </w:t>
      </w:r>
      <w:r w:rsidR="005761F3" w:rsidRPr="00F153F6">
        <w:rPr>
          <w:rFonts w:ascii="Times New Roman" w:hAnsi="Times New Roman" w:cs="Times New Roman"/>
          <w:color w:val="000000" w:themeColor="text1"/>
          <w:sz w:val="24"/>
          <w:szCs w:val="24"/>
        </w:rPr>
        <w:t>can</w:t>
      </w:r>
      <w:r w:rsidR="006471B9" w:rsidRPr="00F153F6">
        <w:rPr>
          <w:rFonts w:ascii="Times New Roman" w:hAnsi="Times New Roman" w:cs="Times New Roman"/>
          <w:color w:val="000000" w:themeColor="text1"/>
          <w:sz w:val="24"/>
          <w:szCs w:val="24"/>
        </w:rPr>
        <w:t xml:space="preserve"> also claim </w:t>
      </w:r>
      <w:r w:rsidR="0069097A" w:rsidRPr="00F153F6">
        <w:rPr>
          <w:rFonts w:ascii="Times New Roman" w:hAnsi="Times New Roman" w:cs="Times New Roman"/>
          <w:color w:val="000000" w:themeColor="text1"/>
          <w:sz w:val="24"/>
          <w:szCs w:val="24"/>
        </w:rPr>
        <w:t>their</w:t>
      </w:r>
      <w:r w:rsidR="006471B9" w:rsidRPr="00F153F6">
        <w:rPr>
          <w:rFonts w:ascii="Times New Roman" w:hAnsi="Times New Roman" w:cs="Times New Roman"/>
          <w:color w:val="000000" w:themeColor="text1"/>
          <w:sz w:val="24"/>
          <w:szCs w:val="24"/>
        </w:rPr>
        <w:t xml:space="preserve"> knowledge about the whole team as long as </w:t>
      </w:r>
      <w:r w:rsidR="0069097A" w:rsidRPr="00F153F6">
        <w:rPr>
          <w:rFonts w:ascii="Times New Roman" w:hAnsi="Times New Roman" w:cs="Times New Roman"/>
          <w:color w:val="000000" w:themeColor="text1"/>
          <w:sz w:val="24"/>
          <w:szCs w:val="24"/>
        </w:rPr>
        <w:t>they</w:t>
      </w:r>
      <w:r w:rsidR="006471B9" w:rsidRPr="00F153F6">
        <w:rPr>
          <w:rFonts w:ascii="Times New Roman" w:hAnsi="Times New Roman" w:cs="Times New Roman"/>
          <w:color w:val="000000" w:themeColor="text1"/>
          <w:sz w:val="24"/>
          <w:szCs w:val="24"/>
        </w:rPr>
        <w:t xml:space="preserve"> connect </w:t>
      </w:r>
      <w:r w:rsidR="0069097A" w:rsidRPr="00F153F6">
        <w:rPr>
          <w:rFonts w:ascii="Times New Roman" w:hAnsi="Times New Roman" w:cs="Times New Roman"/>
          <w:color w:val="000000" w:themeColor="text1"/>
          <w:sz w:val="24"/>
          <w:szCs w:val="24"/>
        </w:rPr>
        <w:t>their</w:t>
      </w:r>
      <w:r w:rsidR="006471B9" w:rsidRPr="00F153F6">
        <w:rPr>
          <w:rFonts w:ascii="Times New Roman" w:hAnsi="Times New Roman" w:cs="Times New Roman"/>
          <w:color w:val="000000" w:themeColor="text1"/>
          <w:sz w:val="24"/>
          <w:szCs w:val="24"/>
        </w:rPr>
        <w:t xml:space="preserve"> practice with those of other organisations/communities. </w:t>
      </w:r>
      <w:r w:rsidR="007F47ED" w:rsidRPr="00F153F6">
        <w:rPr>
          <w:rFonts w:ascii="Times New Roman" w:hAnsi="Times New Roman" w:cs="Times New Roman"/>
          <w:color w:val="000000" w:themeColor="text1"/>
          <w:sz w:val="24"/>
          <w:szCs w:val="24"/>
        </w:rPr>
        <w:t xml:space="preserve">As Giddens </w:t>
      </w:r>
      <w:r w:rsidR="007F47ED" w:rsidRPr="00F153F6">
        <w:rPr>
          <w:rFonts w:ascii="Times New Roman" w:hAnsi="Times New Roman" w:cs="Times New Roman"/>
          <w:color w:val="000000" w:themeColor="text1"/>
          <w:sz w:val="24"/>
          <w:szCs w:val="24"/>
        </w:rPr>
        <w:fldChar w:fldCharType="begin"/>
      </w:r>
      <w:r w:rsidR="007F47ED" w:rsidRPr="00F153F6">
        <w:rPr>
          <w:rFonts w:ascii="Times New Roman" w:hAnsi="Times New Roman" w:cs="Times New Roman"/>
          <w:color w:val="000000" w:themeColor="text1"/>
          <w:sz w:val="24"/>
          <w:szCs w:val="24"/>
        </w:rPr>
        <w:instrText xml:space="preserve"> ADDIN ZOTERO_ITEM CSL_CITATION {"citationID":"cqNmPzpG","properties":{"formattedCitation":"(1984)","plainCitation":"(1984)","noteIndex":0},"citationItems":[{"id":155,"uris":["http://zotero.org/users/5709166/items/F6NKRYDB"],"itemData":{"id":155,"type":"book","abstract":"Anthony Giddens has been in the forefront of developments in social theory for the past decade. In \"The Constitution of Society\" he outlines the distinctive position he has evolved during that period and offers a full statement of a major new perspective in social thought, a synthesis and elaboration of ideas touched on in previous works but described here for the first time in an integrated and comprehensive form. A particular feature is Giddens's concern to connect abstract problems of theory to an interpretation of the nature of empirical method in the social sciences. In presenting his own ideas, Giddens mounts a critical attack on some of the more orthodox sociological views. \"The Constitution of Society\" is an invaluable reference book for all those concerned with the basic issues in contemporary social theory.","ISBN":"978-0-520-05292-5","language":"en","note":"Google-Books-ID: x2bf4g9Z6ZwC","number-of-pages":"448","publisher":"University of California Press","source":"Google Books","title":"The Constitution of Society: Outline of the Theory of Structuration","title-short":"The Constitution of Society","author":[{"family":"Giddens","given":"Anthony"}],"issued":{"date-parts":[["1984"]]}},"label":"page","suppress-author":true}],"schema":"https://github.com/citation-style-language/schema/raw/master/csl-citation.json"} </w:instrText>
      </w:r>
      <w:r w:rsidR="007F47ED" w:rsidRPr="00F153F6">
        <w:rPr>
          <w:rFonts w:ascii="Times New Roman" w:hAnsi="Times New Roman" w:cs="Times New Roman"/>
          <w:color w:val="000000" w:themeColor="text1"/>
          <w:sz w:val="24"/>
          <w:szCs w:val="24"/>
        </w:rPr>
        <w:fldChar w:fldCharType="separate"/>
      </w:r>
      <w:r w:rsidR="007F47ED" w:rsidRPr="00F153F6">
        <w:rPr>
          <w:rFonts w:ascii="Times New Roman" w:hAnsi="Times New Roman" w:cs="Times New Roman"/>
          <w:sz w:val="24"/>
          <w:szCs w:val="24"/>
        </w:rPr>
        <w:t>(1984)</w:t>
      </w:r>
      <w:r w:rsidR="007F47ED" w:rsidRPr="00F153F6">
        <w:rPr>
          <w:rFonts w:ascii="Times New Roman" w:hAnsi="Times New Roman" w:cs="Times New Roman"/>
          <w:color w:val="000000" w:themeColor="text1"/>
          <w:sz w:val="24"/>
          <w:szCs w:val="24"/>
        </w:rPr>
        <w:fldChar w:fldCharType="end"/>
      </w:r>
      <w:r w:rsidR="007F47ED" w:rsidRPr="00F153F6">
        <w:rPr>
          <w:rFonts w:ascii="Times New Roman" w:hAnsi="Times New Roman" w:cs="Times New Roman"/>
          <w:color w:val="000000" w:themeColor="text1"/>
          <w:sz w:val="24"/>
          <w:szCs w:val="24"/>
        </w:rPr>
        <w:t xml:space="preserve"> stated, knowledgeability is “inherent in the ability to ‘go on’ within the routines of social life” (p.4).</w:t>
      </w:r>
      <w:r w:rsidR="00CA4A97" w:rsidRPr="00F153F6">
        <w:rPr>
          <w:rFonts w:ascii="Times New Roman" w:hAnsi="Times New Roman" w:cs="Times New Roman"/>
          <w:color w:val="000000" w:themeColor="text1"/>
          <w:sz w:val="24"/>
          <w:szCs w:val="24"/>
        </w:rPr>
        <w:t xml:space="preserve"> </w:t>
      </w:r>
      <w:r w:rsidR="0047116C" w:rsidRPr="00F153F6">
        <w:rPr>
          <w:rFonts w:ascii="Times New Roman" w:hAnsi="Times New Roman" w:cs="Times New Roman"/>
          <w:color w:val="000000" w:themeColor="text1"/>
          <w:sz w:val="24"/>
          <w:szCs w:val="24"/>
        </w:rPr>
        <w:t>Orlikowski</w:t>
      </w:r>
      <w:r w:rsidR="007F47ED" w:rsidRPr="00F153F6">
        <w:rPr>
          <w:rFonts w:ascii="Times New Roman" w:hAnsi="Times New Roman" w:cs="Times New Roman"/>
          <w:color w:val="000000" w:themeColor="text1"/>
          <w:sz w:val="24"/>
          <w:szCs w:val="24"/>
        </w:rPr>
        <w:t xml:space="preserve"> </w:t>
      </w:r>
      <w:r w:rsidR="007F47ED" w:rsidRPr="00F153F6">
        <w:rPr>
          <w:rFonts w:ascii="Times New Roman" w:hAnsi="Times New Roman" w:cs="Times New Roman"/>
          <w:color w:val="000000" w:themeColor="text1"/>
          <w:sz w:val="24"/>
          <w:szCs w:val="24"/>
        </w:rPr>
        <w:fldChar w:fldCharType="begin"/>
      </w:r>
      <w:r w:rsidR="007F47ED" w:rsidRPr="00F153F6">
        <w:rPr>
          <w:rFonts w:ascii="Times New Roman" w:hAnsi="Times New Roman" w:cs="Times New Roman"/>
          <w:color w:val="000000" w:themeColor="text1"/>
          <w:sz w:val="24"/>
          <w:szCs w:val="24"/>
        </w:rPr>
        <w:instrText xml:space="preserve"> ADDIN ZOTERO_ITEM CSL_CITATION {"citationID":"5EEk1LyT","properties":{"formattedCitation":"(2006)","plainCitation":"(2006)","noteIndex":0},"citationItems":[{"id":170,"uris":["http://zotero.org/users/5709166/items/LJEGGXSV"],"itemData":{"id":170,"type":"article-journal","container-title":"European Journal of Information Systems","DOI":"10.1057/palgrave.ejis.3000639","ISSN":"0960-085X, 1476-9344","issue":"5","journalAbbreviation":"European Journal of Information Systems","language":"en","page":"460-466","source":"DOI.org (Crossref)","title":"Material knowing: the scaffolding of human knowledgeability","title-short":"Material knowing","volume":"15","author":[{"family":"Orlikowski","given":"Wanda J"}],"issued":{"date-parts":[["2006",10]]}},"label":"page","suppress-author":true}],"schema":"https://github.com/citation-style-language/schema/raw/master/csl-citation.json"} </w:instrText>
      </w:r>
      <w:r w:rsidR="007F47ED" w:rsidRPr="00F153F6">
        <w:rPr>
          <w:rFonts w:ascii="Times New Roman" w:hAnsi="Times New Roman" w:cs="Times New Roman"/>
          <w:color w:val="000000" w:themeColor="text1"/>
          <w:sz w:val="24"/>
          <w:szCs w:val="24"/>
        </w:rPr>
        <w:fldChar w:fldCharType="separate"/>
      </w:r>
      <w:r w:rsidR="007F47ED" w:rsidRPr="00F153F6">
        <w:rPr>
          <w:rFonts w:ascii="Times New Roman" w:hAnsi="Times New Roman" w:cs="Times New Roman"/>
          <w:sz w:val="24"/>
          <w:szCs w:val="24"/>
        </w:rPr>
        <w:t>(2006)</w:t>
      </w:r>
      <w:r w:rsidR="007F47ED" w:rsidRPr="00F153F6">
        <w:rPr>
          <w:rFonts w:ascii="Times New Roman" w:hAnsi="Times New Roman" w:cs="Times New Roman"/>
          <w:color w:val="000000" w:themeColor="text1"/>
          <w:sz w:val="24"/>
          <w:szCs w:val="24"/>
        </w:rPr>
        <w:fldChar w:fldCharType="end"/>
      </w:r>
      <w:r w:rsidR="007F47ED" w:rsidRPr="00F153F6">
        <w:rPr>
          <w:rFonts w:ascii="Times New Roman" w:hAnsi="Times New Roman" w:cs="Times New Roman"/>
          <w:color w:val="000000" w:themeColor="text1"/>
          <w:sz w:val="24"/>
          <w:szCs w:val="24"/>
        </w:rPr>
        <w:t xml:space="preserve"> also suggest</w:t>
      </w:r>
      <w:r w:rsidR="0047116C" w:rsidRPr="00F153F6">
        <w:rPr>
          <w:rFonts w:ascii="Times New Roman" w:hAnsi="Times New Roman" w:cs="Times New Roman"/>
          <w:color w:val="000000" w:themeColor="text1"/>
          <w:sz w:val="24"/>
          <w:szCs w:val="24"/>
        </w:rPr>
        <w:t>s</w:t>
      </w:r>
      <w:r w:rsidR="007F47ED" w:rsidRPr="00F153F6">
        <w:rPr>
          <w:rFonts w:ascii="Times New Roman" w:hAnsi="Times New Roman" w:cs="Times New Roman"/>
          <w:color w:val="000000" w:themeColor="text1"/>
          <w:sz w:val="24"/>
          <w:szCs w:val="24"/>
        </w:rPr>
        <w:t xml:space="preserve"> that knowledgeability </w:t>
      </w:r>
      <w:r w:rsidR="00B04DFB" w:rsidRPr="00F153F6">
        <w:rPr>
          <w:rFonts w:ascii="Times New Roman" w:hAnsi="Times New Roman" w:cs="Times New Roman"/>
          <w:color w:val="000000" w:themeColor="text1"/>
          <w:sz w:val="24"/>
          <w:szCs w:val="24"/>
        </w:rPr>
        <w:t xml:space="preserve">is </w:t>
      </w:r>
      <w:r w:rsidR="007F47ED" w:rsidRPr="00F153F6">
        <w:rPr>
          <w:rFonts w:ascii="Times New Roman" w:hAnsi="Times New Roman" w:cs="Times New Roman"/>
          <w:color w:val="000000" w:themeColor="text1"/>
          <w:sz w:val="24"/>
          <w:szCs w:val="24"/>
        </w:rPr>
        <w:t xml:space="preserve">manifest in and through human practices </w:t>
      </w:r>
      <w:r w:rsidR="00B04DFB" w:rsidRPr="00F153F6">
        <w:rPr>
          <w:rFonts w:ascii="Times New Roman" w:hAnsi="Times New Roman" w:cs="Times New Roman"/>
          <w:color w:val="000000" w:themeColor="text1"/>
          <w:sz w:val="24"/>
          <w:szCs w:val="24"/>
        </w:rPr>
        <w:t xml:space="preserve">as a capability </w:t>
      </w:r>
      <w:r w:rsidR="007F47ED" w:rsidRPr="00F153F6">
        <w:rPr>
          <w:rFonts w:ascii="Times New Roman" w:hAnsi="Times New Roman" w:cs="Times New Roman"/>
          <w:color w:val="000000" w:themeColor="text1"/>
          <w:sz w:val="24"/>
          <w:szCs w:val="24"/>
        </w:rPr>
        <w:t>and thus</w:t>
      </w:r>
      <w:r w:rsidR="0047116C" w:rsidRPr="00F153F6">
        <w:rPr>
          <w:rFonts w:ascii="Times New Roman" w:hAnsi="Times New Roman" w:cs="Times New Roman"/>
          <w:color w:val="000000" w:themeColor="text1"/>
          <w:sz w:val="24"/>
          <w:szCs w:val="24"/>
        </w:rPr>
        <w:t xml:space="preserve"> always bound up with</w:t>
      </w:r>
      <w:r w:rsidR="007F47ED" w:rsidRPr="00F153F6">
        <w:rPr>
          <w:rFonts w:ascii="Times New Roman" w:hAnsi="Times New Roman" w:cs="Times New Roman"/>
          <w:color w:val="000000" w:themeColor="text1"/>
          <w:sz w:val="24"/>
          <w:szCs w:val="24"/>
        </w:rPr>
        <w:t xml:space="preserve"> material objects </w:t>
      </w:r>
      <w:r w:rsidR="0047116C" w:rsidRPr="00F153F6">
        <w:rPr>
          <w:rFonts w:ascii="Times New Roman" w:hAnsi="Times New Roman" w:cs="Times New Roman"/>
          <w:color w:val="000000" w:themeColor="text1"/>
          <w:sz w:val="24"/>
          <w:szCs w:val="24"/>
        </w:rPr>
        <w:t xml:space="preserve">in making up the </w:t>
      </w:r>
      <w:r w:rsidR="007F47ED" w:rsidRPr="00F153F6">
        <w:rPr>
          <w:rFonts w:ascii="Times New Roman" w:hAnsi="Times New Roman" w:cs="Times New Roman"/>
          <w:color w:val="000000" w:themeColor="text1"/>
          <w:sz w:val="24"/>
          <w:szCs w:val="24"/>
        </w:rPr>
        <w:t>practice.</w:t>
      </w:r>
      <w:r w:rsidRPr="00F153F6">
        <w:rPr>
          <w:rFonts w:ascii="Times New Roman" w:hAnsi="Times New Roman" w:cs="Times New Roman"/>
          <w:color w:val="000000" w:themeColor="text1"/>
          <w:sz w:val="24"/>
          <w:szCs w:val="24"/>
        </w:rPr>
        <w:t xml:space="preserve"> </w:t>
      </w:r>
      <w:r w:rsidR="007F47ED" w:rsidRPr="00F153F6">
        <w:rPr>
          <w:rFonts w:ascii="Times New Roman" w:hAnsi="Times New Roman" w:cs="Times New Roman"/>
          <w:color w:val="000000" w:themeColor="text1"/>
          <w:sz w:val="24"/>
          <w:szCs w:val="24"/>
        </w:rPr>
        <w:t xml:space="preserve">All these </w:t>
      </w:r>
      <w:r w:rsidR="0047116C" w:rsidRPr="00F153F6">
        <w:rPr>
          <w:rFonts w:ascii="Times New Roman" w:hAnsi="Times New Roman" w:cs="Times New Roman"/>
          <w:color w:val="000000" w:themeColor="text1"/>
          <w:sz w:val="24"/>
          <w:szCs w:val="24"/>
        </w:rPr>
        <w:t xml:space="preserve">arguments </w:t>
      </w:r>
      <w:r w:rsidR="00EB0DAC" w:rsidRPr="00F153F6">
        <w:rPr>
          <w:rFonts w:ascii="Times New Roman" w:hAnsi="Times New Roman" w:cs="Times New Roman"/>
          <w:color w:val="000000" w:themeColor="text1"/>
          <w:sz w:val="24"/>
          <w:szCs w:val="24"/>
        </w:rPr>
        <w:t>indicate</w:t>
      </w:r>
      <w:r w:rsidR="0047116C" w:rsidRPr="00F153F6">
        <w:rPr>
          <w:rFonts w:ascii="Times New Roman" w:hAnsi="Times New Roman" w:cs="Times New Roman"/>
          <w:color w:val="000000" w:themeColor="text1"/>
          <w:sz w:val="24"/>
          <w:szCs w:val="24"/>
        </w:rPr>
        <w:t xml:space="preserve"> an inseparable relationship between knowledgeability and practices. </w:t>
      </w:r>
      <w:r w:rsidR="006D4F18" w:rsidRPr="00F153F6">
        <w:rPr>
          <w:rFonts w:ascii="Times New Roman" w:hAnsi="Times New Roman" w:cs="Times New Roman"/>
          <w:color w:val="000000" w:themeColor="text1"/>
          <w:sz w:val="24"/>
          <w:szCs w:val="24"/>
        </w:rPr>
        <w:t xml:space="preserve">Wenger </w:t>
      </w:r>
      <w:r w:rsidR="006D4F18" w:rsidRPr="00F153F6">
        <w:rPr>
          <w:rFonts w:ascii="Times New Roman" w:hAnsi="Times New Roman" w:cs="Times New Roman"/>
          <w:color w:val="000000" w:themeColor="text1"/>
          <w:sz w:val="24"/>
          <w:szCs w:val="24"/>
        </w:rPr>
        <w:fldChar w:fldCharType="begin"/>
      </w:r>
      <w:r w:rsidR="006D4F18" w:rsidRPr="00F153F6">
        <w:rPr>
          <w:rFonts w:ascii="Times New Roman" w:hAnsi="Times New Roman" w:cs="Times New Roman"/>
          <w:color w:val="000000" w:themeColor="text1"/>
          <w:sz w:val="24"/>
          <w:szCs w:val="24"/>
        </w:rPr>
        <w:instrText xml:space="preserve"> ADDIN ZOTERO_ITEM CSL_CITATION {"citationID":"jmt3PU7r","properties":{"formattedCitation":"(2014)","plainCitation":"(2014)","noteIndex":0},"citationItems":[{"id":10495,"uris":["http://zotero.org/users/5709166/items/9WDKR33S"],"itemData":{"id":10495,"type":"chapter","container-title":"Learning in landscapes of practice","page":"13-29","publisher":"Routledge","title":"Learning in a landscape of practice: A Framework","author":[{"family":"Wenger-Trayner","given":"Etienne"},{"family":"Wenger-Trayner","given":"Beverly"}],"issued":{"date-parts":[["2014"]]}},"label":"page","suppress-author":true}],"schema":"https://github.com/citation-style-language/schema/raw/master/csl-citation.json"} </w:instrText>
      </w:r>
      <w:r w:rsidR="006D4F18" w:rsidRPr="00F153F6">
        <w:rPr>
          <w:rFonts w:ascii="Times New Roman" w:hAnsi="Times New Roman" w:cs="Times New Roman"/>
          <w:color w:val="000000" w:themeColor="text1"/>
          <w:sz w:val="24"/>
          <w:szCs w:val="24"/>
        </w:rPr>
        <w:fldChar w:fldCharType="separate"/>
      </w:r>
      <w:r w:rsidR="006D4F18" w:rsidRPr="00F153F6">
        <w:rPr>
          <w:rFonts w:ascii="Times New Roman" w:hAnsi="Times New Roman" w:cs="Times New Roman"/>
          <w:sz w:val="24"/>
          <w:szCs w:val="24"/>
        </w:rPr>
        <w:t>(2014)</w:t>
      </w:r>
      <w:r w:rsidR="006D4F18" w:rsidRPr="00F153F6">
        <w:rPr>
          <w:rFonts w:ascii="Times New Roman" w:hAnsi="Times New Roman" w:cs="Times New Roman"/>
          <w:color w:val="000000" w:themeColor="text1"/>
          <w:sz w:val="24"/>
          <w:szCs w:val="24"/>
        </w:rPr>
        <w:fldChar w:fldCharType="end"/>
      </w:r>
      <w:r w:rsidR="007F47ED" w:rsidRPr="00F153F6">
        <w:rPr>
          <w:rFonts w:ascii="Times New Roman" w:hAnsi="Times New Roman" w:cs="Times New Roman"/>
          <w:color w:val="000000" w:themeColor="text1"/>
          <w:sz w:val="24"/>
          <w:szCs w:val="24"/>
        </w:rPr>
        <w:t xml:space="preserve"> formally define</w:t>
      </w:r>
      <w:r w:rsidR="00907821" w:rsidRPr="00F153F6">
        <w:rPr>
          <w:rFonts w:ascii="Times New Roman" w:hAnsi="Times New Roman" w:cs="Times New Roman"/>
          <w:color w:val="000000" w:themeColor="text1"/>
          <w:sz w:val="24"/>
          <w:szCs w:val="24"/>
        </w:rPr>
        <w:t>s</w:t>
      </w:r>
      <w:r w:rsidR="006D4F18" w:rsidRPr="00F153F6">
        <w:rPr>
          <w:rFonts w:ascii="Times New Roman" w:hAnsi="Times New Roman" w:cs="Times New Roman"/>
          <w:color w:val="000000" w:themeColor="text1"/>
          <w:sz w:val="24"/>
          <w:szCs w:val="24"/>
        </w:rPr>
        <w:t xml:space="preserve"> knowledgeability </w:t>
      </w:r>
      <w:r w:rsidR="007F47ED" w:rsidRPr="00F153F6">
        <w:rPr>
          <w:rFonts w:ascii="Times New Roman" w:hAnsi="Times New Roman" w:cs="Times New Roman"/>
          <w:color w:val="000000" w:themeColor="text1"/>
          <w:sz w:val="24"/>
          <w:szCs w:val="24"/>
        </w:rPr>
        <w:t>as the</w:t>
      </w:r>
      <w:r w:rsidR="006D4F18" w:rsidRPr="00F153F6">
        <w:rPr>
          <w:rFonts w:ascii="Times New Roman" w:hAnsi="Times New Roman" w:cs="Times New Roman"/>
          <w:color w:val="000000" w:themeColor="text1"/>
          <w:sz w:val="24"/>
          <w:szCs w:val="24"/>
        </w:rPr>
        <w:t xml:space="preserve"> “complex relationships people establish with respect to a landscape of practice, which make them recognizable as reliable sources of information or legitimate providers of services” (p. 23). </w:t>
      </w:r>
      <w:r w:rsidR="006855CC" w:rsidRPr="00F153F6">
        <w:rPr>
          <w:rFonts w:ascii="Times New Roman" w:hAnsi="Times New Roman" w:cs="Times New Roman"/>
          <w:color w:val="000000" w:themeColor="text1"/>
          <w:sz w:val="24"/>
          <w:szCs w:val="24"/>
        </w:rPr>
        <w:t>Unlike the competence that describe</w:t>
      </w:r>
      <w:r w:rsidR="00192D45" w:rsidRPr="00F153F6">
        <w:rPr>
          <w:rFonts w:ascii="Times New Roman" w:hAnsi="Times New Roman" w:cs="Times New Roman"/>
          <w:color w:val="000000" w:themeColor="text1"/>
          <w:sz w:val="24"/>
          <w:szCs w:val="24"/>
        </w:rPr>
        <w:t>s</w:t>
      </w:r>
      <w:r w:rsidR="006855CC" w:rsidRPr="00F153F6">
        <w:rPr>
          <w:rFonts w:ascii="Times New Roman" w:hAnsi="Times New Roman" w:cs="Times New Roman"/>
          <w:color w:val="000000" w:themeColor="text1"/>
          <w:sz w:val="24"/>
          <w:szCs w:val="24"/>
        </w:rPr>
        <w:t xml:space="preserve"> the relationship to a practice</w:t>
      </w:r>
      <w:r w:rsidR="0031025C" w:rsidRPr="00F153F6">
        <w:rPr>
          <w:rFonts w:ascii="Times New Roman" w:hAnsi="Times New Roman" w:cs="Times New Roman"/>
          <w:color w:val="000000" w:themeColor="text1"/>
          <w:sz w:val="24"/>
          <w:szCs w:val="24"/>
        </w:rPr>
        <w:t xml:space="preserve"> for entering individual communities</w:t>
      </w:r>
      <w:r w:rsidR="006855CC" w:rsidRPr="00F153F6">
        <w:rPr>
          <w:rFonts w:ascii="Times New Roman" w:hAnsi="Times New Roman" w:cs="Times New Roman"/>
          <w:color w:val="000000" w:themeColor="text1"/>
          <w:sz w:val="24"/>
          <w:szCs w:val="24"/>
        </w:rPr>
        <w:t xml:space="preserve">, knowledgeability describes the relationship to </w:t>
      </w:r>
      <w:r w:rsidR="0031025C" w:rsidRPr="00F153F6">
        <w:rPr>
          <w:rFonts w:ascii="Times New Roman" w:hAnsi="Times New Roman" w:cs="Times New Roman"/>
          <w:color w:val="000000" w:themeColor="text1"/>
          <w:sz w:val="24"/>
          <w:szCs w:val="24"/>
        </w:rPr>
        <w:t>a</w:t>
      </w:r>
      <w:r w:rsidR="006855CC" w:rsidRPr="00F153F6">
        <w:rPr>
          <w:rFonts w:ascii="Times New Roman" w:hAnsi="Times New Roman" w:cs="Times New Roman"/>
          <w:color w:val="000000" w:themeColor="text1"/>
          <w:sz w:val="24"/>
          <w:szCs w:val="24"/>
        </w:rPr>
        <w:t xml:space="preserve"> landscape of practice </w:t>
      </w:r>
      <w:r w:rsidR="00E50D9B" w:rsidRPr="00F153F6">
        <w:rPr>
          <w:rFonts w:ascii="Times New Roman" w:hAnsi="Times New Roman" w:cs="Times New Roman"/>
          <w:color w:val="000000" w:themeColor="text1"/>
          <w:sz w:val="24"/>
          <w:szCs w:val="24"/>
        </w:rPr>
        <w:t>as people</w:t>
      </w:r>
      <w:r w:rsidR="0031025C" w:rsidRPr="00F153F6">
        <w:rPr>
          <w:rFonts w:ascii="Times New Roman" w:hAnsi="Times New Roman" w:cs="Times New Roman"/>
          <w:color w:val="000000" w:themeColor="text1"/>
          <w:sz w:val="24"/>
          <w:szCs w:val="24"/>
        </w:rPr>
        <w:t xml:space="preserve"> engage in multiple groups</w:t>
      </w:r>
      <w:r w:rsidR="006D4F18" w:rsidRPr="00F153F6">
        <w:rPr>
          <w:rFonts w:ascii="Times New Roman" w:hAnsi="Times New Roman" w:cs="Times New Roman"/>
          <w:color w:val="000000" w:themeColor="text1"/>
          <w:sz w:val="24"/>
          <w:szCs w:val="24"/>
        </w:rPr>
        <w:t>, organisations</w:t>
      </w:r>
      <w:r w:rsidR="0031025C" w:rsidRPr="00F153F6">
        <w:rPr>
          <w:rFonts w:ascii="Times New Roman" w:hAnsi="Times New Roman" w:cs="Times New Roman"/>
          <w:color w:val="000000" w:themeColor="text1"/>
          <w:sz w:val="24"/>
          <w:szCs w:val="24"/>
        </w:rPr>
        <w:t xml:space="preserve"> </w:t>
      </w:r>
      <w:r w:rsidR="006D4F18" w:rsidRPr="00F153F6">
        <w:rPr>
          <w:rFonts w:ascii="Times New Roman" w:hAnsi="Times New Roman" w:cs="Times New Roman"/>
          <w:color w:val="000000" w:themeColor="text1"/>
          <w:sz w:val="24"/>
          <w:szCs w:val="24"/>
        </w:rPr>
        <w:t>or</w:t>
      </w:r>
      <w:r w:rsidR="0031025C" w:rsidRPr="00F153F6">
        <w:rPr>
          <w:rFonts w:ascii="Times New Roman" w:hAnsi="Times New Roman" w:cs="Times New Roman"/>
          <w:color w:val="000000" w:themeColor="text1"/>
          <w:sz w:val="24"/>
          <w:szCs w:val="24"/>
        </w:rPr>
        <w:t xml:space="preserve"> interconnected communities and develop their knowing in practice as the regime of competence</w:t>
      </w:r>
      <w:r w:rsidR="00680441" w:rsidRPr="00F153F6">
        <w:rPr>
          <w:rFonts w:ascii="Times New Roman" w:hAnsi="Times New Roman" w:cs="Times New Roman"/>
          <w:color w:val="000000" w:themeColor="text1"/>
          <w:sz w:val="24"/>
          <w:szCs w:val="24"/>
        </w:rPr>
        <w:t xml:space="preserve"> </w:t>
      </w:r>
      <w:r w:rsidR="00680441" w:rsidRPr="00F153F6">
        <w:rPr>
          <w:rFonts w:ascii="Times New Roman" w:hAnsi="Times New Roman" w:cs="Times New Roman"/>
          <w:color w:val="000000" w:themeColor="text1"/>
          <w:sz w:val="24"/>
          <w:szCs w:val="24"/>
        </w:rPr>
        <w:fldChar w:fldCharType="begin"/>
      </w:r>
      <w:r w:rsidR="00680441" w:rsidRPr="00F153F6">
        <w:rPr>
          <w:rFonts w:ascii="Times New Roman" w:hAnsi="Times New Roman" w:cs="Times New Roman"/>
          <w:color w:val="000000" w:themeColor="text1"/>
          <w:sz w:val="24"/>
          <w:szCs w:val="24"/>
        </w:rPr>
        <w:instrText xml:space="preserve"> ADDIN ZOTERO_ITEM CSL_CITATION {"citationID":"R4Df11kS","properties":{"formattedCitation":"(Wenger, 2000; Wenger-Trayner &amp; Wenger-Trayner, 2014)","plainCitation":"(Wenger, 2000; Wenger-Trayner &amp; Wenger-Trayner, 2014)","noteIndex":0},"citationItems":[{"id":10503,"uris":["http://zotero.org/users/5709166/items/9YWSUVJY"],"itemData":{"id":10503,"type":"article-journal","abstract":"This essay argues that the success of organizations depends on their ability to design themselves as social learning systems and also to participate in broader learning systems such as an industry, a region, or a consortium. It explores the structure of these social learning systems. It proposes a social definition of learning and distinguishes between three `modes of belonging' by which we participate in social learning systems. Then it uses this framework to look at three constitutive elements of these systems: communities of practice, boundary processes among these communities, and identities as shaped by our participation in these systems.","container-title":"Organization","DOI":"10.1177/135050840072002","ISSN":"1350-5084, 1461-7323","issue":"2","journalAbbreviation":"Organization","language":"en","page":"225-246","source":"DOI.org (Crossref)","title":"Communities of Practice and Social Learning Systems","volume":"7","author":[{"family":"Wenger","given":"Etienne"}],"issued":{"date-parts":[["2000",5]]}},"label":"page"},{"id":10495,"uris":["http://zotero.org/users/5709166/items/9WDKR33S"],"itemData":{"id":10495,"type":"chapter","container-title":"Learning in landscapes of practice","page":"13-29","publisher":"Routledge","title":"Learning in a landscape of practice: A Framework","author":[{"family":"Wenger-Trayner","given":"Etienne"},{"family":"Wenger-Trayner","given":"Beverly"}],"issued":{"date-parts":[["2014"]]}}}],"schema":"https://github.com/citation-style-language/schema/raw/master/csl-citation.json"} </w:instrText>
      </w:r>
      <w:r w:rsidR="00680441" w:rsidRPr="00F153F6">
        <w:rPr>
          <w:rFonts w:ascii="Times New Roman" w:hAnsi="Times New Roman" w:cs="Times New Roman"/>
          <w:color w:val="000000" w:themeColor="text1"/>
          <w:sz w:val="24"/>
          <w:szCs w:val="24"/>
        </w:rPr>
        <w:fldChar w:fldCharType="separate"/>
      </w:r>
      <w:r w:rsidR="00680441" w:rsidRPr="00F153F6">
        <w:rPr>
          <w:rFonts w:ascii="Times New Roman" w:hAnsi="Times New Roman" w:cs="Times New Roman"/>
          <w:sz w:val="24"/>
          <w:szCs w:val="24"/>
        </w:rPr>
        <w:t>(Wenger, 2000; Wenger, 2014)</w:t>
      </w:r>
      <w:r w:rsidR="00680441" w:rsidRPr="00F153F6">
        <w:rPr>
          <w:rFonts w:ascii="Times New Roman" w:hAnsi="Times New Roman" w:cs="Times New Roman"/>
          <w:color w:val="000000" w:themeColor="text1"/>
          <w:sz w:val="24"/>
          <w:szCs w:val="24"/>
        </w:rPr>
        <w:fldChar w:fldCharType="end"/>
      </w:r>
      <w:r w:rsidR="00E50D9B" w:rsidRPr="00F153F6">
        <w:rPr>
          <w:rFonts w:ascii="Times New Roman" w:hAnsi="Times New Roman" w:cs="Times New Roman"/>
          <w:color w:val="000000" w:themeColor="text1"/>
          <w:sz w:val="24"/>
          <w:szCs w:val="24"/>
        </w:rPr>
        <w:t>.</w:t>
      </w:r>
      <w:r w:rsidRPr="00F153F6">
        <w:rPr>
          <w:rFonts w:ascii="Times New Roman" w:hAnsi="Times New Roman" w:cs="Times New Roman"/>
          <w:color w:val="000000" w:themeColor="text1"/>
          <w:sz w:val="24"/>
          <w:szCs w:val="24"/>
        </w:rPr>
        <w:t xml:space="preserve"> </w:t>
      </w:r>
      <w:r w:rsidR="00B04DFB" w:rsidRPr="00F153F6">
        <w:rPr>
          <w:rFonts w:ascii="Times New Roman" w:hAnsi="Times New Roman" w:cs="Times New Roman"/>
          <w:color w:val="000000" w:themeColor="text1"/>
          <w:sz w:val="24"/>
          <w:szCs w:val="24"/>
        </w:rPr>
        <w:t>The</w:t>
      </w:r>
      <w:r w:rsidR="0047116C" w:rsidRPr="00F153F6">
        <w:rPr>
          <w:rFonts w:ascii="Times New Roman" w:hAnsi="Times New Roman" w:cs="Times New Roman"/>
          <w:color w:val="000000" w:themeColor="text1"/>
          <w:sz w:val="24"/>
          <w:szCs w:val="24"/>
        </w:rPr>
        <w:t xml:space="preserve"> above </w:t>
      </w:r>
      <w:r w:rsidR="002B635D" w:rsidRPr="00F153F6">
        <w:rPr>
          <w:rFonts w:ascii="Times New Roman" w:hAnsi="Times New Roman" w:cs="Times New Roman"/>
          <w:color w:val="000000" w:themeColor="text1"/>
          <w:sz w:val="24"/>
          <w:szCs w:val="24"/>
        </w:rPr>
        <w:t xml:space="preserve">implies </w:t>
      </w:r>
      <w:r w:rsidR="0047116C" w:rsidRPr="00F153F6">
        <w:rPr>
          <w:rFonts w:ascii="Times New Roman" w:hAnsi="Times New Roman" w:cs="Times New Roman"/>
          <w:color w:val="000000" w:themeColor="text1"/>
          <w:sz w:val="24"/>
          <w:szCs w:val="24"/>
        </w:rPr>
        <w:t>that</w:t>
      </w:r>
      <w:r w:rsidR="00680441" w:rsidRPr="00F153F6">
        <w:rPr>
          <w:rFonts w:ascii="Times New Roman" w:hAnsi="Times New Roman" w:cs="Times New Roman"/>
          <w:color w:val="000000" w:themeColor="text1"/>
          <w:sz w:val="24"/>
          <w:szCs w:val="24"/>
        </w:rPr>
        <w:t xml:space="preserve"> knowledgeability </w:t>
      </w:r>
      <w:r w:rsidR="00C67311" w:rsidRPr="00F153F6">
        <w:rPr>
          <w:rFonts w:ascii="Times New Roman" w:hAnsi="Times New Roman" w:cs="Times New Roman"/>
          <w:color w:val="000000" w:themeColor="text1"/>
          <w:sz w:val="24"/>
          <w:szCs w:val="24"/>
        </w:rPr>
        <w:t>can be</w:t>
      </w:r>
      <w:r w:rsidR="00680441" w:rsidRPr="00F153F6">
        <w:rPr>
          <w:rFonts w:ascii="Times New Roman" w:hAnsi="Times New Roman" w:cs="Times New Roman"/>
          <w:color w:val="000000" w:themeColor="text1"/>
          <w:sz w:val="24"/>
          <w:szCs w:val="24"/>
        </w:rPr>
        <w:t xml:space="preserve"> </w:t>
      </w:r>
      <w:r w:rsidR="006D4F18" w:rsidRPr="00F153F6">
        <w:rPr>
          <w:rFonts w:ascii="Times New Roman" w:hAnsi="Times New Roman" w:cs="Times New Roman"/>
          <w:color w:val="000000" w:themeColor="text1"/>
          <w:sz w:val="24"/>
          <w:szCs w:val="24"/>
        </w:rPr>
        <w:t xml:space="preserve">viewed as a relational construct that </w:t>
      </w:r>
      <w:r w:rsidR="00192D45" w:rsidRPr="00F153F6">
        <w:rPr>
          <w:rFonts w:ascii="Times New Roman" w:hAnsi="Times New Roman" w:cs="Times New Roman"/>
          <w:color w:val="000000" w:themeColor="text1"/>
          <w:sz w:val="24"/>
          <w:szCs w:val="24"/>
        </w:rPr>
        <w:t>is not only in relation to one’s own experience or competence to a community of practice</w:t>
      </w:r>
      <w:r w:rsidR="00525A18" w:rsidRPr="00F153F6">
        <w:rPr>
          <w:rFonts w:ascii="Times New Roman" w:hAnsi="Times New Roman" w:cs="Times New Roman"/>
          <w:color w:val="000000" w:themeColor="text1"/>
          <w:sz w:val="24"/>
          <w:szCs w:val="24"/>
        </w:rPr>
        <w:t xml:space="preserve"> </w:t>
      </w:r>
      <w:r w:rsidR="00525A18" w:rsidRPr="00F153F6">
        <w:rPr>
          <w:rFonts w:ascii="Times New Roman" w:hAnsi="Times New Roman" w:cs="Times New Roman"/>
          <w:color w:val="000000" w:themeColor="text1"/>
          <w:sz w:val="24"/>
          <w:szCs w:val="24"/>
        </w:rPr>
        <w:fldChar w:fldCharType="begin"/>
      </w:r>
      <w:r w:rsidR="00525A18" w:rsidRPr="00F153F6">
        <w:rPr>
          <w:rFonts w:ascii="Times New Roman" w:hAnsi="Times New Roman" w:cs="Times New Roman"/>
          <w:color w:val="000000" w:themeColor="text1"/>
          <w:sz w:val="24"/>
          <w:szCs w:val="24"/>
        </w:rPr>
        <w:instrText xml:space="preserve"> ADDIN ZOTERO_ITEM CSL_CITATION {"citationID":"ceSc3072","properties":{"formattedCitation":"(Lave &amp; Wenger, 1991; Wenger, 2010)","plainCitation":"(Lave &amp; Wenger, 1991; Wenger, 2010)","noteIndex":0},"citationItems":[{"id":10244,"uris":["http://zotero.org/users/5709166/items/GTDHE27S"],"itemData":{"id":10244,"type":"book","abstract":"In this important theoretical treatise, Jean Lave, anthropologist, and Etienne Wenger, computer scientist, push forward the notion of situated learning--that learning is fundamentally a social process and not solely in the learner's head. The authors maintain that learning viewed as situated activity has as its central defining characteristic a process they call legitimate peripheral participation. Learners participate in communities of practitioners, moving toward full participation in the sociocultural practices of a community. Legitimate peripheral participation provides a way to speak about crucial relations between newcomers and oldtimers and about their activities, identities, artifacts, knowledge and practice. The communities discussed in the book are midwives, tailors, quartermasters, butchers, and recovering alcoholics, however, the process by which participants in those communities learn can be generalized to other social groups.","ISBN":"978-0-521-42374-8","language":"en","note":"Google-Books-ID: CAVIOrW3vYAC","number-of-pages":"144","publisher":"Cambridge University Press","source":"Google Books","title":"Situated Learning: Legitimate Peripheral Participation","title-short":"Situated Learning","author":[{"family":"Lave","given":"Jean"},{"family":"Wenger","given":"Etienne"}],"issued":{"date-parts":[["1991",9,27]]}}},{"id":10505,"uris":["http://zotero.org/users/5709166/items/K42P65IX"],"itemData":{"id":10505,"type":"speech","event-place":"Newport, Wales","event-title":"SHRE conference","language":"en","publisher-place":"Newport, Wales","title":"Knowledgeability in landscapes of practice","author":[{"family":"Wenger","given":"Etienne"}],"issued":{"date-parts":[["2010"]]}}}],"schema":"https://github.com/citation-style-language/schema/raw/master/csl-citation.json"} </w:instrText>
      </w:r>
      <w:r w:rsidR="00525A18" w:rsidRPr="00F153F6">
        <w:rPr>
          <w:rFonts w:ascii="Times New Roman" w:hAnsi="Times New Roman" w:cs="Times New Roman"/>
          <w:color w:val="000000" w:themeColor="text1"/>
          <w:sz w:val="24"/>
          <w:szCs w:val="24"/>
        </w:rPr>
        <w:fldChar w:fldCharType="separate"/>
      </w:r>
      <w:r w:rsidR="00525A18" w:rsidRPr="00F153F6">
        <w:rPr>
          <w:rFonts w:ascii="Times New Roman" w:hAnsi="Times New Roman" w:cs="Times New Roman"/>
          <w:sz w:val="24"/>
          <w:szCs w:val="24"/>
        </w:rPr>
        <w:t>(Lave &amp; Wenger, 1991; Wenger, 2010)</w:t>
      </w:r>
      <w:r w:rsidR="00525A18" w:rsidRPr="00F153F6">
        <w:rPr>
          <w:rFonts w:ascii="Times New Roman" w:hAnsi="Times New Roman" w:cs="Times New Roman"/>
          <w:color w:val="000000" w:themeColor="text1"/>
          <w:sz w:val="24"/>
          <w:szCs w:val="24"/>
        </w:rPr>
        <w:fldChar w:fldCharType="end"/>
      </w:r>
      <w:r w:rsidR="00192D45" w:rsidRPr="00F153F6">
        <w:rPr>
          <w:rFonts w:ascii="Times New Roman" w:hAnsi="Times New Roman" w:cs="Times New Roman"/>
          <w:color w:val="000000" w:themeColor="text1"/>
          <w:sz w:val="24"/>
          <w:szCs w:val="24"/>
        </w:rPr>
        <w:t xml:space="preserve">, </w:t>
      </w:r>
      <w:r w:rsidR="0047116C" w:rsidRPr="00F153F6">
        <w:rPr>
          <w:rFonts w:ascii="Times New Roman" w:hAnsi="Times New Roman" w:cs="Times New Roman"/>
          <w:color w:val="000000" w:themeColor="text1"/>
          <w:sz w:val="24"/>
          <w:szCs w:val="24"/>
        </w:rPr>
        <w:t xml:space="preserve">but also </w:t>
      </w:r>
      <w:r w:rsidR="00192D45" w:rsidRPr="00F153F6">
        <w:rPr>
          <w:rFonts w:ascii="Times New Roman" w:hAnsi="Times New Roman" w:cs="Times New Roman"/>
          <w:color w:val="000000" w:themeColor="text1"/>
          <w:sz w:val="24"/>
          <w:szCs w:val="24"/>
        </w:rPr>
        <w:t>in relation to others’ perspectives</w:t>
      </w:r>
      <w:r w:rsidR="00C67311" w:rsidRPr="00F153F6">
        <w:rPr>
          <w:rFonts w:ascii="Times New Roman" w:hAnsi="Times New Roman" w:cs="Times New Roman"/>
          <w:color w:val="000000" w:themeColor="text1"/>
          <w:sz w:val="24"/>
          <w:szCs w:val="24"/>
        </w:rPr>
        <w:t xml:space="preserve"> and </w:t>
      </w:r>
      <w:r w:rsidR="00525A18" w:rsidRPr="00F153F6">
        <w:rPr>
          <w:rFonts w:ascii="Times New Roman" w:hAnsi="Times New Roman" w:cs="Times New Roman"/>
          <w:color w:val="000000" w:themeColor="text1"/>
          <w:sz w:val="24"/>
          <w:szCs w:val="24"/>
        </w:rPr>
        <w:t>experiences</w:t>
      </w:r>
      <w:r w:rsidR="00C67311" w:rsidRPr="00F153F6">
        <w:rPr>
          <w:rFonts w:ascii="Times New Roman" w:hAnsi="Times New Roman" w:cs="Times New Roman"/>
          <w:color w:val="000000" w:themeColor="text1"/>
          <w:sz w:val="24"/>
          <w:szCs w:val="24"/>
        </w:rPr>
        <w:t xml:space="preserve"> so that</w:t>
      </w:r>
      <w:r w:rsidR="00FE52DE" w:rsidRPr="00F153F6">
        <w:rPr>
          <w:rFonts w:ascii="Times New Roman" w:hAnsi="Times New Roman" w:cs="Times New Roman"/>
          <w:color w:val="000000" w:themeColor="text1"/>
          <w:sz w:val="24"/>
          <w:szCs w:val="24"/>
        </w:rPr>
        <w:t xml:space="preserve"> </w:t>
      </w:r>
      <w:r w:rsidR="00C67311" w:rsidRPr="00F153F6">
        <w:rPr>
          <w:rFonts w:ascii="Times New Roman" w:hAnsi="Times New Roman" w:cs="Times New Roman"/>
          <w:color w:val="000000" w:themeColor="text1"/>
          <w:sz w:val="24"/>
          <w:szCs w:val="24"/>
        </w:rPr>
        <w:t>make</w:t>
      </w:r>
      <w:r w:rsidR="00FE52DE" w:rsidRPr="00F153F6">
        <w:rPr>
          <w:rFonts w:ascii="Times New Roman" w:hAnsi="Times New Roman" w:cs="Times New Roman"/>
          <w:color w:val="000000" w:themeColor="text1"/>
          <w:sz w:val="24"/>
          <w:szCs w:val="24"/>
        </w:rPr>
        <w:t>s</w:t>
      </w:r>
      <w:r w:rsidR="00C67311" w:rsidRPr="00F153F6">
        <w:rPr>
          <w:rFonts w:ascii="Times New Roman" w:hAnsi="Times New Roman" w:cs="Times New Roman"/>
          <w:color w:val="000000" w:themeColor="text1"/>
          <w:sz w:val="24"/>
          <w:szCs w:val="24"/>
        </w:rPr>
        <w:t xml:space="preserve"> it contestable and negotiable</w:t>
      </w:r>
      <w:r w:rsidR="00525A18" w:rsidRPr="00F153F6">
        <w:rPr>
          <w:rFonts w:ascii="Times New Roman" w:hAnsi="Times New Roman" w:cs="Times New Roman"/>
          <w:color w:val="000000" w:themeColor="text1"/>
          <w:sz w:val="24"/>
          <w:szCs w:val="24"/>
        </w:rPr>
        <w:t xml:space="preserve"> </w:t>
      </w:r>
      <w:r w:rsidR="00525A18" w:rsidRPr="00F153F6">
        <w:rPr>
          <w:rFonts w:ascii="Times New Roman" w:hAnsi="Times New Roman" w:cs="Times New Roman"/>
          <w:color w:val="000000" w:themeColor="text1"/>
          <w:sz w:val="24"/>
          <w:szCs w:val="24"/>
        </w:rPr>
        <w:fldChar w:fldCharType="begin"/>
      </w:r>
      <w:r w:rsidR="00525A18" w:rsidRPr="00F153F6">
        <w:rPr>
          <w:rFonts w:ascii="Times New Roman" w:hAnsi="Times New Roman" w:cs="Times New Roman"/>
          <w:color w:val="000000" w:themeColor="text1"/>
          <w:sz w:val="24"/>
          <w:szCs w:val="24"/>
        </w:rPr>
        <w:instrText xml:space="preserve"> ADDIN ZOTERO_ITEM CSL_CITATION {"citationID":"M061ye2X","properties":{"formattedCitation":"(Omidvar &amp; Kislov, 2014; Wenger-Trayner et al., 2014)","plainCitation":"(Omidvar &amp; Kislov, 2014; Wenger-Trayner et al., 2014)","noteIndex":0},"citationItems":[{"id":10499,"uris":["http://zotero.org/users/5709166/items/U9IRMQ77"],"itemData":{"id":10499,"type":"article-journal","abstract":"Since its introduction by Jean Lave and Etienne Wenger in Situated Learning: Legitimate Peripheral Participation in 1991, the concept of communities of practice has been widely adopted by researchers and practitioners in different fields. This has been accompanied by continuous expansion and development of the theory behind the concept. In this interview, Professor Etienne Wenger-Trayner discusses the evolution of the theory of communities of practice in his own work over the past two decades. He talks about the origins of communities of practice as a theoretical approach, identifies three phases through which this theory has evolved, and reflects on his professional trajectory as a theorist and consultant. Using his career as an example, Wenger-Trayner elaborates on the notion of knowledgeability as a relationship individuals establish with respect to a landscape of practice that makes them recognizable as legitimate actors in complex social systems.","container-title":"Journal of Management Inquiry","DOI":"10.1177/1056492613505908","ISSN":"1056-4926, 1552-6542","issue":"3","journalAbbreviation":"Journal of Management Inquiry","language":"en","page":"266-275","source":"DOI.org (Crossref)","title":"The Evolution of the Communities of Practice Approach: Toward Knowledgeability in a Landscape of Practice—An Interview with Etienne Wenger-Trayner","title-short":"The Evolution of the Communities of Practice Approach","volume":"23","author":[{"family":"Omidvar","given":"Omid"},{"family":"Kislov","given":"Roman"}],"issued":{"date-parts":[["2014",7]]}}},{"id":10500,"uris":["http://zotero.org/users/5709166/items/S3NAF7H2"],"itemData":{"id":10500,"type":"book","abstract":"If the body of knowledge of a profession is a living landscape of practice, then our personal experience of learning can be thought of as a journey through this landscape. Within Learning in Landscapes of Practice, this metaphor is further developed in order to start an important conversation about the nature of practice knowledge, identity and the experience of practitioners and their learning. In doing so, this book is a pioneering and timely exploration of the future of professional development and higher education. The book combines a strong theoretical perspective grounded in social learning theories with stories from a broad range of contributors who occupy different locations in their own landscapes of practice. These narratives locate the book within different contemporary concerns such as social media, multi-agency, multi-disciplinary and multi-national partnerships, and the integration of academic study and workplace practice. Both scholarly, in the sense that it builds on prior research to extend and locate the concept of landscapes of practice, and practical because of the way in which it draws on multiple voices from different landscapes. Learning in Landscapes of Practice will be of particular relevance to people concerned with the design of professional or vocational learning. It will also be a valuable resource for students engaged in higher education courses with work-based elements.","event-place":"London, UNITED KINGDOM","ISBN":"978-1-317-69253-9","publisher":"Taylor &amp; Francis Group","publisher-place":"London, UNITED KINGDOM","source":"ProQuest Ebook Central","title":"Learning in Landscapes of Practice: Boundaries, Identity, and Knowledgeability in Practice-Based Learning","title-short":"Learning in Landscapes of Practice","URL":"http://ebookcentral.proquest.com/lib/sheffield/detail.action?docID=1753258","author":[{"family":"Wenger-Trayner","given":"Etienne"},{"family":"Fenton-O'Creevy","given":"Mark"},{"family":"Hutchinson","given":"Steven"},{"family":"Kubiak","given":"Chris"},{"family":"Wenger-Trayner","given":"Beverly"}],"accessed":{"date-parts":[["2023",3,25]]},"issued":{"date-parts":[["2014"]]}}}],"schema":"https://github.com/citation-style-language/schema/raw/master/csl-citation.json"} </w:instrText>
      </w:r>
      <w:r w:rsidR="00525A18" w:rsidRPr="00F153F6">
        <w:rPr>
          <w:rFonts w:ascii="Times New Roman" w:hAnsi="Times New Roman" w:cs="Times New Roman"/>
          <w:color w:val="000000" w:themeColor="text1"/>
          <w:sz w:val="24"/>
          <w:szCs w:val="24"/>
        </w:rPr>
        <w:fldChar w:fldCharType="separate"/>
      </w:r>
      <w:r w:rsidR="00525A18" w:rsidRPr="00F153F6">
        <w:rPr>
          <w:rFonts w:ascii="Times New Roman" w:hAnsi="Times New Roman" w:cs="Times New Roman"/>
          <w:sz w:val="24"/>
          <w:szCs w:val="24"/>
        </w:rPr>
        <w:t>(Omidvar &amp; Kislov, 2014; Wenger et al., 2014)</w:t>
      </w:r>
      <w:r w:rsidR="00525A18" w:rsidRPr="00F153F6">
        <w:rPr>
          <w:rFonts w:ascii="Times New Roman" w:hAnsi="Times New Roman" w:cs="Times New Roman"/>
          <w:color w:val="000000" w:themeColor="text1"/>
          <w:sz w:val="24"/>
          <w:szCs w:val="24"/>
        </w:rPr>
        <w:fldChar w:fldCharType="end"/>
      </w:r>
      <w:r w:rsidR="00192D45" w:rsidRPr="00F153F6">
        <w:rPr>
          <w:rFonts w:ascii="Times New Roman" w:hAnsi="Times New Roman" w:cs="Times New Roman"/>
          <w:color w:val="000000" w:themeColor="text1"/>
          <w:sz w:val="24"/>
          <w:szCs w:val="24"/>
        </w:rPr>
        <w:t>,</w:t>
      </w:r>
      <w:r w:rsidR="00C67311" w:rsidRPr="00F153F6">
        <w:rPr>
          <w:rFonts w:ascii="Times New Roman" w:hAnsi="Times New Roman" w:cs="Times New Roman"/>
          <w:color w:val="000000" w:themeColor="text1"/>
          <w:sz w:val="24"/>
          <w:szCs w:val="24"/>
        </w:rPr>
        <w:t xml:space="preserve"> </w:t>
      </w:r>
      <w:r w:rsidR="0047116C" w:rsidRPr="00F153F6">
        <w:rPr>
          <w:rFonts w:ascii="Times New Roman" w:hAnsi="Times New Roman" w:cs="Times New Roman"/>
          <w:color w:val="000000" w:themeColor="text1"/>
          <w:sz w:val="24"/>
          <w:szCs w:val="24"/>
        </w:rPr>
        <w:t>and</w:t>
      </w:r>
      <w:r w:rsidR="00372419" w:rsidRPr="00F153F6">
        <w:rPr>
          <w:rFonts w:ascii="Times New Roman" w:hAnsi="Times New Roman" w:cs="Times New Roman"/>
          <w:color w:val="000000" w:themeColor="text1"/>
          <w:sz w:val="24"/>
          <w:szCs w:val="24"/>
        </w:rPr>
        <w:t xml:space="preserve"> </w:t>
      </w:r>
      <w:r w:rsidR="0047116C" w:rsidRPr="00F153F6">
        <w:rPr>
          <w:rFonts w:ascii="Times New Roman" w:hAnsi="Times New Roman" w:cs="Times New Roman"/>
          <w:color w:val="000000" w:themeColor="text1"/>
          <w:sz w:val="24"/>
          <w:szCs w:val="24"/>
        </w:rPr>
        <w:t xml:space="preserve">in relation to </w:t>
      </w:r>
      <w:r w:rsidR="00C67311" w:rsidRPr="00F153F6">
        <w:rPr>
          <w:rFonts w:ascii="Times New Roman" w:hAnsi="Times New Roman" w:cs="Times New Roman"/>
          <w:color w:val="000000" w:themeColor="text1"/>
          <w:sz w:val="24"/>
          <w:szCs w:val="24"/>
        </w:rPr>
        <w:t xml:space="preserve">material objects that </w:t>
      </w:r>
      <w:r w:rsidR="00FE52DE" w:rsidRPr="00F153F6">
        <w:rPr>
          <w:rFonts w:ascii="Times New Roman" w:hAnsi="Times New Roman" w:cs="Times New Roman"/>
          <w:color w:val="000000" w:themeColor="text1"/>
          <w:sz w:val="24"/>
          <w:szCs w:val="24"/>
        </w:rPr>
        <w:t xml:space="preserve">are </w:t>
      </w:r>
      <w:r w:rsidR="00C67311" w:rsidRPr="00F153F6">
        <w:rPr>
          <w:rFonts w:ascii="Times New Roman" w:hAnsi="Times New Roman" w:cs="Times New Roman"/>
          <w:color w:val="000000" w:themeColor="text1"/>
          <w:sz w:val="24"/>
          <w:szCs w:val="24"/>
        </w:rPr>
        <w:t xml:space="preserve">bound up with participation in </w:t>
      </w:r>
      <w:r w:rsidR="00525A18" w:rsidRPr="00F153F6">
        <w:rPr>
          <w:rFonts w:ascii="Times New Roman" w:hAnsi="Times New Roman" w:cs="Times New Roman"/>
          <w:color w:val="000000" w:themeColor="text1"/>
          <w:sz w:val="24"/>
          <w:szCs w:val="24"/>
        </w:rPr>
        <w:t>interconnected practices and</w:t>
      </w:r>
      <w:r w:rsidR="00C67311" w:rsidRPr="00F153F6">
        <w:rPr>
          <w:rFonts w:ascii="Times New Roman" w:hAnsi="Times New Roman" w:cs="Times New Roman"/>
          <w:color w:val="000000" w:themeColor="text1"/>
          <w:sz w:val="24"/>
          <w:szCs w:val="24"/>
        </w:rPr>
        <w:t xml:space="preserve"> boundary work</w:t>
      </w:r>
      <w:r w:rsidR="00CE606D" w:rsidRPr="00F153F6">
        <w:rPr>
          <w:rFonts w:ascii="Times New Roman" w:hAnsi="Times New Roman" w:cs="Times New Roman"/>
          <w:color w:val="000000" w:themeColor="text1"/>
          <w:sz w:val="24"/>
          <w:szCs w:val="24"/>
        </w:rPr>
        <w:t xml:space="preserve"> </w:t>
      </w:r>
      <w:r w:rsidR="00FE52DE" w:rsidRPr="00F153F6">
        <w:rPr>
          <w:rFonts w:ascii="Times New Roman" w:hAnsi="Times New Roman" w:cs="Times New Roman"/>
          <w:color w:val="000000" w:themeColor="text1"/>
          <w:sz w:val="24"/>
          <w:szCs w:val="24"/>
        </w:rPr>
        <w:t>that exist</w:t>
      </w:r>
      <w:r w:rsidR="002B635D" w:rsidRPr="00F153F6">
        <w:rPr>
          <w:rFonts w:ascii="Times New Roman" w:hAnsi="Times New Roman" w:cs="Times New Roman"/>
          <w:color w:val="000000" w:themeColor="text1"/>
          <w:sz w:val="24"/>
          <w:szCs w:val="24"/>
        </w:rPr>
        <w:t>s</w:t>
      </w:r>
      <w:r w:rsidR="00CE606D" w:rsidRPr="00F153F6">
        <w:rPr>
          <w:rFonts w:ascii="Times New Roman" w:hAnsi="Times New Roman" w:cs="Times New Roman"/>
          <w:color w:val="000000" w:themeColor="text1"/>
          <w:sz w:val="24"/>
          <w:szCs w:val="24"/>
        </w:rPr>
        <w:t xml:space="preserve"> in</w:t>
      </w:r>
      <w:r w:rsidR="00FE52DE" w:rsidRPr="00F153F6">
        <w:rPr>
          <w:rFonts w:ascii="Times New Roman" w:hAnsi="Times New Roman" w:cs="Times New Roman"/>
          <w:color w:val="000000" w:themeColor="text1"/>
          <w:sz w:val="24"/>
          <w:szCs w:val="24"/>
        </w:rPr>
        <w:t xml:space="preserve"> a</w:t>
      </w:r>
      <w:r w:rsidR="00CE606D" w:rsidRPr="00F153F6">
        <w:rPr>
          <w:rFonts w:ascii="Times New Roman" w:hAnsi="Times New Roman" w:cs="Times New Roman"/>
          <w:color w:val="000000" w:themeColor="text1"/>
          <w:sz w:val="24"/>
          <w:szCs w:val="24"/>
        </w:rPr>
        <w:t xml:space="preserve"> landscape of practices </w:t>
      </w:r>
      <w:r w:rsidR="00525A18" w:rsidRPr="00F153F6">
        <w:rPr>
          <w:rFonts w:ascii="Times New Roman" w:hAnsi="Times New Roman" w:cs="Times New Roman"/>
          <w:color w:val="000000" w:themeColor="text1"/>
          <w:sz w:val="24"/>
          <w:szCs w:val="24"/>
        </w:rPr>
        <w:fldChar w:fldCharType="begin"/>
      </w:r>
      <w:r w:rsidR="0047116C" w:rsidRPr="00F153F6">
        <w:rPr>
          <w:rFonts w:ascii="Times New Roman" w:hAnsi="Times New Roman" w:cs="Times New Roman"/>
          <w:color w:val="000000" w:themeColor="text1"/>
          <w:sz w:val="24"/>
          <w:szCs w:val="24"/>
        </w:rPr>
        <w:instrText xml:space="preserve"> ADDIN ZOTERO_ITEM CSL_CITATION {"citationID":"mnt5D3rU","properties":{"formattedCitation":"(Carlile, 2002; Orlikowski, 2006)","plainCitation":"(Carlile, 2002; Orlikowski, 2006)","noteIndex":0},"citationItems":[{"id":157,"uris":["http://zotero.org/users/5709166/items/M26HEKDW"],"itemData":{"id":157,"type":"article-journal","abstract":"This study explores the premise that knowledge in new product development proves both a barrier to and a source of innovation. To understand the problematic nature of knowledge and the boundaries that result, an ethnographic study was used to understand how knowledge is structured differently across the four primary functions that are dependent on each other in the creation and production of a high-volume product. A pragmatic view of “knowledge in practice” is developed, describing knowledge as localized, embedded, and invested within a function and how, when working across functions, consequences often arise that generate problematic knowledge boundaries. The use of a boundary object is then described as a means of representing, learning about, and transforming knowledge to resolve the consequences that exist at a given boundary. Finally, this pragmatic view of knowledge and boundaries is proposed as a framework to revisit the differentiation and integration of knowledge.","container-title":"Organization Science","DOI":"10.1287/orsc.13.4.442.2953","ISSN":"1047-7039, 1526-5455","issue":"4","journalAbbreviation":"Organization Science","language":"en","page":"442-455","source":"DOI.org (Crossref)","title":"A Pragmatic View of Knowledge and Boundaries: Boundary Objects in New Product Development","title-short":"A Pragmatic View of Knowledge and Boundaries","volume":"13","author":[{"family":"Carlile","given":"Paul R."}],"issued":{"date-parts":[["2002",8]]}}},{"id":170,"uris":["http://zotero.org/users/5709166/items/LJEGGXSV"],"itemData":{"id":170,"type":"article-journal","container-title":"European Journal of Information Systems","DOI":"10.1057/palgrave.ejis.3000639","ISSN":"0960-085X, 1476-9344","issue":"5","journalAbbreviation":"European Journal of Information Systems","language":"en","page":"460-466","source":"DOI.org (Crossref)","title":"Material knowing: the scaffolding of human knowledgeability","title-short":"Material knowing","volume":"15","author":[{"family":"Orlikowski","given":"Wanda J"}],"issued":{"date-parts":[["2006",10]]}}}],"schema":"https://github.com/citation-style-language/schema/raw/master/csl-citation.json"} </w:instrText>
      </w:r>
      <w:r w:rsidR="00525A18" w:rsidRPr="00F153F6">
        <w:rPr>
          <w:rFonts w:ascii="Times New Roman" w:hAnsi="Times New Roman" w:cs="Times New Roman"/>
          <w:color w:val="000000" w:themeColor="text1"/>
          <w:sz w:val="24"/>
          <w:szCs w:val="24"/>
        </w:rPr>
        <w:fldChar w:fldCharType="separate"/>
      </w:r>
      <w:r w:rsidR="0047116C" w:rsidRPr="00F153F6">
        <w:rPr>
          <w:rFonts w:ascii="Times New Roman" w:hAnsi="Times New Roman" w:cs="Times New Roman"/>
          <w:sz w:val="24"/>
          <w:szCs w:val="24"/>
        </w:rPr>
        <w:t>(Carlile, 2002; Orlikowski, 2006)</w:t>
      </w:r>
      <w:r w:rsidR="00525A18" w:rsidRPr="00F153F6">
        <w:rPr>
          <w:rFonts w:ascii="Times New Roman" w:hAnsi="Times New Roman" w:cs="Times New Roman"/>
          <w:color w:val="000000" w:themeColor="text1"/>
          <w:sz w:val="24"/>
          <w:szCs w:val="24"/>
        </w:rPr>
        <w:fldChar w:fldCharType="end"/>
      </w:r>
      <w:r w:rsidR="00C67311" w:rsidRPr="00F153F6">
        <w:rPr>
          <w:rFonts w:ascii="Times New Roman" w:hAnsi="Times New Roman" w:cs="Times New Roman"/>
          <w:color w:val="000000" w:themeColor="text1"/>
          <w:sz w:val="24"/>
          <w:szCs w:val="24"/>
        </w:rPr>
        <w:t>.</w:t>
      </w:r>
      <w:r w:rsidR="00192D45" w:rsidRPr="00F153F6">
        <w:rPr>
          <w:rFonts w:ascii="Times New Roman" w:hAnsi="Times New Roman" w:cs="Times New Roman"/>
          <w:color w:val="000000" w:themeColor="text1"/>
          <w:sz w:val="24"/>
          <w:szCs w:val="24"/>
        </w:rPr>
        <w:t xml:space="preserve"> </w:t>
      </w:r>
      <w:r w:rsidR="00525A18" w:rsidRPr="00F153F6">
        <w:rPr>
          <w:rFonts w:ascii="Times New Roman" w:hAnsi="Times New Roman" w:cs="Times New Roman"/>
          <w:color w:val="000000" w:themeColor="text1"/>
          <w:sz w:val="24"/>
          <w:szCs w:val="24"/>
        </w:rPr>
        <w:t xml:space="preserve">Such </w:t>
      </w:r>
      <w:r w:rsidR="00FE52DE" w:rsidRPr="00F153F6">
        <w:rPr>
          <w:rFonts w:ascii="Times New Roman" w:hAnsi="Times New Roman" w:cs="Times New Roman"/>
          <w:color w:val="000000" w:themeColor="text1"/>
          <w:sz w:val="24"/>
          <w:szCs w:val="24"/>
        </w:rPr>
        <w:t xml:space="preserve">a </w:t>
      </w:r>
      <w:r w:rsidR="00525A18" w:rsidRPr="00F153F6">
        <w:rPr>
          <w:rFonts w:ascii="Times New Roman" w:hAnsi="Times New Roman" w:cs="Times New Roman"/>
          <w:color w:val="000000" w:themeColor="text1"/>
          <w:sz w:val="24"/>
          <w:szCs w:val="24"/>
        </w:rPr>
        <w:t xml:space="preserve">relational understanding </w:t>
      </w:r>
      <w:r w:rsidR="00FE52DE" w:rsidRPr="00F153F6">
        <w:rPr>
          <w:rFonts w:ascii="Times New Roman" w:hAnsi="Times New Roman" w:cs="Times New Roman"/>
          <w:color w:val="000000" w:themeColor="text1"/>
          <w:sz w:val="24"/>
          <w:szCs w:val="24"/>
        </w:rPr>
        <w:t>of</w:t>
      </w:r>
      <w:r w:rsidR="00525A18" w:rsidRPr="00F153F6">
        <w:rPr>
          <w:rFonts w:ascii="Times New Roman" w:hAnsi="Times New Roman" w:cs="Times New Roman"/>
          <w:color w:val="000000" w:themeColor="text1"/>
          <w:sz w:val="24"/>
          <w:szCs w:val="24"/>
        </w:rPr>
        <w:t xml:space="preserve"> knowledge</w:t>
      </w:r>
      <w:r w:rsidR="00FE52DE" w:rsidRPr="00F153F6">
        <w:rPr>
          <w:rFonts w:ascii="Times New Roman" w:hAnsi="Times New Roman" w:cs="Times New Roman"/>
          <w:color w:val="000000" w:themeColor="text1"/>
          <w:sz w:val="24"/>
          <w:szCs w:val="24"/>
        </w:rPr>
        <w:t>ability</w:t>
      </w:r>
      <w:r w:rsidR="00525A18" w:rsidRPr="00F153F6">
        <w:rPr>
          <w:rFonts w:ascii="Times New Roman" w:hAnsi="Times New Roman" w:cs="Times New Roman"/>
          <w:color w:val="000000" w:themeColor="text1"/>
          <w:sz w:val="24"/>
          <w:szCs w:val="24"/>
        </w:rPr>
        <w:t xml:space="preserve"> is essential to the present study since it provides an alternative view to understand people’s </w:t>
      </w:r>
      <w:r w:rsidR="0047116C" w:rsidRPr="00F153F6">
        <w:rPr>
          <w:rFonts w:ascii="Times New Roman" w:hAnsi="Times New Roman" w:cs="Times New Roman"/>
          <w:color w:val="000000" w:themeColor="text1"/>
          <w:sz w:val="24"/>
          <w:szCs w:val="24"/>
        </w:rPr>
        <w:t xml:space="preserve">cross boundary work in </w:t>
      </w:r>
      <w:r w:rsidR="00525A18" w:rsidRPr="00F153F6">
        <w:rPr>
          <w:rFonts w:ascii="Times New Roman" w:hAnsi="Times New Roman" w:cs="Times New Roman"/>
          <w:color w:val="000000" w:themeColor="text1"/>
          <w:sz w:val="24"/>
          <w:szCs w:val="24"/>
        </w:rPr>
        <w:t xml:space="preserve">inter-organisational </w:t>
      </w:r>
      <w:r w:rsidR="00CE606D" w:rsidRPr="00F153F6">
        <w:rPr>
          <w:rFonts w:ascii="Times New Roman" w:hAnsi="Times New Roman" w:cs="Times New Roman"/>
          <w:color w:val="000000" w:themeColor="text1"/>
          <w:sz w:val="24"/>
          <w:szCs w:val="24"/>
        </w:rPr>
        <w:t>collaboration</w:t>
      </w:r>
      <w:r w:rsidR="00525A18" w:rsidRPr="00F153F6">
        <w:rPr>
          <w:rFonts w:ascii="Times New Roman" w:hAnsi="Times New Roman" w:cs="Times New Roman"/>
          <w:color w:val="000000" w:themeColor="text1"/>
          <w:sz w:val="24"/>
          <w:szCs w:val="24"/>
        </w:rPr>
        <w:t xml:space="preserve"> in contrast to </w:t>
      </w:r>
      <w:r w:rsidR="00FE52DE" w:rsidRPr="00F153F6">
        <w:rPr>
          <w:rFonts w:ascii="Times New Roman" w:hAnsi="Times New Roman" w:cs="Times New Roman"/>
          <w:color w:val="000000" w:themeColor="text1"/>
          <w:sz w:val="24"/>
          <w:szCs w:val="24"/>
        </w:rPr>
        <w:t xml:space="preserve">the </w:t>
      </w:r>
      <w:r w:rsidR="00525A18" w:rsidRPr="00F153F6">
        <w:rPr>
          <w:rFonts w:ascii="Times New Roman" w:hAnsi="Times New Roman" w:cs="Times New Roman"/>
          <w:color w:val="000000" w:themeColor="text1"/>
          <w:sz w:val="24"/>
          <w:szCs w:val="24"/>
        </w:rPr>
        <w:t>objectivist collective</w:t>
      </w:r>
      <w:r w:rsidR="00CE606D" w:rsidRPr="00F153F6">
        <w:rPr>
          <w:rFonts w:ascii="Times New Roman" w:hAnsi="Times New Roman" w:cs="Times New Roman"/>
          <w:color w:val="000000" w:themeColor="text1"/>
          <w:sz w:val="24"/>
          <w:szCs w:val="24"/>
        </w:rPr>
        <w:t xml:space="preserve"> / organisational</w:t>
      </w:r>
      <w:r w:rsidR="00525A18" w:rsidRPr="00F153F6">
        <w:rPr>
          <w:rFonts w:ascii="Times New Roman" w:hAnsi="Times New Roman" w:cs="Times New Roman"/>
          <w:color w:val="000000" w:themeColor="text1"/>
          <w:sz w:val="24"/>
          <w:szCs w:val="24"/>
        </w:rPr>
        <w:t xml:space="preserve"> </w:t>
      </w:r>
      <w:r w:rsidR="00CE606D" w:rsidRPr="00F153F6">
        <w:rPr>
          <w:rFonts w:ascii="Times New Roman" w:hAnsi="Times New Roman" w:cs="Times New Roman"/>
          <w:color w:val="000000" w:themeColor="text1"/>
          <w:sz w:val="24"/>
          <w:szCs w:val="24"/>
        </w:rPr>
        <w:t>views</w:t>
      </w:r>
      <w:r w:rsidR="00372419" w:rsidRPr="00F153F6">
        <w:rPr>
          <w:rFonts w:ascii="Times New Roman" w:hAnsi="Times New Roman" w:cs="Times New Roman"/>
          <w:color w:val="000000" w:themeColor="text1"/>
          <w:sz w:val="24"/>
          <w:szCs w:val="24"/>
        </w:rPr>
        <w:t xml:space="preserve"> </w:t>
      </w:r>
      <w:r w:rsidR="002B635D" w:rsidRPr="00F153F6">
        <w:rPr>
          <w:rFonts w:ascii="Times New Roman" w:hAnsi="Times New Roman" w:cs="Times New Roman"/>
          <w:color w:val="000000" w:themeColor="text1"/>
          <w:sz w:val="24"/>
          <w:szCs w:val="24"/>
        </w:rPr>
        <w:t xml:space="preserve">of </w:t>
      </w:r>
      <w:r w:rsidR="00372419" w:rsidRPr="00F153F6">
        <w:rPr>
          <w:rFonts w:ascii="Times New Roman" w:hAnsi="Times New Roman" w:cs="Times New Roman"/>
          <w:color w:val="000000" w:themeColor="text1"/>
          <w:sz w:val="24"/>
          <w:szCs w:val="24"/>
        </w:rPr>
        <w:t>knowledge</w:t>
      </w:r>
      <w:r w:rsidR="00CE606D" w:rsidRPr="00F153F6">
        <w:rPr>
          <w:rFonts w:ascii="Times New Roman" w:hAnsi="Times New Roman" w:cs="Times New Roman"/>
          <w:color w:val="000000" w:themeColor="text1"/>
          <w:sz w:val="24"/>
          <w:szCs w:val="24"/>
        </w:rPr>
        <w:t>.</w:t>
      </w:r>
    </w:p>
    <w:p w14:paraId="0738550A" w14:textId="0466F7C9"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lastRenderedPageBreak/>
        <w:t xml:space="preserve">There are several interrelated features for understanding </w:t>
      </w:r>
      <w:r w:rsidR="00C67311" w:rsidRPr="00F153F6">
        <w:rPr>
          <w:rFonts w:ascii="Times New Roman" w:hAnsi="Times New Roman" w:cs="Times New Roman"/>
          <w:color w:val="000000" w:themeColor="text1"/>
          <w:sz w:val="24"/>
          <w:szCs w:val="24"/>
        </w:rPr>
        <w:t xml:space="preserve">such </w:t>
      </w:r>
      <w:r w:rsidRPr="00F153F6">
        <w:rPr>
          <w:rFonts w:ascii="Times New Roman" w:hAnsi="Times New Roman" w:cs="Times New Roman"/>
          <w:color w:val="000000" w:themeColor="text1"/>
          <w:sz w:val="24"/>
          <w:szCs w:val="24"/>
        </w:rPr>
        <w:t>practice-based</w:t>
      </w:r>
      <w:r w:rsidR="00C67311" w:rsidRPr="00F153F6">
        <w:rPr>
          <w:rFonts w:ascii="Times New Roman" w:hAnsi="Times New Roman" w:cs="Times New Roman"/>
          <w:color w:val="000000" w:themeColor="text1"/>
          <w:sz w:val="24"/>
          <w:szCs w:val="24"/>
        </w:rPr>
        <w:t>, relational approach to</w:t>
      </w:r>
      <w:r w:rsidRPr="00F153F6">
        <w:rPr>
          <w:rFonts w:ascii="Times New Roman" w:hAnsi="Times New Roman" w:cs="Times New Roman"/>
          <w:color w:val="000000" w:themeColor="text1"/>
          <w:sz w:val="24"/>
          <w:szCs w:val="24"/>
        </w:rPr>
        <w:t xml:space="preserve"> knowledge. First, knowledge is regarded as inseparable from human activities, and is embedded in the practices </w:t>
      </w:r>
      <w:bookmarkStart w:id="102" w:name="OLE_LINK59"/>
      <w:bookmarkStart w:id="103" w:name="OLE_LINK60"/>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{"citationID":"J9kQPi50","properties":{"formattedCitation":"(Hislop et al., 2018)","plainCitation":"(Hislop et al., 2018)","noteIndex":0},"citationItems":[{"id":475,"uris":["http://zotero.org/users/5709166/items/K99MV3Q7"],"itemData":{"id":475,"type":"book","abstract":"Knowledge Management in Organizations is the most comprehensive and critical textbook on the subject. Encompassing a number of perspectives - including organizational behaviour, HRM, systems, and sociocultural factors - the text introduces the concept of knowledge before examining how it can be effectively managed within the organizations in which we work. The international author team ensure the broad theoretical coverage is brought to life with practical illustrations and case studies exploring topics such as knowledge sharing via social media, knowledge transfer in different cultural contexts, and the interaction of leadership, culture, and knowledge management in Australian SMEs. Examples are diverse, international, and highly relevant to each chapter, showcasing the significance of knowledge management in all types of organizational settings. 'Time to Reflect' boxes, review and discussion questions, and a question or activity to accompany every illustration and case study ensure students are challenged to engage with the subject critically and reflectively. Despite the critical approach and depth of coverage, the text remains accessible through its widely praised writing style, coherent structure, in-chapter definition boxes, and manageable size. This book is accompanied by a selection of online resources: For students: Extra online casesWeb links to additional resources and relevant websitesExtension questions For lecturers: Suggested exam questions Suggested essay/coursework questionsSuggestions for classroom activities Figures and tables from the book","ISBN":"978-0-19-872401-8","language":"en","note":"Google-Books-ID: fhFQDwAAQBAJ","number-of-pages":"345","publisher":"Oxford University Press","source":"Google Books","title":"Knowledge Management in Organizations: A Critical Introduction","title-short":"Knowledge Management in Organizations","author":[{"family":"Hislop","given":"Donald"},{"family":"Bosua","given":"Rachelle"},{"family":"Helms","given":"Remko"}],"issued":{"date-parts":[["2018",3,29]]}}}],"schema":"https://github.com/citation-style-language/schema/raw/master/csl-citation.json"}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(Hislop et al., 2018)</w:t>
      </w:r>
      <w:r w:rsidRPr="00F153F6">
        <w:rPr>
          <w:rFonts w:ascii="Times New Roman" w:hAnsi="Times New Roman" w:cs="Times New Roman"/>
          <w:color w:val="000000" w:themeColor="text1"/>
          <w:sz w:val="24"/>
          <w:szCs w:val="24"/>
        </w:rPr>
        <w:fldChar w:fldCharType="end"/>
      </w:r>
      <w:bookmarkEnd w:id="102"/>
      <w:bookmarkEnd w:id="103"/>
      <w:r w:rsidRPr="00F153F6">
        <w:rPr>
          <w:rFonts w:ascii="Times New Roman" w:hAnsi="Times New Roman" w:cs="Times New Roman"/>
          <w:color w:val="000000" w:themeColor="text1"/>
          <w:sz w:val="24"/>
          <w:szCs w:val="24"/>
        </w:rPr>
        <w:t xml:space="preserve">. Challenging the objectivists perspective that views knowledge as separate object from people, the practice-based perspective of knowledge argues that knowledge is inseparably tied to people’s practices and is formed as people engage in practices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{"citationID":"a22bn6u2a55","properties":{"formattedCitation":"(Nicolini, 2011)","plainCitation":"(Nicolini, 2011)","noteIndex":0},"citationItems":[{"id":2340,"uris":["http://zotero.org/users/5709166/items/AC5AMJE4"],"itemData":{"id":2340,"type":"article-journal","container-title":"Organization Science","DOI":"10.1287/orsc.1100.0556","ISSN":"1047-7039, 1526-5455","issue":"3","journalAbbreviation":"Organization Science","language":"en","page":"602-620","source":"DOI.org (Crossref)","title":"Practice as the Site of Knowing: Insights from the Field of Telemedicine","title-short":"Practice as the Site of Knowing","volume":"22","author":[{"family":"Nicolini","given":"Davide"}],"issued":{"date-parts":[["2011",6]]}}}],"schema":"https://github.com/citation-style-language/schema/raw/master/csl-citation.json"}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(Nicolini, 2011)</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so called ‘knowing’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{"citationID":"auto7705b3","properties":{"formattedCitation":"(Corradi et al., 2010)","plainCitation":"(Corradi et al., 2010)","noteIndex":0},"citationItems":[{"id":2339,"uris":["http://zotero.org/users/5709166/items/G5RSAIA5"],"itemData":{"id":2339,"type":"article-journal","abstract":"In the last 20 years we have witnessed a return of the practice concept in studies of organizing, learning and knowing. Practice has been used as a lens for the reinterpretation of many organizational phenomena, and it seems that a bandwagon of practice-based studies has been set in motion by the coining of labels, which comprise the term ?practice?. A bandwagon can serve to institutionalize a field of studies by progressive labelling and a collective appropriation of the general label.We wonder if this has been the case for practice-based studies? The article presents seven labels and discusses their similarities and differences in order to demonstrate that, while the institutionalization of practice-based studies may be considered an achieved goal, the collective appropriation of the label has not been achieved, and therefore, the bandwagon is heading for a partition.","container-title":"Management Learning","DOI":"10.1177/1350507609356938","ISSN":"1350-5076","issue":"3","journalAbbreviation":"Management Learning","note":"publisher: SAGE Publications Ltd","page":"265-283","source":"SAGE Journals","title":"Through the practice lens: Where is the bandwagon of practice-based studies heading?","title-short":"Through the practice lens","volume":"41","author":[{"family":"Corradi","given":"Gessica"},{"family":"Gherardi","given":"Silvia"},{"family":"Verzelloni","given":"Luca"}],"issued":{"date-parts":[["2010",7,1]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(Corradi et al., 2010)</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From an objectivist</w:t>
      </w:r>
      <w:r w:rsidR="00042F66" w:rsidRPr="00F153F6">
        <w:rPr>
          <w:rFonts w:ascii="Times New Roman" w:hAnsi="Times New Roman" w:cs="Times New Roman"/>
          <w:color w:val="000000" w:themeColor="text1"/>
          <w:sz w:val="24"/>
          <w:szCs w:val="24"/>
        </w:rPr>
        <w:t>’s</w:t>
      </w:r>
      <w:r w:rsidRPr="00F153F6">
        <w:rPr>
          <w:rFonts w:ascii="Times New Roman" w:hAnsi="Times New Roman" w:cs="Times New Roman"/>
          <w:color w:val="000000" w:themeColor="text1"/>
          <w:sz w:val="24"/>
          <w:szCs w:val="24"/>
        </w:rPr>
        <w:t xml:space="preserve"> perspective, knowledge is derived from the brain as a cognitive entity, separate from the body or behaviours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{"citationID":"a10g3mj0pbd","properties":{"formattedCitation":"(Newell, 2015)","plainCitation":"(Newell, 2015)","noteIndex":0},"citationItems":[{"id":453,"uris":["http://zotero.org/users/5709166/items/MD9D4ULD"],"itemData":{"id":453,"type":"article-journal","abstract":"In this paper we review the recent IS literature on knowledge and consider different assumptions that underpin different approaches to this broad research area. In doing this we contrast those who focus on knowledge management with those who focus on knowing as practice and examine how contexts, processes and purposes need to be considered whichever approach to knowledge one is adopting. We also identify how recent IT developments, especially in relation to social software and the digitization of everything, are presenting new opportunities (and challenges) for how organizations can manage both knowledge and knowledge work. This presents IS scholars with new research agendas for examining and understanding the relationships between technology, organization and society.","container-title":"Journal of Information Technology","DOI":"10.1057/jit.2014.12","ISSN":"0268-3962","issue":"1","journalAbbreviation":"Journal of Information Technology","language":"en","page":"1-17","source":"SAGE Journals","title":"Managing Knowledge and Managing Knowledge Work: What we know and what the Future holds","title-short":"Managing Knowledge and Managing Knowledge Work","volume":"30","author":[{"family":"Newell","given":"Sue"}],"issued":{"date-parts":[["2015",3,1]]}}}],"schema":"https://github.com/citation-style-language/schema/raw/master/csl-citation.json"}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(Newell, 2015)</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i.e. thinking and doing is discrete. However, from a practice-based perspective, knowledge, or knowing, is viewed as an ongoing holistic development of the whole body through the routine activities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{"citationID":"a11en045rqi","properties":{"formattedCitation":"(Strati, 2007)","plainCitation":"(Strati, 2007)","noteIndex":0},"citationItems":[{"id":2338,"uris":["http://zotero.org/users/5709166/items/DQ8X9ZSE"],"itemData":{"id":2338,"type":"article-journal","abstract":"The article shows that there is a close connection between knowing and learning in practice and sensible knowledge. It does so by referring to field research conducted in a variety of workplaces: a sawmill, a roofing firm and a secretarial office. The concluding remarks argue for the re-construction of organizational discourse through aesthetic understanding, because this is an approach which brings out the ?don't-know-what? characteristic of a large part of practical experience in organizations.","container-title":"Management Learning","DOI":"10.1177/1350507607073023","ISSN":"1350-5076","issue":"1","journalAbbreviation":"Management Learning","note":"publisher: SAGE Publications Ltd","page":"61-77","source":"SAGE Journals","title":"Sensible Knowledge and Practice-based Learning","volume":"38","author":[{"family":"Strati","given":"Antonio"}],"issued":{"date-parts":[["2007",2,1]]}}}],"schema":"https://github.com/citation-style-language/schema/raw/master/csl-citation.json"}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(Strati, 2007)</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i.e. thinking and doing is fused in the practices. </w:t>
      </w:r>
    </w:p>
    <w:p w14:paraId="1723129D" w14:textId="77777777"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In addition, the practice-based perspective views knowledge as multidimensional and non-dichotomous. Rather than objective perspective that conceptualises knowledge in depiction of dichotomy such as tacit-explicit knowledge or individual-organisational knowledge., practice-based perspective conceptualises knowledge as being mutually constituted by these dichotomic dimensions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{"citationID":"apqp8hd15m","properties":{"formattedCitation":"(Tsoukas, 1996)","plainCitation":"(Tsoukas, 1996)","noteIndex":0},"citationItems":[{"id":2025,"uris":["http://zotero.org/users/5709166/items/H29J29BN"],"itemData":{"id":2025,"type":"article-journal","abstract":"The organizational problem firms face is the utilization of knowledge which is not, and cannot be, known by a single agent. Even more importantly, no single agent can fully specify in advance what kind of practical knowledge is going to be relevant, when and where. Firms, therefore, are distributed knowledge systems in a strong sense: they are decentered systems, lacking an overseeing ‘mind’. The knowledge they need to draw upon is inherently indeterminate and continually emerging; it is not self-contained. Individuals' stock of knowledge consists of (a) role-related normative expectations; (b) dispositions, which have been formed in the course of past socializations; and (c) local knowledge of particular circumstances of time and place. A firm has greater-or-lesser control over normative expectations, but very limited control over the other two. At any point in time, a firm's knowledge is the indeterminate outcome of individuals attempting to manage the inevitable tensions between normative expectations, dispositions, and local contexts.","container-title":"Strategic Management Journal","DOI":"10.1002/smj.4250171104","ISSN":"1097-0266","issue":"S2","language":"en","page":"11-25","source":"Wiley Online Library","title":"The firm as a distributed knowledge system: A constructionist approach","title-short":"The firm as a distributed knowledge system","volume":"17","author":[{"family":"Tsoukas","given":"Haridimos"}],"issued":{"date-parts":[["1996"]]}}}],"schema":"https://github.com/citation-style-language/schema/raw/master/csl-citation.json"}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(Tsoukas, 1996)</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For example, from the practice-based perspective, explicit knowledge and tacit knowledge are fused and inseparable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{"citationID":"a2csejpl7tv","properties":{"formattedCitation":"(Werr &amp; Stjernberg, 2003)","plainCitation":"(Werr &amp; Stjernberg, 2003)","noteIndex":0},"citationItems":[{"id":2337,"uris":["http://zotero.org/users/5709166/items/UR3NCTER"],"itemData":{"id":2337,"type":"article-journal","abstract":"This article examines the nature and the generation, dissemination and translation of knowledge in large, global management consulting organizations. The knowledge system in consulting organizations is modelled as consisting of three interacting knowledge elements: methods and tools, providing a common language and knowledge structure; cases, carrying knowledge in a narrative form; and the experience of individual consultants that is essential for the adaptation of methods, tools and cases to the specific consulting project.A number of recent studies have characterized knowledge-management strategies as focusing on either articulate knowledge or tacit knowledge. We argue that a fruitful understanding of knowledge management in management consulting requires attention to the relations between the different elements that represent different kinds of knowledge. Based on case studies in Andersen Consulting (now Accenture) and Ernst &amp; Young Management Consulting (now Cap Gemini Ernst &amp; Young) these knowledge elements and the interplay between them are identified and analysed.The main role of articulate knowledge is not to replace experience, but rather to support the generation, dissemination and use of it. A number of consequences of this conceptualization of the knowledge system are discussed in terms of the ability of the knowledge system to generate different types of learning and the complementarity of structural and individual knowledge.","container-title":"Organization Studies","DOI":"10.1177/0170840603024006004","ISSN":"0170-8406","issue":"6","journalAbbreviation":"Organization Studies","note":"publisher: SAGE Publications Ltd","page":"881-908","source":"SAGE Journals","title":"Exploring Management Consulting Firms as Knowledge Systems","volume":"24","author":[{"family":"Werr","given":"Andreas"},{"family":"Stjernberg","given":"Torbjörn"}],"issued":{"date-parts":[["2003",7,1]]}}}],"schema":"https://github.com/citation-style-language/schema/raw/master/csl-citation.json"}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(Werr &amp; Stjernberg, 2003)</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i.e. </w:t>
      </w:r>
      <w:bookmarkStart w:id="104" w:name="OLE_LINK58"/>
      <w:bookmarkStart w:id="105" w:name="OLE_LINK57"/>
      <w:r w:rsidRPr="00F153F6">
        <w:rPr>
          <w:rFonts w:ascii="Times New Roman" w:hAnsi="Times New Roman" w:cs="Times New Roman"/>
          <w:color w:val="000000" w:themeColor="text1"/>
          <w:sz w:val="24"/>
          <w:szCs w:val="24"/>
        </w:rPr>
        <w:t>all knowledge has explicit and tacit dimensions rather than dichotomy of knowledge</w:t>
      </w:r>
      <w:bookmarkEnd w:id="104"/>
      <w:bookmarkEnd w:id="105"/>
      <w:r w:rsidRPr="00F153F6">
        <w:rPr>
          <w:rFonts w:ascii="Times New Roman" w:hAnsi="Times New Roman" w:cs="Times New Roman"/>
          <w:color w:val="000000" w:themeColor="text1"/>
          <w:sz w:val="24"/>
          <w:szCs w:val="24"/>
        </w:rPr>
        <w:t>.</w:t>
      </w:r>
    </w:p>
    <w:p w14:paraId="378DCA6E" w14:textId="77777777"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The practice-based perspective also assumes that knowledge is embodied within an individual. Since the practice-based perspective assumes that knowledge is rooted in one’s practices, knowledge can only be developed by the actor who undertakes the practices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{"citationID":"a23igllm79d","properties":{"formattedCitation":"(Gherardi &amp; Rodeschini, 2016)","plainCitation":"(Gherardi &amp; Rodeschini, 2016)","noteIndex":0},"citationItems":[{"id":2335,"uris":["http://zotero.org/users/5709166/items/UJNSQ8SU"],"itemData":{"id":2335,"type":"article-journal","abstract":"Care is not an innate human capacity; rather, it is an organizational competence, a situated knowing that a group of professionals enact while attending to their everyday tasks. We propose a post-humanist practice approach to reading care as a matter of concern for those producing care and for society at large. Care is framed as a collective knowledgeable ?doing?, it is not an object or a quality that is added to work; rather, it is ?caring?, an ongoing sociomaterial accomplishment. Through an ethnography in a nursing home for the elderly, we describe: (a) how caring was collectively performed in keeping a common orientation, (b) how caring was inscribed in a texture of practices, and (c) how a technological change in nutrition practice mobilized ethics as practice in situated decision-making. Since natural nutrition is being increasingly replaced by artificial feeding, we describe how the collective and organizational ethic of care with tube feeding is talked about in practice, in a front-stage situation and in the back-stage one. In this process, the duality of care as a matter of concern and as the process of being concerned by caring becomes visible.","container-title":"Management Learning","DOI":"10.1177/1350507615610030","ISSN":"1350-5076","issue":"3","journalAbbreviation":"Management Learning","note":"publisher: SAGE Publications Ltd","page":"266-284","source":"SAGE Journals","title":"Caring as a collective knowledgeable doing: About concern and being concerned","title-short":"Caring as a collective knowledgeable doing","volume":"47","author":[{"family":"Gherardi","given":"Silvia"},{"family":"Rodeschini","given":"Giulia"}],"issued":{"date-parts":[["2016",7,1]]}}}],"schema":"https://github.com/citation-style-language/schema/raw/master/csl-citation.json"}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(Gherardi &amp; Rodeschini, 2016)</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As knowledge is mutually constituted by tacit and explicit dimensions, it cannot be fully converted from a tacit into explicit form. Therefore, knowledge cannot be fully disembodied from people in an explicit form, but is only embodied by the workers who carry out practices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{"citationID":"a1uobaj11b8","properties":{"formattedCitation":"(Yakhlef, 2010)","plainCitation":"(Yakhlef, 2010)","noteIndex":0},"citationItems":[{"id":2334,"uris":["http://zotero.org/users/5709166/items/6DSNZKNU"],"itemData":{"id":2334,"type":"article-journal","abstract":"Practice-based approaches to learning and knowing can be credited with their contribution to, among other things, establishing the social basis for human cognition, action and interaction. However, although they emphasise the (ontological) significance of practice, inter/action and activity as the basis of learning and knowing, little attention has been paid to the body ? that which makes all doing and performs all action. The aim of the present study is to suggest a corporeal ground for a practice-based learning theory. The body is regarded as our link to the practical (social and material) world, and is thus the medium of learning and knowing. Drawing on Merleau-Ponty?s (1962; 1964; 1968) advanced phenomenology learning is viewed as a process of incorporating and absorbing new competencies and understandings into our body schema, which in turn transforms our ways of perceiving and acting. Learning is corporeal, pre-discursive and pre-social, stemming from the body?s perpetual need to cope with tensions arising in the body-environment connections. The study closes with some theoretical and practical implications for practice-based approaches to learning and knowing.","container-title":"Organization Studies","DOI":"10.1177/0170840609357384","ISSN":"0170-8406","issue":"4","journalAbbreviation":"Organization Studies","note":"publisher: SAGE Publications Ltd","page":"409-430","source":"SAGE Journals","title":"The corporeality of practice-based learning","volume":"31","author":[{"family":"Yakhlef","given":"Ali"}],"issued":{"date-parts":[["2010",4,1]]}}}],"schema":"https://github.com/citation-style-language/schema/raw/master/csl-citation.json"}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(Yakhlef, 2010)</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w:t>
      </w:r>
    </w:p>
    <w:p w14:paraId="559BBD0B" w14:textId="56522A8C"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Another major characteristic of the practice-based perspective is that knowledge is socially constructed and culturally embedded in nature. Since knowledge is embodied in person and embedded in practices, knowledge is relatively subjective and never unbiased for interpretation, i.e. it is inseparable from those who produce it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{"citationID":"IqyYNg5M","properties":{"formattedCitation":"(Hislop et al., 2018)","plainCitation":"(Hislop et al., 2018)","noteIndex":0},"citationItems":[{"id":475,"uris":["http://zotero.org/users/5709166/items/K99MV3Q7"],"itemData":{"id":475,"type":"book","abstract":"Knowledge Management in Organizations is the most comprehensive and critical textbook on the subject. Encompassing a number of perspectives - including organizational behaviour, HRM, systems, and sociocultural factors - the text introduces the concept of knowledge before examining how it can be effectively managed within the organizations in which we work. The international author team ensure the broad theoretical coverage is brought to life with practical illustrations and case studies exploring topics such as knowledge sharing via social media, knowledge transfer in different cultural contexts, and the interaction of leadership, culture, and knowledge management in Australian SMEs. Examples are diverse, international, and highly relevant to each chapter, showcasing the significance of knowledge management in all types of organizational settings. 'Time to Reflect' boxes, review and discussion questions, and a question or activity to accompany every illustration and case study ensure students are challenged to engage with the subject critically and reflectively. Despite the critical approach and depth of coverage, the text remains accessible through its widely praised writing style, coherent structure, in-chapter definition boxes, and manageable size. This book is accompanied by a selection of online resources: For students: Extra online casesWeb links to additional resources and relevant websitesExtension questions For lecturers: Suggested exam questions Suggested essay/coursework questionsSuggestions for classroom activities Figures and tables from the book","ISBN":"978-0-19-872401-8","language":"en","note":"Google-Books-ID: fhFQDwAAQBAJ","number-of-pages":"345","publisher":"Oxford University Press","source":"Google Books","title":"Knowledge Management in Organizations: A Critical Introduction","title-short":"Knowledge Management in Organizations","author":[{"family":"Hislop","given":"Donald"},{"family":"Bosua","given":"Rachelle"},{"family":"Helms","given":"Remko"}],"issued":{"date-parts":[["2018",3,29]]}}}],"schema":"https://github.com/citation-style-language/schema/raw/master/csl-citation.json"}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(Hislop et al., 2018)</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Therefore, the social constructed nature of knowledge shows that it is developed and understood by its production and interpretation. Polanyi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5qhputf40","properties":{"formattedCitation":"(1961)","plainCitation":"(1961)","noteIndex":0},"citationItems":[{"id":2333,"uris":["http://zotero.org/users/5709166/items/DJ3S6MTT"],"itemData":{"id":2333,"type":"article-journal","archive":"JSTOR","container-title":"Mind","ISSN":"0026-4423","issue":"280","note":"publisher: [Oxford University Press, Mind Association]","page":"458-470","source":"JSTOR","title":"Knowing and Being","volume":"70","author":[{"family":"Polanyi","given":"Michael"}],"issued":{"date-parts":[["1961"]]}},"suppress-author":true}],"schema":"https://github.com/citation-style-language/schema/raw/master/csl-citation.json"}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(1961)</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illustrates these processes as sense giving and sense making. Furthermore, Weir and Hutchings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{"citationID":"a190pbvb95d","properties":{"formattedCitation":"(2005)","plainCitation":"(2005)","noteIndex":0},"citationItems":[{"id":2332,"uris":["http://zotero.org/users/5709166/items/8ERRQ8YS"],"itemData":{"id":2332,"type":"article-journal","abstract":"In a recent article Glisby and Holden have noted that the Nonaka and Takeuchi model of knowledge management needs to be used with caution. Its application is not universal because it must be seen primarily as a product of the Japanese cultural context from which it emerged. In the model each of the four modes is interpreted in reference to their embeddedness in Japanese cultural symbols, organizational structures and societal value systems. But we propose that, a fortiori, some aspects of this model do apply to modes of knowledge acquisition and transfer in other cultural contexts. In this paper we review the workings of the model and the four modes with reference to the cultural, organization–structural and value bases of Chinese and Arab societies. We demonstrate that the Nonaka and Takeuchi model maps partially, but differently from both Western and Japanese societies, on to each of these cultural contexts. In these cultures managers and organizational members will share knowledge with those with whom they already have a trustful relationship. This paper explores the implications of the fact that in China and the Arab world the sharing of knowledge cannot be taken for granted outside this context of trustful relationships. Copyright © 2005 John Wiley &amp; Sons, Ltd.","container-title":"Knowledge and Process Management","DOI":"10.1002/kpm.222","ISSN":"1099-1441","issue":"2","language":"en","note":"_eprint: https://onlinelibrary.wiley.com/doi/pdf/10.1002/kpm.222","page":"89-98","source":"Wiley Online Library","title":"Cultural embeddedness and contextual constraints: knowledge sharing in Chinese and Arab cultures","title-short":"Cultural embeddedness and contextual constraints","volume":"12","author":[{"family":"Weir","given":"David"},{"family":"Hutchings","given":"Kate"}],"issued":{"date-parts":[["2005"]]}},"suppress-author":true}],"schema":"https://github.com/citation-style-language/schema/raw/master/csl-citation.json"}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(2005)</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argue that knowledge can only be </w:t>
      </w:r>
      <w:r w:rsidRPr="00F153F6">
        <w:rPr>
          <w:rFonts w:ascii="Times New Roman" w:hAnsi="Times New Roman" w:cs="Times New Roman"/>
          <w:color w:val="000000" w:themeColor="text1"/>
          <w:sz w:val="24"/>
          <w:szCs w:val="24"/>
        </w:rPr>
        <w:lastRenderedPageBreak/>
        <w:t xml:space="preserve">understood within specific social and cultural contexts since people attach meanings to the knowledge based on their values and assumptions. Similarly, Rivera and Cox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{"citationID":"a25h2ds3gnu","properties":{"formattedCitation":"(2016)","plainCitation":"(2016)","noteIndex":0},"citationItems":[{"id":2331,"uris":["http://zotero.org/users/5709166/items/WICXP6RJ"],"itemData":{"id":2331,"type":"article-journal","container-title":"Journal of Computer-Mediated Communication","DOI":"10.1111/jcc4.12148","ISSN":"10836101","issue":"1","journalAbbreviation":"J Comput-Mediat Comm","language":"en","page":"17-32","source":"DOI.org (Crossref)","title":"A Practice-Based Approach to Understanding Participation in Online Communities: The Practice Approach And Online Community Participation","title-short":"A Practice-Based Approach to Understanding Participation in Online Communities","volume":"21","author":[{"family":"Rivera","given":"Gibrán"},{"family":"Cox","given":"Andrew M."}],"issued":{"date-parts":[["2016",1]]}},"suppress-author":true}],"schema":"https://github.com/citation-style-language/schema/raw/master/csl-citation.json"}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(2016)</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’s work reflects that cultural values are key factors in knowledge management, e.g.</w:t>
      </w:r>
      <w:r w:rsidR="00D37B7A" w:rsidRPr="00F153F6">
        <w:rPr>
          <w:rFonts w:ascii="Times New Roman" w:hAnsi="Times New Roman" w:cs="Times New Roman"/>
          <w:color w:val="000000" w:themeColor="text1"/>
          <w:sz w:val="24"/>
          <w:szCs w:val="24"/>
        </w:rPr>
        <w:t>,</w:t>
      </w:r>
      <w:r w:rsidRPr="00F153F6">
        <w:rPr>
          <w:rFonts w:ascii="Times New Roman" w:hAnsi="Times New Roman" w:cs="Times New Roman"/>
          <w:color w:val="000000" w:themeColor="text1"/>
          <w:sz w:val="24"/>
          <w:szCs w:val="24"/>
        </w:rPr>
        <w:t xml:space="preserve"> values of human resources practitioners limit the utilisation of knowledge management systems. </w:t>
      </w:r>
    </w:p>
    <w:bookmarkEnd w:id="100"/>
    <w:bookmarkEnd w:id="101"/>
    <w:p w14:paraId="16E7B5A3" w14:textId="367D8FF0" w:rsidR="00D94282"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From such a perspective, knowledge is also material. As Nicolini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{"citationID":"a17983cj4oc","properties":{"formattedCitation":"(2011)","plainCitation":"(2011)","noteIndex":0},"citationItems":[{"id":2340,"uris":["http://zotero.org/users/5709166/items/AC5AMJE4"],"itemData":{"id":2340,"type":"article-journal","container-title":"Organization Science","DOI":"10.1287/orsc.1100.0556","ISSN":"1047-7039, 1526-5455","issue":"3","journalAbbreviation":"Organization Science","language":"en","page":"602-620","source":"DOI.org (Crossref)","title":"Practice as the Site of Knowing: Insights from the Field of Telemedicine","title-short":"Practice as the Site of Knowing","volume":"22","author":[{"family":"Nicolini","given":"Davide"}],"issued":{"date-parts":[["2011",6]]}},"label":"page","suppress-author":true}],"schema":"https://github.com/citation-style-language/schema/raw/master/csl-citation.json"}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(2011)</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suggests, practice as the source of knowing demonstrates that knowing and practicing are ontologically equivalent. This indicates the multiple facets that facilitate practice such as tools, objects, subjects, and power relations also </w:t>
      </w:r>
      <w:r w:rsidR="00EB0DAC" w:rsidRPr="00F153F6">
        <w:rPr>
          <w:rFonts w:ascii="Times New Roman" w:hAnsi="Times New Roman" w:cs="Times New Roman"/>
          <w:color w:val="000000" w:themeColor="text1"/>
          <w:sz w:val="24"/>
          <w:szCs w:val="24"/>
        </w:rPr>
        <w:t>facilitate</w:t>
      </w:r>
      <w:r w:rsidRPr="00F153F6">
        <w:rPr>
          <w:rFonts w:ascii="Times New Roman" w:hAnsi="Times New Roman" w:cs="Times New Roman"/>
          <w:color w:val="000000" w:themeColor="text1"/>
          <w:sz w:val="24"/>
          <w:szCs w:val="24"/>
        </w:rPr>
        <w:t xml:space="preserve"> the shaping of knowledge. Orlikowski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{"citationID":"agdtnla8vu","properties":{"formattedCitation":"(2006)","plainCitation":"(2006)","noteIndex":0},"citationItems":[{"id":170,"uris":["http://zotero.org/users/5709166/items/LJEGGXSV"],"itemData":{"id":170,"type":"article-journal","container-title":"European Journal of Information Systems","DOI":"10.1057/palgrave.ejis.3000639","ISSN":"0960-085X, 1476-9344","issue":"5","journalAbbreviation":"European Journal of Information Systems","language":"en","page":"460-466","source":"DOI.org (Crossref)","title":"Material knowing: the scaffolding of human knowledgeability","title-short":"Material knowing","volume":"15","author":[{"family":"Orlikowski","given":"Wanda J"}],"issued":{"date-parts":[["2006",10]]}},"label":"page","suppress-author":true}],"schema":"https://github.com/citation-style-language/schema/raw/master/csl-citation.json"}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(2006)</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drawing on the practice perspective, argues that knowledge is inherently material since people cannot achieve their everyday knowledgeable practices without the use of material forms such as artefacts, spaces, and infrastructure. Under such a view, knowledge is always bound up with material artefacts in practice and is always an ongoing achievement of human practice as people interact with these artefacts. This highlights the role of knowledge and material artefacts in practice by considering the emergence of these as equivalent to each other.</w:t>
      </w:r>
    </w:p>
    <w:p w14:paraId="26C661F9" w14:textId="77777777" w:rsidR="00EA3760" w:rsidRPr="00F153F6" w:rsidRDefault="00EA3760" w:rsidP="004424B4">
      <w:pPr>
        <w:spacing w:line="360" w:lineRule="auto"/>
        <w:jc w:val="both"/>
        <w:rPr>
          <w:rFonts w:ascii="Times New Roman" w:hAnsi="Times New Roman" w:cs="Times New Roman"/>
          <w:color w:val="000000" w:themeColor="text1"/>
          <w:sz w:val="24"/>
          <w:szCs w:val="24"/>
        </w:rPr>
      </w:pPr>
    </w:p>
    <w:p w14:paraId="2AA4E8CD" w14:textId="77777777" w:rsidR="002C1A2F" w:rsidRPr="00F153F6" w:rsidRDefault="002C1A2F" w:rsidP="004424B4">
      <w:pPr>
        <w:pStyle w:val="Heading3"/>
        <w:spacing w:line="360" w:lineRule="auto"/>
        <w:ind w:left="720"/>
        <w:jc w:val="both"/>
        <w:rPr>
          <w:rFonts w:ascii="Times New Roman" w:hAnsi="Times New Roman" w:cs="Times New Roman"/>
          <w:b/>
          <w:color w:val="000000" w:themeColor="text1"/>
          <w:sz w:val="28"/>
          <w:szCs w:val="28"/>
        </w:rPr>
      </w:pPr>
      <w:bookmarkStart w:id="106" w:name="_Toc50065927"/>
      <w:bookmarkStart w:id="107" w:name="_Toc118371087"/>
      <w:bookmarkStart w:id="108" w:name="_Toc133252110"/>
      <w:r w:rsidRPr="00F153F6">
        <w:rPr>
          <w:rFonts w:ascii="Times New Roman" w:hAnsi="Times New Roman" w:cs="Times New Roman"/>
          <w:b/>
          <w:color w:val="000000" w:themeColor="text1"/>
          <w:sz w:val="28"/>
          <w:szCs w:val="28"/>
        </w:rPr>
        <w:t>2.2.3 Knowledge Management Activities</w:t>
      </w:r>
      <w:bookmarkEnd w:id="106"/>
      <w:bookmarkEnd w:id="107"/>
      <w:bookmarkEnd w:id="108"/>
      <w:r w:rsidRPr="00F153F6">
        <w:rPr>
          <w:rFonts w:ascii="Times New Roman" w:hAnsi="Times New Roman" w:cs="Times New Roman"/>
          <w:b/>
          <w:color w:val="000000" w:themeColor="text1"/>
          <w:sz w:val="28"/>
          <w:szCs w:val="28"/>
        </w:rPr>
        <w:t xml:space="preserve"> </w:t>
      </w:r>
    </w:p>
    <w:p w14:paraId="1383BBE5" w14:textId="77777777"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Both intentionally and unintentionally, organisations engage in knowledge management activities to improve their organisational performance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{"citationID":"a18j40i16hf","properties":{"formattedCitation":"(Ferreira et al., 2018)","plainCitation":"(Ferreira et al., 2018)","noteIndex":0},"citationItems":[{"id":476,"uris":["http://zotero.org/users/5709166/items/9WIXBYTQ"],"itemData":{"id":476,"type":"article-journal","archive_location":"world","container-title":"Journal of Knowledge Management","DOI":"10.1108/JKM-07-2018-0461","language":"en","source":"www.emerald.com","title":"Strategic knowledge management: theory, practice and future challenges","title-short":"Strategic knowledge management","URL":"/insight/content/doi/10.1108/JKM-07-2018-0461/full/html","author":[{"family":"Ferreira","given":"João"},{"family":"Mueller","given":"Jens"},{"family":"Papa","given":"Armando"}],"accessed":{"date-parts":[["2019",7,15]]},"issued":{"date-parts":[["2018",10,10]]}}}],"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(Ferreira et al., 2018)</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The expansion of knowledge management activities demonstrates the growing recognition that developing knowledge management capabilities is a prerequisite for organisations to survive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{"citationID":"a1uas4ppb5g","properties":{"formattedCitation":"(Hislop et al., 2018)","plainCitation":"(Hislop et al., 2018)","noteIndex":0},"citationItems":[{"id":475,"uris":["http://zotero.org/users/5709166/items/K99MV3Q7"],"itemData":{"id":475,"type":"book","abstract":"Knowledge Management in Organizations is the most comprehensive and critical textbook on the subject. Encompassing a number of perspectives - including organizational behaviour, HRM, systems, and sociocultural factors - the text introduces the concept of knowledge before examining how it can be effectively managed within the organizations in which we work. The international author team ensure the broad theoretical coverage is brought to life with practical illustrations and case studies exploring topics such as knowledge sharing via social media, knowledge transfer in different cultural contexts, and the interaction of leadership, culture, and knowledge management in Australian SMEs. Examples are diverse, international, and highly relevant to each chapter, showcasing the significance of knowledge management in all types of organizational settings. 'Time to Reflect' boxes, review and discussion questions, and a question or activity to accompany every illustration and case study ensure students are challenged to engage with the subject critically and reflectively. Despite the critical approach and depth of coverage, the text remains accessible through its widely praised writing style, coherent structure, in-chapter definition boxes, and manageable size. This book is accompanied by a selection of online resources: For students: Extra online casesWeb links to additional resources and relevant websitesExtension questions For lecturers: Suggested exam questions Suggested essay/coursework questionsSuggestions for classroom activities Figures and tables from the book","ISBN":"978-0-19-872401-8","language":"en","note":"Google-Books-ID: fhFQDwAAQBAJ","number-of-pages":"345","publisher":"Oxford University Press","source":"Google Books","title":"Knowledge Management in Organizations: A Critical Introduction","title-short":"Knowledge Management in Organizations","author":[{"family":"Hislop","given":"Donald"},{"family":"Bosua","given":"Rachelle"},{"family":"Helms","given":"Remko"}],"issued":{"date-parts":[["2018",3,29]]}}}],"schema":"https://github.com/citation-style-language/schema/raw/master/csl-citation.json"}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(Hislop et al., 2018)</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w:t>
      </w:r>
    </w:p>
    <w:p w14:paraId="3FCBF53E" w14:textId="373B1FB3"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Knowledge management activities are rooted into two main perspectives: a human-oriented perspective and a technology-oriented perspective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{"citationID":"DNAIexnt","properties":{"formattedCitation":"(Dayan et al., 2017; Maier, 2007; Shams et al., 2019)","plainCitation":"(Dayan et al., 2017; Maier, 2007; Shams et al., 2019)","noteIndex":0},"citationItems":[{"id":2000,"uris":["http://zotero.org/users/5709166/items/6HI87HXK"],"itemData":{"id":2000,"type":"article-journal","abstract":"Knowledge management (KM) and organization strategy are both important to the success of an organization. This study aims to assess the research needs of their interrelationship.,The research is based on a collection of over 200 interviews of KM worldwide experts. Their inputs have been categorized based on the frequency of their occurrence.,This study looked at the research themes recommended by the experts and concluded that KM is to be regarded as a factor for the formulation and implementation of the organization strategy.,The sample of scholars and practitioners interviewed, the analysis approach used and the use of broad questions and dimensions are some of the limitations of this study. Nevertheless, a variety of effects KM has on the formulation and implementation of company strategy has emerged.,Organizations would improve their chances of success in a changing and competitive world by integrating the KM approach, methods and goals within the articulation of their strategy.,This study is original in variety because of the wide demographic sample supplied, and to its involvement both of KM academic experts as well as of  practitioners. Its value is in the recommendations on the research of KM and organization strategy that would be of value, not only to organizations looking for ways to make their strategy more effective but also to those willing to implement KM in a better way.","archive_location":"world","container-title":"Journal of Knowledge Management","DOI":"10.1108/JKM-02-2016-0068","ISSN":"1367-3270","language":"en","source":"www.emerald.com","title":"Knowledge management as a factor for the formulation and implementation of organization strategy","URL":"https://www.emerald.com/insight/content/doi/10.1108/JKM-02-2016-0068/full/html","author":[{"family":"Dayan","given":"Rony"},{"family":"Heisig","given":"Peter"},{"family":"Matos","given":"Florinda"}],"accessed":{"date-parts":[["2019",10,23]]},"issued":{"date-parts":[["2017",4,3]]}}},{"id":2001,"uris":["http://zotero.org/users/5709166/items/NRG4CX98"],"itemData":{"id":2001,"type":"book","call-number":"QA76.9.D3 M33175 2007","edition":"3rd ed","event-place":"Berlin ; New York","ISBN":"978-3-540-71407-1","language":"en","number-of-pages":"720","publisher":"Springer","publisher-place":"Berlin ; New York","source":"Library of Congress ISBN","title":"Knowledge management systems: information and communication technologies for knowledge management","title-short":"Knowledge management systems","author":[{"family":"Maier","given":"Ronald"}],"issued":{"date-parts":[["2007"]]}}},{"id":1999,"uris":["http://zotero.org/users/5709166/items/VR4UABDC"],"itemData":{"id":1999,"type":"book","abstract":"Diverse kinds of knowledge are vital for each organization that would successfully compete today in an international scenario. The emergent relevance of knowledge and its management in an even more complex environment opens up the possibility to analyze, investigate and deepen our understanding on different aspects related to several functional areas in business management. Nowadays, firms that create new knowledge and apply it effectively and efficiently will be successful at creating competitive advantages. The choices of the firms in selecting and applying different knowledge process (such as knowledge sourcing, transferring and exploiting) as well as knowledge tools may be crucial. Thus, the role of knowledge as the key source of potential advantage for organizations and indeed whole economies is still a hot debate in the international landscape. This book develops insights for the management of knowledge in cross-functional business areas to originate an innovative approach to the classical Knowledge Management (KM) field. This book provides a fresh perspective on different knowledge related topics in an international landscape, highlighting the key role of knowledge and its management in business activities. Overall, the primary aim of this book is to extend our understandings on how KM can be helpful in several cross-functional management areas, such as strategic management, finance, HRM and innovation as well as in different business circumstances such as M&amp;A, internationalization processes and risk management.","ISBN":"978-0-429-66534-9","language":"en","note":"Google-Books-ID: jEmMDwAAQBAJ","number-of-pages":"237","publisher":"Routledge","source":"Google Books","title":"Cross-Functional Knowledge Management: The International Landscape","title-short":"Cross-Functional Knowledge Management","author":[{"family":"Shams","given":"S. M. Riad"},{"family":"Vrontis","given":"Demetris"},{"family":"Weber","given":"Yaakov"},{"family":"Tsoukatos","given":"Evangelos"},{"family":"Ferraris","given":"Alberto"}],"issued":{"date-parts":[["2019",3,7]]}}}],"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(Dayan et al., 2017; Maier, 2007; Shams et al., 2019)</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The human-oriented perspective focuses on people-derived organisational learning processes, while the technology-oriented perspective emphasises aspects of structural organisational science with the support of </w:t>
      </w:r>
      <w:r w:rsidR="000A6A4E" w:rsidRPr="00F153F6">
        <w:rPr>
          <w:rFonts w:ascii="Times New Roman" w:hAnsi="Times New Roman" w:cs="Times New Roman"/>
          <w:color w:val="000000" w:themeColor="text1"/>
          <w:sz w:val="24"/>
          <w:szCs w:val="24"/>
        </w:rPr>
        <w:t>ICT</w:t>
      </w:r>
      <w:r w:rsidRPr="00F153F6">
        <w:rPr>
          <w:rFonts w:ascii="Times New Roman" w:hAnsi="Times New Roman" w:cs="Times New Roman"/>
          <w:color w:val="000000" w:themeColor="text1"/>
          <w:sz w:val="24"/>
          <w:szCs w:val="24"/>
        </w:rPr>
        <w:t xml:space="preserve">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{"citationID":"1sFFPm68","properties":{"formattedCitation":"(Maier, 2007)","plainCitation":"(Maier, 2007)","noteIndex":0},"citationItems":[{"id":2001,"uris":["http://zotero.org/users/5709166/items/NRG4CX98"],"itemData":{"id":2001,"type":"book","call-number":"QA76.9.D3 M33175 2007","edition":"3rd ed","event-place":"Berlin ; New York","ISBN":"978-3-540-71407-1","language":"en","number-of-pages":"720","publisher":"Springer","publisher-place":"Berlin ; New York","source":"Library of Congress ISBN","title":"Knowledge management systems: information and communication technologies for knowledge management","title-short":"Knowledge management systems","author":[{"family":"Maier","given":"Ronald"}],"issued":{"date-parts":[["2007"]]}}}],"schema":"https://github.com/citation-style-language/schema/raw/master/csl-citation.json"}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(Maier, 2007)</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w:t>
      </w:r>
    </w:p>
    <w:p w14:paraId="0E8C1615" w14:textId="77777777"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Based on the tensions and complementarities given by these two perspectives, scholars developed the nature and foci of knowledge management into different streams. One stream focuses on the </w:t>
      </w:r>
      <w:r w:rsidRPr="00F153F6">
        <w:rPr>
          <w:rFonts w:ascii="Times New Roman" w:hAnsi="Times New Roman" w:cs="Times New Roman"/>
          <w:b/>
          <w:bCs/>
          <w:color w:val="000000" w:themeColor="text1"/>
          <w:sz w:val="24"/>
          <w:szCs w:val="24"/>
        </w:rPr>
        <w:t>knowledge life cycle</w:t>
      </w:r>
      <w:r w:rsidRPr="00F153F6">
        <w:rPr>
          <w:rFonts w:ascii="Times New Roman" w:hAnsi="Times New Roman" w:cs="Times New Roman"/>
          <w:color w:val="000000" w:themeColor="text1"/>
          <w:sz w:val="24"/>
          <w:szCs w:val="24"/>
        </w:rPr>
        <w:t xml:space="preserve">, which divides knowledge management into different knowledge activities. </w:t>
      </w:r>
    </w:p>
    <w:p w14:paraId="2F37CCD7" w14:textId="77777777"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hAnsi="Times New Roman" w:cs="Times New Roman"/>
          <w:color w:val="000000" w:themeColor="text1"/>
          <w:sz w:val="24"/>
          <w:szCs w:val="24"/>
        </w:rPr>
        <w:lastRenderedPageBreak/>
        <w:t xml:space="preserve">Under this stream, knowledge management is viewed as “a set of distinct and well-defined approaches and processes to find and manage positive and negative critical knowledge functions”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{"citationID":"a1tfo0nmpsd","properties":{"formattedCitation":"(Wiig, 1993, p. 16)","plainCitation":"(Wiig, 1993, p. 16)","noteIndex":0},"citationItems":[{"id":1995,"uris":["http://zotero.org/users/5709166/items/3WHRR8UT"],"itemData":{"id":1995,"type":"article-journal","source":"ResearchGate","title":"Knowledge Management Foundations : Thinking about Thinking : How People and Organizations Create, Represent and Use Knowledge / K.M. Wiig.","title-short":"Knowledge Management Foundations","author":[{"family":"Wiig","given":"Karl Martin"}],"issued":{"date-parts":[["1993",1,1]]}},"locator":"16"}],"schema":"https://github.com/citation-style-language/schema/raw/master/csl-citation.json"}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(Wiig, 1993, p. 16)</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There are many knowledge management activities identified in the existing literature, which are divided according to their nature into four major types: knowledge creation, knowledge sharing, knowledge storage, knowledge use. </w:t>
      </w:r>
      <w:r w:rsidRPr="00F153F6">
        <w:rPr>
          <w:rFonts w:ascii="Times New Roman" w:hAnsi="Times New Roman" w:cs="Times New Roman"/>
          <w:b/>
          <w:bCs/>
          <w:color w:val="000000" w:themeColor="text1"/>
          <w:sz w:val="24"/>
          <w:szCs w:val="24"/>
        </w:rPr>
        <w:t>Knowledge creation</w:t>
      </w:r>
      <w:r w:rsidRPr="00F153F6">
        <w:rPr>
          <w:rFonts w:ascii="Times New Roman" w:hAnsi="Times New Roman" w:cs="Times New Roman"/>
          <w:color w:val="000000" w:themeColor="text1"/>
          <w:sz w:val="24"/>
          <w:szCs w:val="24"/>
        </w:rPr>
        <w:t xml:space="preserve"> refers to how the generation of a novel understanding of a particular phenomenon is developed from existing knowledge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{"citationID":"a651j3qkoa","properties":{"formattedCitation":"(Beesley &amp; Cooper, 2008)","plainCitation":"(Beesley &amp; Cooper, 2008)","noteIndex":0},"citationItems":[{"id":320,"uris":["http://zotero.org/users/5709166/items/7AHKNDJ7"],"itemData":{"id":320,"type":"article-journal","abstract":"Purpose – The purpose of the paper is to present a vocabulary of terms that clearly define knowledge management (KM) activities in order to move towards consensus in the adoption of a common language within the field.Design/methodology/approach – Existing literature across several disciplines has been integrated to provide a clear description of the sorts of activities an individual undertakes in order to move from knowledge acquisition to innovation, and a clarification of the terms used to describe such activities is put forth.Findings – Adoption of a common vocabulary to describe KM activities provides a platform to better understand how best to manage these activities, and enables clearer identification of the knowledge management capabilities held by various sectors within the broader business community.Research limitations/implications – There is a need to undertake empirical research and in‐depth case studies of knowledge management practices using a common vocabulary as a framework with which to i...","container-title":"J. Knowledge Management","DOI":"10.1108/13673270810875859","page":"48-62","source":"Semantic Scholar","title":"Defining knowledge management (KM) activities: towards consensus","title-short":"Defining knowledge management (KM) activities","volume":"12","author":[{"family":"Beesley","given":"Lisa G. A."},{"family":"Cooper","given":"Chris"}],"issued":{"date-parts":[["2008"]]}}}],"schema":"https://github.com/citation-style-language/schema/raw/master/csl-citation.json"}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(Beesley &amp; Cooper, 2008)</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This process emphasises how new knowledge is created through socialisation, externalisation, combination and internalisation </w:t>
      </w:r>
      <w:r w:rsidRPr="00F153F6">
        <w:rPr>
          <w:rFonts w:ascii="Times New Roman" w:hAnsi="Times New Roman" w:cs="Times New Roman"/>
          <w:color w:val="000000" w:themeColor="text1"/>
          <w:sz w:val="24"/>
          <w:szCs w:val="24"/>
        </w:rPr>
        <w:fldChar w:fldCharType="begin"/>
      </w:r>
      <w:bookmarkStart w:id="109" w:name="OLE_LINK50"/>
      <w:bookmarkStart w:id="110" w:name="OLE_LINK49"/>
      <w:r w:rsidRPr="00F153F6">
        <w:rPr>
          <w:rFonts w:ascii="Times New Roman" w:hAnsi="Times New Roman" w:cs="Times New Roman"/>
          <w:color w:val="000000" w:themeColor="text1"/>
          <w:sz w:val="24"/>
          <w:szCs w:val="24"/>
        </w:rPr>
        <w:instrText xml:space="preserve"> ADDIN ZOTERO_ITEM CSL_CITATION {"citationID":"a2frrbd9e3e","properties":{"formattedCitation":"(Ikujiro Nonaka et al., 2000)","plainCitation":"(Ikujiro Nonaka et al., 2000)","dontUpdate":true,"noteIndex":0},"citationItems":[{"id":490,"uris":["http://zotero.org/users/5709166/items/ENA3UM7W"],"itemData":{"id":490,"type":"article-journal","container-title":"Long Range Planning","language":"en","page":"30","source":"Zotero","title":"SECI, Ba and Leadership: a Uni®ed Model of Dynamic Knowledge Creation","volume":"33","author":[{"family":"Nonaka","given":"Ikujiro"},{"family":"Toyama","given":"Ryoko"},{"family":"Konno","given":"Noboru"}],"issued":{"date-parts":[["2000"]]}}}],"schema":"https://github.com/citation-style-language/schema/raw/master/csl-citation.json"}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(Nonaka et al., 2000)</w:t>
      </w:r>
      <w:r w:rsidRPr="00F153F6">
        <w:rPr>
          <w:rFonts w:ascii="Times New Roman" w:hAnsi="Times New Roman" w:cs="Times New Roman"/>
          <w:color w:val="000000" w:themeColor="text1"/>
          <w:sz w:val="24"/>
          <w:szCs w:val="24"/>
        </w:rPr>
        <w:fldChar w:fldCharType="end"/>
      </w:r>
      <w:bookmarkEnd w:id="109"/>
      <w:bookmarkEnd w:id="110"/>
      <w:r w:rsidRPr="00F153F6">
        <w:rPr>
          <w:rFonts w:ascii="Times New Roman" w:hAnsi="Times New Roman" w:cs="Times New Roman"/>
          <w:color w:val="000000" w:themeColor="text1"/>
          <w:sz w:val="24"/>
          <w:szCs w:val="24"/>
        </w:rPr>
        <w:t xml:space="preserve">. </w:t>
      </w:r>
      <w:r w:rsidRPr="00F153F6">
        <w:rPr>
          <w:rFonts w:ascii="Times New Roman" w:hAnsi="Times New Roman" w:cs="Times New Roman"/>
          <w:b/>
          <w:bCs/>
          <w:color w:val="000000" w:themeColor="text1"/>
          <w:sz w:val="24"/>
          <w:szCs w:val="24"/>
        </w:rPr>
        <w:t>Knowledge sharing</w:t>
      </w:r>
      <w:r w:rsidRPr="00F153F6">
        <w:rPr>
          <w:rFonts w:ascii="Times New Roman" w:hAnsi="Times New Roman" w:cs="Times New Roman"/>
          <w:color w:val="000000" w:themeColor="text1"/>
          <w:sz w:val="24"/>
          <w:szCs w:val="24"/>
        </w:rPr>
        <w:t xml:space="preserve"> refers to the process by which knowledge is being shared between sender and receiver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{"citationID":"a2dj9aplq6e","properties":{"formattedCitation":"(Schauer et al., 2015)","plainCitation":"(Schauer et al., 2015)","noteIndex":0},"citationItems":[{"id":317,"uris":["http://zotero.org/users/5709166/items/YY9X2U9W"],"itemData":{"id":317,"type":"article-journal","container-title":"Journal of Knowledge Management","DOI":"10.1108/JKM-12-2014-0519","ISSN":"1367-3270","issue":"4","journalAbbreviation":"J of Knowledge Management","language":"en","page":"770-790","source":"DOI.org (Crossref)","title":"The ShaRInK framework: a holistic perspective on key categories of influences shaping individual perceptions of knowledge sharing","title-short":"The ShaRInK framework","volume":"19","author":[{"family":"Schauer","given":"Alexander"},{"family":"Vasconcelos","given":"Ana Cristina"},{"family":"Sen","given":"Barbara"}],"issued":{"date-parts":[["2015",7,13]]}}}],"schema":"https://github.com/citation-style-language/schema/raw/master/csl-citation.json"}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(Schauer et al., 2015)</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The shared knowledge can become a joint-treasure for both sender and receiver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{"citationID":"abhmae1lqo","properties":{"formattedCitation":"(S. Li, 2018)","plainCitation":"(S. Li, 2018)","dontUpdate":true,"noteIndex":0},"citationItems":[{"id":2014,"uris":["http://zotero.org/users/5709166/items/6AKM3HG4"],"itemData":{"id":2014,"type":"thesis","title":"Knowledge Domains and Skills that Facilitate Knowledge Sharing in Project Management -A Case Study in the Chinese Construction Industry","URL":"http://etheses.whiterose.ac.uk/21467/2/Thesis_Shuyang%20Li.pdf","author":[{"family":"Li","given":"Shuyang"}],"accessed":{"date-parts":[["2019",10,21]]},"issued":{"date-parts":[["2018"]]}}}],"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(Li, 2018)</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w:t>
      </w:r>
      <w:r w:rsidRPr="00F153F6">
        <w:rPr>
          <w:rFonts w:ascii="Times New Roman" w:hAnsi="Times New Roman" w:cs="Times New Roman"/>
          <w:b/>
          <w:bCs/>
          <w:color w:val="000000" w:themeColor="text1"/>
          <w:sz w:val="24"/>
          <w:szCs w:val="24"/>
        </w:rPr>
        <w:t>Knowledge storage</w:t>
      </w:r>
      <w:r w:rsidRPr="00F153F6">
        <w:rPr>
          <w:rFonts w:ascii="Times New Roman" w:hAnsi="Times New Roman" w:cs="Times New Roman"/>
          <w:color w:val="000000" w:themeColor="text1"/>
          <w:sz w:val="24"/>
          <w:szCs w:val="24"/>
        </w:rPr>
        <w:t xml:space="preserve"> is mostly used to reflect how knowledge is stored in organisational memory for future use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{"citationID":"a20ien6c385","properties":{"formattedCitation":"(Jasimuddin, 2005)","plainCitation":"(Jasimuddin, 2005)","noteIndex":0},"citationItems":[{"id":310,"uris":["http://zotero.org/users/5709166/items/CI3R4VJY"],"itemData":{"id":310,"type":"article-journal","abstract":"The importance of integrating storage of knowledge with knowledge transfer has been ignored in the knowledge management, particularly knowledge transfer, literatures. Knowledge is regarded as a primary source of value creation in an organization. However, knowledge is distributed asymmetrically in any firm. As a result, distributed knowledge has to be integrated through knowledge transfer process. Moreover, the storage of knowledge repositories is also crucial for future use and reference. After having the transfer of knowledge through social interaction, the Web based technology is a powerful means for communication between organizational members in order to transfer knowledge regardless of their location. Such technology also allows for the storage of the transferred knowledge. Using the insights from the existing studies, this paper addresses an issue relating to the linkage of the knowledge transfer and the knowledge storage. The main contribution of this paper is the adoption of a holistic and integrated approach that supports the connectivity of knowledge transfer and storage through social and technological networks, when developing a framework for the successful accomplishment of knowledge transfer. This discussion is actually taken a first step towards developing some arguments about such interaction in order to broaden our understanding of the notion of knowledge transfer.","language":"en","page":"13","source":"Zotero","title":"An Integration of Knowledge Transfer and Knowledge Storage: An Holistic Approach","author":[{"family":"Jasimuddin","given":"Sajjad M"}],"issued":{"date-parts":[["2005"]]}}}],"schema":"https://github.com/citation-style-language/schema/raw/master/csl-citation.json"}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(Jasimuddin, 2005)</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Memory is a system of knowledge that preserves and stores people’s perceptions and experiences for later retrieval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{"citationID":"ad6vsc181k","properties":{"formattedCitation":"(Probst et al., 1999)","plainCitation":"(Probst et al., 1999)","noteIndex":0},"citationItems":[{"id":309,"uris":["http://zotero.org/users/5709166/items/S6UXAFGI"],"itemData":{"id":309,"type":"paper-conference","abstract":"Managing Knowledge: The Challenge. The Companya s Knowledge Base. Building Blocks of Knowledge Management. Defining Knowledge Goals. Identifying Knowledge. Acquiring Knowledge. Developing Knowledge. Sharing and Distributing Knowledge. Using Knowledge. Preserving Knowledge. Measuring Knowledge. Incorporating Knowledge Management. Getting Started. First Experiences of Implementation. Appendices. Notes. Bibliography. Index.","source":"Semantic Scholar","title":"Managing Knowledge: Building Blocks for Success","title-short":"Managing Knowledge","author":[{"family":"Probst","given":"Gilbert"},{"family":"Romhardt","given":"Kai"},{"family":"Raub","given":"Steffen"}],"issued":{"date-parts":[["1999"]]}}}],"schema":"https://github.com/citation-style-language/schema/raw/master/csl-citation.json"}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(Probst et al., 1999)</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w:t>
      </w:r>
      <w:r w:rsidRPr="00F153F6">
        <w:rPr>
          <w:rFonts w:ascii="Times New Roman" w:hAnsi="Times New Roman" w:cs="Times New Roman"/>
          <w:b/>
          <w:bCs/>
          <w:color w:val="000000" w:themeColor="text1"/>
          <w:sz w:val="24"/>
          <w:szCs w:val="24"/>
        </w:rPr>
        <w:t>Knowledge application</w:t>
      </w:r>
      <w:r w:rsidRPr="00F153F6">
        <w:rPr>
          <w:rFonts w:ascii="Times New Roman" w:hAnsi="Times New Roman" w:cs="Times New Roman"/>
          <w:color w:val="000000" w:themeColor="text1"/>
          <w:sz w:val="24"/>
          <w:szCs w:val="24"/>
        </w:rPr>
        <w:t xml:space="preserve"> indicates the usage of knowledge as opposed to knowledge existence alone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{"citationID":"a971d8heqf","properties":{"formattedCitation":"(Shaheen, 2017)","plainCitation":"(Shaheen, 2017)","noteIndex":0},"citationItems":[{"id":305,"uris":["http://zotero.org/users/5709166/items/LU2K2LR6"],"itemData":{"id":305,"type":"article-journal","abstract":"Knowledge constitutes a wide and complex matter which has provided a definition for the epistemological dispute in the philosophy of the West since the times of the classical Greek era. Nonetheless, in the recent years, great interest has occurred in approaching knowledge as an important organizational resource. The increased interest in organizational knowledge and knowledge management originates from the conversion into the area of knowledge economy, in which it is perceived as the primary source of the creation of value and sustainable competitive advantage. Knowledge Management (KM) constitutes an integral part of the business world in contemporary times. This can be seen at a time of analyzing the modern literature of business, management, technology as well as organization. This worker views and interprets KM literature in enterprises. The main aim of the research is to summarize literature on the subject of Knowledge Management (KM) and to get the sense of the primary concepts/common terms, conventional definitions in the area of knowledge and Knowledge Management (KM).This work constitutes a profound overview on the process of the management of organizational knowledge with great focus put on the possible part of IT in the different phases of the process of knowledge management. The author chose this subject as not much research has been carried out to analyze this side of KM.","language":"en","page":"25","source":"Zotero","title":"Knowledge and knowledge management in organization: identifying the critical role of IT in the knowledge management process","author":[{"family":"Shaheen","given":"Omar"}],"issued":{"date-parts":[["2017"]]}}}],"schema":"https://github.com/citation-style-language/schema/raw/master/csl-citation.json"}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(Shaheen, 2017)</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This process illustrates how knowledge is applied into a new scenario for organisational knowledge management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{"citationID":"aklp4lhdj6","properties":{"formattedCitation":"(Parikh, 2001)","plainCitation":"(Parikh, 2001)","noteIndex":0},"citationItems":[{"id":306,"uris":["http://zotero.org/users/5709166/items/D8FU8KXR"],"itemData":{"id":306,"type":"article-journal","abstract":"With growing product and process complexity and rising pressure to create and sustain competitive advantage through rapid, continuous innovation, modern high-tech firms increasingly depend on the efficient management of their research and development (R&amp;D) activities and the knowledge developed through these activities. This article presents a broad framework to manage R&amp;D knowledge. It identifies major sources of R&amp;D knowledge and problems in managing knowledge in high-tech R&amp;D. It presents a knowledge management (KM) cycle to channel the knowledge accumulated from these sources and to lessen the associated problems. It defines the role of KM in the new product development process as well as the implications for managers employing KM in R&amp;D.","container-title":"Engineering Management Journal: EMJ; Huntsville","ISSN":"10429247","issue":"3","language":"English","license":"Copyright American Society for Engineering Management Sep 2001","page":"27-33","source":"ProQuest","title":"Knowledge management framework for high-tech research and development","volume":"13","author":[{"family":"Parikh","given":"Mihir"}],"issued":{"date-parts":[["2001",9]]}}}],"schema":"https://github.com/citation-style-language/schema/raw/master/csl-citation.json"}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(Parikh, 2001)</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Finally, </w:t>
      </w:r>
      <w:r w:rsidRPr="00F153F6">
        <w:rPr>
          <w:rFonts w:ascii="Times New Roman" w:hAnsi="Times New Roman" w:cs="Times New Roman"/>
          <w:b/>
          <w:bCs/>
          <w:color w:val="000000" w:themeColor="text1"/>
          <w:sz w:val="24"/>
          <w:szCs w:val="24"/>
        </w:rPr>
        <w:t>knowledge exchange</w:t>
      </w:r>
      <w:r w:rsidRPr="00F153F6">
        <w:rPr>
          <w:rFonts w:ascii="Times New Roman" w:hAnsi="Times New Roman" w:cs="Times New Roman"/>
          <w:color w:val="000000" w:themeColor="text1"/>
          <w:sz w:val="24"/>
          <w:szCs w:val="24"/>
        </w:rPr>
        <w:t xml:space="preserve"> is not a specific activity but a combined dynamic process by which knowledge is created, shared, stored and applied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{"citationID":"a2hod1j9ft2","properties":{"formattedCitation":"(J. J. Davenport, 2018)","plainCitation":"(J. J. Davenport, 2018)","dontUpdate":true,"noteIndex":0},"citationItems":[{"id":1969,"uris":["http://zotero.org/users/5709166/items/JB4TW4YQ"],"itemData":{"id":1969,"type":"article-journal","language":"en","page":"427","source":"Zotero","title":"Exploring the Theory and Practice of Knowledge Exchange: intention, context and characteristics","author":[{"family":"Davenport","given":"Jeremy John"}],"issued":{"date-parts":[["2018"]]}}}],"schema":"https://github.com/citation-style-language/schema/raw/master/csl-citation.json"}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 Davenport, 2018)</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Through knowledge exchange, knowledge can be mobilised into real action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{"citationID":"a27eug0u6j4","properties":{"formattedCitation":"(van den Driessen Mareeuw et al., 2015)","plainCitation":"(van den Driessen Mareeuw et al., 2015)","noteIndex":0},"citationItems":[{"id":1978,"uris":["http://zotero.org/users/5709166/items/D7ECEX3U"],"itemData":{"id":1978,"type":"article-journal","abstract":"Despite considerable attention currently being given to facilitating the use of research results in public health practice, several concerns remain, resulting in the so-called know-do gap. This article aims to identify the key tensions causing the know-do gap from a broad perspective by using a systemic approach and considering the public health sector as an innovation system.","container-title":"BMC Public Health","DOI":"10.1186/s12889-015-2271-7","ISSN":"1471-2458","issue":"1","journalAbbreviation":"BMC Public Health","page":"922","source":"BioMed Central","title":"Beyond bridging the know-do gap: a qualitative study of systemic interaction to foster knowledge exchange in the public health sector in The Netherlands","title-short":"Beyond bridging the know-do gap","volume":"15","author":[{"family":"Driessen Mareeuw","given":"Francine","non-dropping-particle":"van den"},{"family":"Vaandrager","given":"Lenneke"},{"family":"Klerkx","given":"Laurens"},{"family":"Naaldenberg","given":"Jenneken"},{"family":"Koelen","given":"Maria"}],"issued":{"date-parts":[["2015",9,19]]}}}],"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(van den Driessen Mareeuw et al., 2015)</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Therefore, knowledge exchange is viewed as the core of knowledge management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{"citationID":"a2artdh22op","properties":{"formattedCitation":"(Al\\uc0\\u8208{}Adaileh &amp; Al\\uc0\\u8208{}Atawi, 2011)","plainCitation":"(Al‐Adaileh &amp; Al‐Atawi, 2011)","noteIndex":0},"citationItems":[{"id":2228,"uris":["http://zotero.org/users/5709166/items/99FLDZ36"],"itemData":{"id":2228,"type":"article-journal","container-title":"Journal of Knowledge Management","DOI":"10.1108/13673271111119664","ISSN":"1367-3270","issue":"2","journalAbbreviation":"J of Knowledge Management","language":"en","page":"212-230","source":"DOI.org (Crossref)","title":"Organizational culture impact on knowledge exchange: Saudi Telecom context","title-short":"Organizational culture impact on knowledge exchange","volume":"15","author":[{"family":"Al‐Adaileh","given":"Raid. M."},{"family":"Al‐Atawi","given":"Muawad S."}],"issued":{"date-parts":[["2011",4,5]]}}}],"schema":"https://github.com/citation-style-language/schema/raw/master/csl-citation.json"}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(Al‐Adaileh &amp; Al‐Atawi, 2011)</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w:t>
      </w:r>
    </w:p>
    <w:p w14:paraId="0ABA2A34" w14:textId="485E6357" w:rsidR="002C1A2F" w:rsidRPr="00F153F6" w:rsidRDefault="002C1A2F" w:rsidP="008B1A79">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Another stream views knowledge management as a </w:t>
      </w:r>
      <w:r w:rsidRPr="00F153F6">
        <w:rPr>
          <w:rFonts w:ascii="Times New Roman" w:hAnsi="Times New Roman" w:cs="Times New Roman"/>
          <w:b/>
          <w:bCs/>
          <w:color w:val="000000" w:themeColor="text1"/>
          <w:sz w:val="24"/>
          <w:szCs w:val="24"/>
        </w:rPr>
        <w:t>business strategy-oriented process</w:t>
      </w:r>
      <w:r w:rsidRPr="00F153F6">
        <w:rPr>
          <w:rFonts w:ascii="Times New Roman" w:hAnsi="Times New Roman" w:cs="Times New Roman"/>
          <w:color w:val="000000" w:themeColor="text1"/>
          <w:sz w:val="24"/>
          <w:szCs w:val="24"/>
        </w:rPr>
        <w:t xml:space="preserve">, which places emphasis on organisational management functions. According to this view, knowledge managements most important mission is to serve organisational strategy, operating as “the process of continually managing knowledge of all kinds to meet existing and emerging needs, to identify and exploit existing and acquired knowledge assets and to develop new opportunities” (Quintas et al.,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{"citationID":"acdvbh81kj","properties":{"formattedCitation":"(1997)","plainCitation":"(1997)","dontUpdate":true,"noteIndex":0},"citationItems":[{"id":1994,"uris":["http://zotero.org/users/5709166/items/ACSVNQCU"],"itemData":{"id":1994,"type":"article-journal","abstract":"This article explores what knowledge management is and what relevance it has to organizations and the people who work in or with them. Taking a broad definition of knowledge, it raises a number of questions concerning knowledge management as a source of competitive advantage and questions our conceptualization of ‘knowledge’. We provide a brief review of the field and raise a number of challenges for managers. From this emerges an agenda for the development of action-orientated goals for managers, organizations and networks of organizations. These include the formulation and implementation of strategies for developing, acquiring and applying knowledge, and the monitoring and evaluation of knowledge assets and processes for the their effective management.","container-title":"Long Range Planning","DOI":"10.1016/S0024-6301(97)90252-1","journalAbbreviation":"Long Range Planning","page":"385-391","source":"ResearchGate","title":"Knowledge Management: a Strategic Agenda","title-short":"Knowledge Management","volume":"30","author":[{"family":"Quintas","given":"Paul"},{"family":"Lefrere","given":"Paul"},{"family":"Jones","given":"Geoff"}],"issued":{"date-parts":[["1997",6,1]]}},"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1997</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p. 387). In a similar vein, Heisig </w:t>
      </w:r>
      <w:r w:rsidRPr="00F153F6">
        <w:rPr>
          <w:rFonts w:ascii="Times New Roman" w:hAnsi="Times New Roman" w:cs="Times New Roman"/>
          <w:color w:val="000000" w:themeColor="text1"/>
          <w:sz w:val="24"/>
          <w:szCs w:val="24"/>
        </w:rPr>
        <w:fldChar w:fldCharType="begin"/>
      </w:r>
      <w:r w:rsidR="00B87039" w:rsidRPr="00F153F6">
        <w:rPr>
          <w:rFonts w:ascii="Times New Roman" w:hAnsi="Times New Roman" w:cs="Times New Roman"/>
          <w:color w:val="000000" w:themeColor="text1"/>
          <w:sz w:val="24"/>
          <w:szCs w:val="24"/>
        </w:rPr>
        <w:instrText xml:space="preserve"> ADDIN ZOTERO_ITEM CSL_CITATION {"citationID":"KGOJIV2O","properties":{"formattedCitation":"(2001)","plainCitation":"(2001)","noteIndex":0},"citationItems":[{"id":1993,"uris":["http://zotero.org/users/5709166/items/VR6S2X9G"],"itemData":{"id":1993,"type":"chapter","abstract":"It seems logical that knowledge is an extremely important resource for business success. Therefore, the lack of theoretical understanding of knowledge and practically proven methods for efficient knowledge management is surprising. Only recently have academics and practitioners begun publishing their approaches and experiences under the concept of knowledge management.16","container-title":"Knowledge Management: Best Practices in Europe","event-place":"Berlin, Heidelberg","ISBN":"978-3-662-04466-7","language":"en","note":"DOI: 10.1007/978-3-662-04466-7_2","page":"13-36","publisher":"Springer Berlin Heidelberg","publisher-place":"Berlin, Heidelberg","source":"Springer Link","title":"Business Process Oriented Knowledge Management","URL":"https://doi.org/10.1007/978-3-662-04466-7_2","author":[{"family":"Heisig","given":"Peter"}],"editor":[{"family":"Mertins","given":"Kai"},{"family":"Heisig","given":"Peter"},{"family":"Vorbeck","given":"Jens"}],"accessed":{"date-parts":[["2019",10,23]]},"issued":{"date-parts":[["2001"]]}},"label":"page","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00B87039" w:rsidRPr="00F153F6">
        <w:rPr>
          <w:rFonts w:ascii="Times New Roman" w:hAnsi="Times New Roman" w:cs="Times New Roman"/>
          <w:sz w:val="24"/>
          <w:szCs w:val="24"/>
        </w:rPr>
        <w:t>(2001)</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argues that the focus of knowledge management is the attainment of organisational objectives and defines it as “</w:t>
      </w:r>
      <w:r w:rsidR="008B1A79" w:rsidRPr="00F153F6">
        <w:rPr>
          <w:rFonts w:ascii="Times New Roman" w:hAnsi="Times New Roman" w:cs="Times New Roman"/>
          <w:color w:val="000000" w:themeColor="text1"/>
          <w:sz w:val="24"/>
          <w:szCs w:val="24"/>
        </w:rPr>
        <w:t>the sum of the procedures that determine the generation, storage, distribution, and application of knowledge to achieve organizational goals</w:t>
      </w:r>
      <w:r w:rsidRPr="00F153F6">
        <w:rPr>
          <w:rFonts w:ascii="Times New Roman" w:hAnsi="Times New Roman" w:cs="Times New Roman"/>
          <w:color w:val="000000" w:themeColor="text1"/>
          <w:sz w:val="24"/>
          <w:szCs w:val="24"/>
        </w:rPr>
        <w:t>”</w:t>
      </w:r>
      <w:r w:rsidR="00B87039" w:rsidRPr="00F153F6">
        <w:rPr>
          <w:rFonts w:ascii="Times New Roman" w:hAnsi="Times New Roman" w:cs="Times New Roman"/>
          <w:color w:val="000000" w:themeColor="text1"/>
          <w:sz w:val="24"/>
          <w:szCs w:val="24"/>
        </w:rPr>
        <w:t xml:space="preserve"> (p. 97)</w:t>
      </w:r>
      <w:r w:rsidRPr="00F153F6">
        <w:rPr>
          <w:rFonts w:ascii="Times New Roman" w:hAnsi="Times New Roman" w:cs="Times New Roman"/>
          <w:color w:val="000000" w:themeColor="text1"/>
          <w:sz w:val="24"/>
          <w:szCs w:val="24"/>
        </w:rPr>
        <w:t xml:space="preserve">. </w:t>
      </w:r>
      <w:r w:rsidR="00B87039" w:rsidRPr="00F153F6">
        <w:rPr>
          <w:rFonts w:ascii="Times New Roman" w:hAnsi="Times New Roman" w:cs="Times New Roman"/>
          <w:color w:val="000000" w:themeColor="text1"/>
          <w:sz w:val="24"/>
          <w:szCs w:val="24"/>
        </w:rPr>
        <w:t>The role of ICT in t</w:t>
      </w:r>
      <w:r w:rsidRPr="00F153F6">
        <w:rPr>
          <w:rFonts w:ascii="Times New Roman" w:hAnsi="Times New Roman" w:cs="Times New Roman"/>
          <w:color w:val="000000" w:themeColor="text1"/>
          <w:sz w:val="24"/>
          <w:szCs w:val="24"/>
        </w:rPr>
        <w:t xml:space="preserve">his </w:t>
      </w:r>
      <w:r w:rsidR="00B87039" w:rsidRPr="00F153F6">
        <w:rPr>
          <w:rFonts w:ascii="Times New Roman" w:hAnsi="Times New Roman" w:cs="Times New Roman"/>
          <w:color w:val="000000" w:themeColor="text1"/>
          <w:sz w:val="24"/>
          <w:szCs w:val="24"/>
        </w:rPr>
        <w:t>body of stream</w:t>
      </w:r>
      <w:r w:rsidRPr="00F153F6">
        <w:rPr>
          <w:rFonts w:ascii="Times New Roman" w:hAnsi="Times New Roman" w:cs="Times New Roman"/>
          <w:color w:val="000000" w:themeColor="text1"/>
          <w:sz w:val="24"/>
          <w:szCs w:val="24"/>
        </w:rPr>
        <w:t xml:space="preserve"> focuses on the identification of </w:t>
      </w:r>
      <w:r w:rsidR="00B87039" w:rsidRPr="00F153F6">
        <w:rPr>
          <w:rFonts w:ascii="Times New Roman" w:hAnsi="Times New Roman" w:cs="Times New Roman"/>
          <w:color w:val="000000" w:themeColor="text1"/>
          <w:sz w:val="24"/>
          <w:szCs w:val="24"/>
        </w:rPr>
        <w:t>ICTs</w:t>
      </w:r>
      <w:r w:rsidRPr="00F153F6">
        <w:rPr>
          <w:rFonts w:ascii="Times New Roman" w:hAnsi="Times New Roman" w:cs="Times New Roman"/>
          <w:color w:val="000000" w:themeColor="text1"/>
          <w:sz w:val="24"/>
          <w:szCs w:val="24"/>
        </w:rPr>
        <w:t xml:space="preserve"> that can support knowledge management activities. For example, data and information can be stored with the support of </w:t>
      </w:r>
      <w:r w:rsidR="000A6A4E" w:rsidRPr="00F153F6">
        <w:rPr>
          <w:rFonts w:ascii="Times New Roman" w:hAnsi="Times New Roman" w:cs="Times New Roman"/>
          <w:color w:val="000000" w:themeColor="text1"/>
          <w:sz w:val="24"/>
          <w:szCs w:val="24"/>
        </w:rPr>
        <w:t>ICT</w:t>
      </w:r>
      <w:r w:rsidRPr="00F153F6">
        <w:rPr>
          <w:rFonts w:ascii="Times New Roman" w:hAnsi="Times New Roman" w:cs="Times New Roman"/>
          <w:color w:val="000000" w:themeColor="text1"/>
          <w:sz w:val="24"/>
          <w:szCs w:val="24"/>
        </w:rPr>
        <w:t xml:space="preserve"> where knowledge is embedded and managed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{"citationID":"a1btri81fj4","properties":{"formattedCitation":"(Loshin, 2001)","plainCitation":"(Loshin, 2001)","noteIndex":0},"citationItems":[{"id":1990,"uris":["http://zotero.org/users/5709166/items/YSCW5HBR"],"itemData":{"id":1990,"type":"book","abstract":"Today, companies capture and store tremendous amounts of information about every aspect of their business: their customers, partners, vendors, markets, and more. But with the rise in the quantity of information has come a corresponding decrease in its quality--a problem businesses recognize and are working feverishly to solve. Enterprise Knowledge Management: The Data Quality Approach presents an easily adaptable methodology for defining, measuring, and improving data quality. Author David Loshin begins by presenting an economic framework for understanding the value of data quality, then proceeds to outline data quality rules and domain-and mapping-based approaches to consolidating enterprise knowledge. Written for both a managerial and a technical audience, this book will be indispensable to the growing number of companies committed to wresting every possible advantage from their vast stores of business information. Expert advice from a highly successful data quality consultantThe only book on data quality offering the business acumen to appeal to managers and the technical expertise to appeal to IT professionalsDetails the high costs of bad data and the options available to companies that want to transform mere data into true enterprise knowledgePresents conceptual and practical information complementing companies' interest in data warehousing, data mining, and knowledge discovery","ISBN":"978-0-12-455840-3","language":"en","note":"Google-Books-ID: 3BXTfCtR8zsC","number-of-pages":"516","publisher":"Morgan Kaufmann","source":"Google Books","title":"Enterprise Knowledge Management: The Data Quality Approach","title-short":"Enterprise Knowledge Management","author":[{"family":"Loshin","given":"David"}],"issued":{"date-parts":[["2001"]]}}}],"schema":"https://github.com/citation-style-language/schema/raw/master/csl-citation.json"}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(Loshin, 2001)</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w:t>
      </w:r>
    </w:p>
    <w:p w14:paraId="2F9B445F" w14:textId="2A3266FA"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lastRenderedPageBreak/>
        <w:t xml:space="preserve">Combining elements from both a life-cycle and a business-oriented process understanding of knowledge management, Maier </w:t>
      </w:r>
      <w:bookmarkStart w:id="111" w:name="OLE_LINK10"/>
      <w:r w:rsidRPr="00F153F6">
        <w:rPr>
          <w:rFonts w:ascii="Times New Roman" w:hAnsi="Times New Roman" w:cs="Times New Roman"/>
          <w:color w:val="000000" w:themeColor="text1"/>
          <w:sz w:val="24"/>
          <w:szCs w:val="24"/>
        </w:rPr>
        <w:fldChar w:fldCharType="begin"/>
      </w:r>
      <w:r w:rsidR="00B87039" w:rsidRPr="00F153F6">
        <w:rPr>
          <w:rFonts w:ascii="Times New Roman" w:hAnsi="Times New Roman" w:cs="Times New Roman"/>
          <w:color w:val="000000" w:themeColor="text1"/>
          <w:sz w:val="24"/>
          <w:szCs w:val="24"/>
        </w:rPr>
        <w:instrText xml:space="preserve"> ADDIN ZOTERO_ITEM CSL_CITATION {"citationID":"7hk6rfmU","properties":{"formattedCitation":"(2007)","plainCitation":"(2007)","noteIndex":0},"citationItems":[{"id":2001,"uris":["http://zotero.org/users/5709166/items/NRG4CX98"],"itemData":{"id":2001,"type":"book","call-number":"QA76.9.D3 M33175 2007","edition":"3rd ed","event-place":"Berlin ; New York","ISBN":"978-3-540-71407-1","language":"en","number-of-pages":"720","publisher":"Springer","publisher-place":"Berlin ; New York","source":"Library of Congress ISBN","title":"Knowledge management systems: information and communication technologies for knowledge management","title-short":"Knowledge management systems","author":[{"family":"Maier","given":"Ronald"}],"issued":{"date-parts":[["2007"]]}},"label":"page","suppress-author":true}],"schema":"https://github.com/citation-style-language/schema/raw/master/csl-citation.json"}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00B87039" w:rsidRPr="00F153F6">
        <w:rPr>
          <w:rFonts w:ascii="Times New Roman" w:hAnsi="Times New Roman" w:cs="Times New Roman"/>
          <w:sz w:val="24"/>
          <w:szCs w:val="24"/>
        </w:rPr>
        <w:t>(2007)</w:t>
      </w:r>
      <w:r w:rsidRPr="00F153F6">
        <w:rPr>
          <w:rFonts w:ascii="Times New Roman" w:hAnsi="Times New Roman" w:cs="Times New Roman"/>
          <w:color w:val="000000" w:themeColor="text1"/>
          <w:sz w:val="24"/>
          <w:szCs w:val="24"/>
        </w:rPr>
        <w:fldChar w:fldCharType="end"/>
      </w:r>
      <w:bookmarkEnd w:id="111"/>
      <w:r w:rsidRPr="00F153F6">
        <w:rPr>
          <w:rFonts w:ascii="Times New Roman" w:hAnsi="Times New Roman" w:cs="Times New Roman"/>
          <w:color w:val="000000" w:themeColor="text1"/>
          <w:sz w:val="24"/>
          <w:szCs w:val="24"/>
        </w:rPr>
        <w:t xml:space="preserve"> defines knowledge management as “the management function responsible for the regular selection, implementation and evaluation of goal-oriented knowledge strategies that aim at improving an organisation’s way of handling knowledge internal and external to the organisation in order to improve organisational performance”</w:t>
      </w:r>
      <w:r w:rsidR="00B87039" w:rsidRPr="00F153F6">
        <w:rPr>
          <w:rFonts w:ascii="Times New Roman" w:hAnsi="Times New Roman" w:cs="Times New Roman"/>
          <w:color w:val="000000" w:themeColor="text1"/>
          <w:sz w:val="24"/>
          <w:szCs w:val="24"/>
        </w:rPr>
        <w:t xml:space="preserve"> (p. 57)</w:t>
      </w:r>
      <w:r w:rsidRPr="00F153F6">
        <w:rPr>
          <w:rFonts w:ascii="Times New Roman" w:hAnsi="Times New Roman" w:cs="Times New Roman"/>
          <w:color w:val="000000" w:themeColor="text1"/>
          <w:sz w:val="24"/>
          <w:szCs w:val="24"/>
        </w:rPr>
        <w:t xml:space="preserve">, and it is this definition that will be applied in this study. </w:t>
      </w:r>
    </w:p>
    <w:p w14:paraId="11438731" w14:textId="77777777" w:rsidR="002C1A2F" w:rsidRPr="00F153F6" w:rsidRDefault="002C1A2F" w:rsidP="004424B4">
      <w:pPr>
        <w:pStyle w:val="Heading2"/>
        <w:spacing w:line="360" w:lineRule="auto"/>
        <w:rPr>
          <w:rFonts w:ascii="Times New Roman" w:hAnsi="Times New Roman" w:cs="Times New Roman"/>
          <w:color w:val="000000" w:themeColor="text1"/>
          <w:sz w:val="32"/>
          <w:szCs w:val="32"/>
        </w:rPr>
      </w:pPr>
      <w:bookmarkStart w:id="112" w:name="_Toc50065928"/>
      <w:bookmarkStart w:id="113" w:name="_Toc118371088"/>
      <w:bookmarkStart w:id="114" w:name="_Toc133252111"/>
      <w:r w:rsidRPr="00F153F6">
        <w:rPr>
          <w:rFonts w:ascii="Times New Roman" w:hAnsi="Times New Roman" w:cs="Times New Roman"/>
          <w:color w:val="000000" w:themeColor="text1"/>
          <w:sz w:val="32"/>
          <w:szCs w:val="32"/>
        </w:rPr>
        <w:t>2.3 Knowledge Exchange</w:t>
      </w:r>
      <w:bookmarkEnd w:id="112"/>
      <w:bookmarkEnd w:id="113"/>
      <w:bookmarkEnd w:id="114"/>
      <w:r w:rsidRPr="00F153F6">
        <w:rPr>
          <w:rFonts w:ascii="Times New Roman" w:hAnsi="Times New Roman" w:cs="Times New Roman"/>
          <w:color w:val="000000" w:themeColor="text1"/>
          <w:sz w:val="32"/>
          <w:szCs w:val="32"/>
        </w:rPr>
        <w:t xml:space="preserve"> </w:t>
      </w:r>
    </w:p>
    <w:p w14:paraId="5E1F111A" w14:textId="0C505CEE" w:rsidR="000543CB"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Knowledge exchange is the core of knowledge management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{"citationID":"a1fjh31a2sm","properties":{"formattedCitation":"(Al\\uc0\\u8208{}Adaileh &amp; Al\\uc0\\u8208{}Atawi, 2011)","plainCitation":"(Al‐Adaileh &amp; Al‐Atawi, 2011)","noteIndex":0},"citationItems":[{"id":2228,"uris":["http://zotero.org/users/5709166/items/99FLDZ36"],"itemData":{"id":2228,"type":"article-journal","container-title":"Journal of Knowledge Management","DOI":"10.1108/13673271111119664","ISSN":"1367-3270","issue":"2","journalAbbreviation":"J of Knowledge Management","language":"en","page":"212-230","source":"DOI.org (Crossref)","title":"Organizational culture impact on knowledge exchange: Saudi Telecom context","title-short":"Organizational culture impact on knowledge exchange","volume":"15","author":[{"family":"Al‐Adaileh","given":"Raid. M."},{"family":"Al‐Atawi","given":"Muawad S."}],"issued":{"date-parts":[["2011",4,5]]}}}],"schema":"https://github.com/citation-style-language/schema/raw/master/csl-citation.json"}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(Al‐Adaileh &amp; Al‐Atawi, 2011)</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However, the definitions of knowledge exchange are </w:t>
      </w:r>
      <w:r w:rsidR="00860139" w:rsidRPr="00F153F6">
        <w:rPr>
          <w:rFonts w:ascii="Times New Roman" w:eastAsia="Times New Roman" w:hAnsi="Times New Roman" w:cs="Times New Roman"/>
          <w:iCs/>
          <w:color w:val="000000" w:themeColor="text1"/>
          <w:sz w:val="24"/>
          <w:szCs w:val="24"/>
        </w:rPr>
        <w:t xml:space="preserve">contested </w:t>
      </w:r>
      <w:r w:rsidRPr="00F153F6">
        <w:rPr>
          <w:rFonts w:ascii="Times New Roman" w:eastAsia="Times New Roman" w:hAnsi="Times New Roman" w:cs="Times New Roman"/>
          <w:iCs/>
          <w:color w:val="000000" w:themeColor="text1"/>
          <w:sz w:val="24"/>
          <w:szCs w:val="24"/>
        </w:rPr>
        <w:t xml:space="preserve">in literature as it is a complex, dynamic process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{"citationID":"XIFfWKsS","properties":{"formattedCitation":"(Salinas, 2018)","plainCitation":"(Salinas, 2018)","noteIndex":0},"citationItems":[{"id":1985,"uris":["http://zotero.org/users/5709166/items/29PRJWN6"],"itemData":{"id":1985,"type":"article-journal","title":"What is the value of Knowledge Exchange?","URL":"http://ualresearchonline.arts.ac.uk/12449/1/salinas2018whatisthevalueofkecumulus.pdf","author":[{"family":"Salinas","given":"Lara"}],"accessed":{"date-parts":[["2019",10,30]]},"issued":{"date-parts":[["2018"]]}}}],"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(Salinas, 2018)</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Therefore, this section will discuss the role of knowledge exchange in knowledge management in order to understand the nature of knowledge exchange. </w:t>
      </w:r>
    </w:p>
    <w:p w14:paraId="0DF924BA" w14:textId="77777777" w:rsidR="002C1A2F" w:rsidRPr="00F153F6" w:rsidRDefault="002C1A2F" w:rsidP="004424B4">
      <w:pPr>
        <w:pStyle w:val="Heading3"/>
        <w:spacing w:line="360" w:lineRule="auto"/>
        <w:ind w:left="720"/>
        <w:jc w:val="both"/>
        <w:rPr>
          <w:rFonts w:ascii="Times New Roman" w:hAnsi="Times New Roman" w:cs="Times New Roman"/>
          <w:b/>
          <w:color w:val="000000" w:themeColor="text1"/>
          <w:sz w:val="28"/>
          <w:szCs w:val="28"/>
        </w:rPr>
      </w:pPr>
      <w:bookmarkStart w:id="115" w:name="_Toc50065929"/>
      <w:bookmarkStart w:id="116" w:name="_Toc118371089"/>
      <w:bookmarkStart w:id="117" w:name="_Toc133252112"/>
      <w:r w:rsidRPr="00F153F6">
        <w:rPr>
          <w:rFonts w:ascii="Times New Roman" w:hAnsi="Times New Roman" w:cs="Times New Roman"/>
          <w:b/>
          <w:color w:val="000000" w:themeColor="text1"/>
          <w:sz w:val="28"/>
          <w:szCs w:val="28"/>
        </w:rPr>
        <w:t>2.3.1 Knowledge Exchange in Knowledge Management</w:t>
      </w:r>
      <w:bookmarkEnd w:id="115"/>
      <w:bookmarkEnd w:id="116"/>
      <w:bookmarkEnd w:id="117"/>
    </w:p>
    <w:p w14:paraId="2A029D28" w14:textId="643FC5D0"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Knowledge exchange is a broad concept encapsulating knowledge creation, sharing, storage and application. </w:t>
      </w:r>
      <w:r w:rsidRPr="00F153F6">
        <w:rPr>
          <w:rFonts w:ascii="Times New Roman" w:hAnsi="Times New Roman" w:cs="Times New Roman"/>
          <w:color w:val="000000" w:themeColor="text1"/>
          <w:sz w:val="24"/>
          <w:szCs w:val="24"/>
        </w:rPr>
        <w:t xml:space="preserve">Fazey et al.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21k1eqlijm","properties":{"formattedCitation":"(2013)","plainCitation":"(2013)","dontUpdate":true,"noteIndex":0},"citationItems":[{"id":1954,"uris":["http://zotero.org/users/5709166/items/BQ4DUZ43"],"itemData":{"id":1954,"type":"article-journal","abstract":"SUMMARY\n            There is increasing emphasis on the need for effective ways of sharing knowledge to enhance environmental management and sustainability. Knowledge exchange (KE) are processes that generate, share and/or use knowledge through various methods appropriate to the context, purpose, and participants involved. KE includes concepts such as sharing, generation, coproduction, comanagement, and brokerage of knowledge. This paper elicits the expert knowledge of academics involved in research and practice of KE from different disciplines and backgrounds to review research themes, identify gaps and questions, and develop a research agenda for furthering understanding about KE. Results include 80 research questions prefaced by a review of research themes. Key conclusions are: (1) there is a diverse range of questions relating to KE that require attention; (2) there is a particular need for research on understanding the process of KE and how KE can be evaluated; and (3) given the strong interdependency of research questions, an integrated approach to understanding KE is required. To improve understanding of KE, action research methodologies and embedding evaluation as a normal part of KE research and practice need to be encouraged. This will foster more adaptive approaches to learning about KE and enhance effectiveness of environmental management.","container-title":"Environmental Conservation","DOI":"10.1017/S037689291200029X","ISSN":"0376-8929, 1469-4387","issue":"1","journalAbbreviation":"Envir. Conserv.","language":"en","page":"19-36","source":"DOI.org (Crossref)","title":"Knowledge exchange: a review and research agenda for environmental management","title-short":"Knowledge exchange","volume":"40","author":[{"family":"Fazey","given":"Ioan"},{"family":"Evely","given":"Anna C."},{"family":"Reed","given":"Mark S."},{"family":"Stringer","given":"Lindsay C."},{"family":"Kruijsen","given":"Joanneke"},{"family":"White","given":"Piran C. L."},{"family":"Newsham","given":"Andrew"},{"family":"Jin","given":"Lixian"},{"family":"Cortazzi","given":"Martin"},{"family":"Phillipson","given":"Jeremy"},{"family":"Blackstock","given":"Kirsty"},{"family":"Entwistle","given":"Noel"},{"family":"Sheate","given":"William"},{"family":"Armstrong","given":"Fiona"},{"family":"Blackmore","given":"Chris"},{"family":"Fazey","given":"John"},{"family":"Ingram","given":"Julie"},{"family":"Gregson","given":"Jon"},{"family":"Lowe","given":"Philip"},{"family":"Morton","given":"Sarah"},{"family":"Trevitt","given":"Chris"}],"issued":{"date-parts":[["2013",3]]}},"suppress-author":true}],"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(2013)</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define knowledge exchange as “a process of generating, sharing, and/or using knowledge through various methods appropriate to the context, purpose, and participants involved” (p. 20). </w:t>
      </w:r>
      <w:r w:rsidRPr="00F153F6">
        <w:rPr>
          <w:rFonts w:ascii="Times New Roman" w:hAnsi="Times New Roman" w:cs="Times New Roman"/>
          <w:color w:val="000000" w:themeColor="text1"/>
          <w:sz w:val="24"/>
          <w:szCs w:val="24"/>
        </w:rPr>
        <w:t>Davenport</w:t>
      </w:r>
      <w:r w:rsidRPr="00F153F6">
        <w:rPr>
          <w:rFonts w:ascii="Times New Roman" w:eastAsia="Times New Roman" w:hAnsi="Times New Roman" w:cs="Times New Roman"/>
          <w:iCs/>
          <w:color w:val="000000" w:themeColor="text1"/>
          <w:sz w:val="24"/>
          <w:szCs w:val="24"/>
        </w:rPr>
        <w:t xml:space="preserve">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inqgHVsI","properties":{"formattedCitation":"(2018)","plainCitation":"(2018)","dontUpdate":true,"noteIndex":0},"citationItems":[{"id":1969,"uris":["http://zotero.org/users/5709166/items/JB4TW4YQ"],"itemData":{"id":1969,"type":"article-journal","language":"en","page":"427","source":"Zotero","title":"Exploring the Theory and Practice of Knowledge Exchange: intention, context and characteristics","author":[{"family":"Davenport","given":"Jeremy John"}],"issued":{"date-parts":[["2018"]]}},"suppress-author":true}],"schema":"https://github.com/citation-style-language/schema/raw/master/csl-citation.json"}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(2018)</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similarly defines knowledge exchange as a “dynamic process by which knowledge is transferred, shared and created within the core collaboration and with wider stakeholders” (p. 297), and emphasises its iterative and multi-directional characteristics that are supportive of collaboration. </w:t>
      </w:r>
    </w:p>
    <w:p w14:paraId="4153DA1A" w14:textId="4C151427"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However, knowledge exchange is still considered a complex process related to all knowledge relevant processes and there is not a unified view to integrate them all. Currently, knowledge exchange is often used as an umbrella term to designate the combination of all related knowledge processes, covering knowledge sharing, transfer, creation, storage and application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{"citationID":"a15ae67evri","properties":{"formattedCitation":"(Priyono, 2016; Salinas, 2018)","plainCitation":"(Priyono, 2016; Salinas, 2018)","noteIndex":0},"citationItems":[{"id":1986,"uris":["http://zotero.org/users/5709166/items/BLXK7Y6L"],"itemData":{"id":1986,"type":"article-journal","abstract":"This study aims to investigate the use of information and communication technology (ICT) to support knowledge exchange in project-based organisations. The primary ICT tool investigated in this research is WhatsApp, a messaging application that has been widely used since its introduction. An ethnographic case study method was utilised to analyse qualitative data collected from interviews and focus group discussions. Three projects in an Indonesian university with a duration ranging from 8 months to 2 years were examined as object of investigations. Broadly, the findings show that ICT tools are generally useful in supporting knowledge exchange, which ultimately positively affects project performance. The project teams relied on WhatsApp for the success of the projects. Although face-to-face meetings were rare, team communication was highly intensive, supported by WhatsApp. In addition, managers are encouraged to promote knowledge exchange between team members. Through knowledge exchange, there will be knowledge development, which facilitates the invention of new techniques and methods for promoting project success. The most prominent findings are presented using direct quotations to provide first hand insight from the field. At the end of the paper, recommendations regarding what project managers should do during and after the project has been completed are presented. The recommendations are classified based on the knowledge management life cycle, representing a structured method to manage knowledge in project-based organisations.","container-title":"International Journal of Entrepreneurial Knowledge","DOI":"10.1515/ijek-2016-0010","ISSN":"2336-2960","issue":"2","language":"en","page":"5-21","source":"DOI.org (Crossref)","title":"The Use of ICT Platforms to Promote Knowledge Exchange in Project-Based Organisations","volume":"4","author":[{"family":"Priyono","given":"Anjar"}],"issued":{"date-parts":[["2016",12,1]]}}},{"id":1985,"uris":["http://zotero.org/users/5709166/items/29PRJWN6"],"itemData":{"id":1985,"type":"article-journal","title":"What is the value of Knowledge Exchange?","URL":"http://ualresearchonline.arts.ac.uk/12449/1/salinas2018whatisthevalueofkecumulus.pdf","author":[{"family":"Salinas","given":"Lara"}],"accessed":{"date-parts":[["2019",10,30]]},"issued":{"date-parts":[["2018"]]}}}],"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(Priyono, 2016; Salinas, 2018)</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This is because many of these practices represent a component of knowledge exchange. For example, </w:t>
      </w:r>
      <w:r w:rsidRPr="00F153F6">
        <w:rPr>
          <w:rFonts w:ascii="Times New Roman" w:hAnsi="Times New Roman" w:cs="Times New Roman"/>
          <w:color w:val="000000" w:themeColor="text1"/>
          <w:sz w:val="24"/>
          <w:szCs w:val="24"/>
        </w:rPr>
        <w:t xml:space="preserve">knowledge exchange is also used to describe how new knowledge is co-created but emphasises the iterative processes that take place in multi-partner collaborations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{"citationID":"as907eco0r","properties":{"formattedCitation":"(J. J. Davenport, 2018)","plainCitation":"(J. J. Davenport, 2018)","dontUpdate":true,"noteIndex":0},"citationItems":[{"id":1969,"uris":["http://zotero.org/users/5709166/items/JB4TW4YQ"],"itemData":{"id":1969,"type":"article-journal","language":"en","page":"427","source":"Zotero","title":"Exploring the Theory and Practice of Knowledge Exchange: intention, context and characteristics","author":[{"family":"Davenport","given":"Jeremy John"}],"issued":{"date-parts":[["2018"]]}}}],"schema":"https://github.com/citation-style-language/schema/raw/master/csl-citation.json"}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(Davenport, 2018)</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Knowledge exchange is used to map the movement of shared knowledge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{"citationID":"aircbikail","properties":{"formattedCitation":"(Desouza, 2003)","plainCitation":"(Desouza, 2003)","noteIndex":0},"citationItems":[{"id":2222,"uris":["http://zotero.org/users/5709166/items/VLIY2CPP"],"itemData":{"id":2222,"type":"article-journal","container-title":"Communications of the ACM","DOI":"10.1145/777313.777317","ISSN":"00010782","issue":"6","journalAbbreviation":"Commun. ACM","language":"en","page":"85-88","source":"DOI.org (Crossref)","title":"Facilitating tacit knowledge exchange","volume":"46","author":[{"family":"Desouza","given":"Kevin C."}],"issued":{"date-parts":[["2003",6,1]]}}}],"schema":"https://github.com/citation-style-language/schema/raw/master/csl-citation.json"}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(Desouza, 2003)</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Knowledge storage is also argued as an important aspect in knowledge exchange as it helps to classify and backup knowledge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{"citationID":"a16n1tq792i","properties":{"formattedCitation":"(Lin et al., 2006)","plainCitation":"(Lin et al., 2006)","noteIndex":0},"citationItems":[{"id":2220,"uris":["http://zotero.org/users/5709166/items/FT6S5UJQ"],"itemData":{"id":2220,"type":"article-journal","container-title":"Automation in Construction","DOI":"10.1016/j.autcon.2005.09.006","ISSN":"09265805","issue":"6","journalAbbreviation":"Automation in Construction","language":"en","page":"693-705","source":"DOI.org (Crossref)","title":"Enhancing knowledge exchange through web map-based knowledge management system in construction: Lessons learned in Taiwan","title-short":"Enhancing knowledge exchange through web map-based knowledge management system in construction","volume":"15","author":[{"family":"Lin","given":"Yu-Cheng"},{"family":"Wang","given":"Lung-Chuang"},{"family":"Tserng","given":"H. Ping"}],"issued":{"date-parts":[["2006",11]]}}}],"schema":"https://github.com/citation-style-language/schema/raw/master/csl-citation.json"}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(Lin et al., 2006)</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Knowledge exchange is also used to show how knowledge is used in action, but focuses more on how this is achieved through a dynamic process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{"citationID":"a1kd18hd013","properties":{"formattedCitation":"(van den Driessen Mareeuw et al., 2015)","plainCitation":"(van den Driessen Mareeuw et al., 2015)","noteIndex":0},"citationItems":[{"id":1978,"uris":["http://zotero.org/users/5709166/items/D7ECEX3U"],"itemData":{"id":1978,"type":"article-journal","abstract":"Despite considerable attention currently being given to facilitating the use of research results in public health practice, several concerns remain, resulting in the so-called know-do gap. This article aims to identify the key tensions causing the know-do gap from a broad perspective by using a systemic approach and considering the public health sector as an innovation system.","container-title":"BMC Public Health","DOI":"10.1186/s12889-015-2271-7","ISSN":"1471-2458","issue":"1","journalAbbreviation":"BMC Public Health","page":"922","source":"BioMed Central","title":"Beyond bridging the know-do gap: a qualitative study of systemic interaction to foster knowledge exchange in the public health sector in The Netherlands","title-short":"Beyond bridging the know-do gap","volume":"15","author":[{"family":"Driessen Mareeuw","given":"Francine","non-dropping-particle":"van den"},{"family":"Vaandrager","given":"Lenneke"},{"family":"Klerkx","given":"Laurens"},{"family":"Naaldenberg","given":"Jenneken"},{"family":"Koelen","given":"Maria"}],"issued":{"date-parts":[["2015",9,19]]}}}],"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(van den Driessen Mareeuw et al., 2015)</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hAnsi="Times New Roman" w:cs="Times New Roman"/>
          <w:color w:val="000000" w:themeColor="text1"/>
          <w:sz w:val="24"/>
          <w:szCs w:val="24"/>
        </w:rPr>
        <w:t xml:space="preserve">. </w:t>
      </w:r>
    </w:p>
    <w:p w14:paraId="48E2F7BA" w14:textId="5FB30298"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lastRenderedPageBreak/>
        <w:t xml:space="preserve">Although these different terms are all relevant to knowledge exchange, knowledge exchange has its own unique characteristics when compared with them. Knowledge sharing is defined as “an exchange of knowledge between two individuals: one who communicates knowledge and one who assimilates it”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{"citationID":"a1r4lrk9k5o","properties":{"formattedCitation":"(Paulin &amp; Suneson, 2011, p. 83)","plainCitation":"(Paulin &amp; Suneson, 2011, p. 83)","noteIndex":0},"citationItems":[{"id":474,"uris":["http://zotero.org/users/5709166/items/PMXBW26G"],"itemData":{"id":474,"type":"paper-conference","abstract":"In the knowledge management world there are many different terms flying around. Some are more important and frequently used than others. In this paper, we present and discuss the development and views of three terms: knowledge transfer, knowledge sharing and knowledge barriers. Knowledge transfer and knowledge sharing are sometimes used synonymously or are considered to have overlapping content. Several authors have pointed out this confusion while other authors have attempted to clarify the differences and define the terms. Knowledge barriers as a term seem to have a partly more obvious content although the borders between knowledge barriers and connecting terms, such as „barriers to knowledge sharing‟, seem to blur discussions and views. The aim in this paper is to make a contribution in finding appropriate demarcations between these concepts. After reviewing some Knowledge Management literature, it seems that the three terms, knowledge transfer, knowledge sharing and knowledge barriers, are somewhat unclear and has different meanings depending on the authors views. For knowledge transfer and knowledge sharing, the blurriness is linked mainly to the fact that the analytical level each term is related to has come and gone and come back again. For knowledge barriers, the blurriness comes from the development of the term. The mere existence of the many different categorizations of knowledge barriers implies that the concept itself is blurry. The concept seems clear cut and focuses on knowledge although it is also broad and later sources have included much more than knowledge. This paper concludes by highlighting the effects on the terms when two different knowledge perspectives, knowledge as an object (or the K-O view) and knowledge as a subjective contextual construction (or the K-SCC view) are applied. The clarifications are supported by examples from companies in different industries (such as Cargotec and IKEA) and emergency services.","source":"Semantic Scholar","title":"Knowledge Transfer, Knowledge Sharing and Knowledge Barriers - Three Blurry Terms in KM","author":[{"family":"Paulin","given":"Dan"},{"family":"Suneson","given":"Kaj"}],"issued":{"date-parts":[["2011"]]}},"locator":"83"}],"schema":"https://github.com/citation-style-language/schema/raw/master/csl-citation.json"}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(Paulin &amp; Suneson, 2011, p. 83)</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This definition of knowledge sharing reflects that it places more emphasis on the knowledge sender and receiver, while knowledge exchange focuses more on interactions among various stakeholders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{"citationID":"SlW0U5CY","properties":{"formattedCitation":"(Fazey et al., 2014; Phillipson et al., 2012)","plainCitation":"(Fazey et al., 2014; Phillipson et al., 2012)","noteIndex":0},"citationItems":[{"id":1984,"uris":["http://zotero.org/users/5709166/items/BEWJ3GQN"],"itemData":{"id":1984,"type":"article-journal","abstract":"Interdisciplinary and multi-stakeholder research is increasingly being promoted and implemented to enhance understanding of global environment change, identify holistic policy solutions, and assist implementation. These research activities are social processes aiming to enhance the exchange and translation of knowledge. Emphasis on the design and management of knowledge exchange is increasing, but learning about how to do this better is hampered by lack of conceptual development and appropriate methods to evaluate complex and multifaceted knowledge exchange processes. This paper therefore develops principles for the evaluation of knowledge exchange in interdisciplinary, multi-stakeholder environmental change research. The paper is based on an analysis of 135 peer-reviewed evaluations of knowledge exchange from diverse disciplines. The results indicate strong relationships between the field of study (e.g. health care, environmental management), the way knowledge and knowledge exchange were conceptualised and implemented, the approach used for the evaluation, and the outcomes being evaluated. A typology of seven knowledge exchange evaluations is presented to guide discussions about the underlying assumptions of different approaches to knowledge exchange and its evaluation. Five principles for knowledge exchange evaluation are also identified: (i) design for multiple end users; (ii) be explicit about why a particular approach to knowledge exchange is expected to deliver its outcomes; (iii) evaluate diverse outcomes; (iv) use evaluations as part of the process of delivering knowledge exchange; and (v) use mixed methods to evaluate knowledge exchange. We conclude that a catch-all approach to evaluation is neither appropriate nor desirable. Instead, approaches that focus on understanding the underlying processes of knowledge exchange, assess the relative contribution of other factors in shaping outcomes in addition to knowledge exchange, and that involve multiple stakeholders in implementing evaluations, will be the most appropriate for evaluating knowledge exchange in interdisciplinary global environmental change research.","container-title":"Global Environmental Change","DOI":"10.1016/j.gloenvcha.2013.12.012","ISSN":"0959-3780","journalAbbreviation":"Global Environmental Change","language":"en","page":"204-220","source":"ScienceDirect","title":"Evaluating knowledge exchange in interdisciplinary and multi-stakeholder research","volume":"25","author":[{"family":"Fazey","given":"Ioan"},{"family":"Bunse","given":"Lukas"},{"family":"Msika","given":"Joshua"},{"family":"Pinke","given":"Maria"},{"family":"Preedy","given":"Katherine"},{"family":"Evely","given":"Anna C."},{"family":"Lambert","given":"Emily"},{"family":"Hastings","given":"Emily"},{"family":"Morris","given":"Sue"},{"family":"Reed","given":"Mark S."}],"issued":{"date-parts":[["2014",3,1]]}}},{"id":1948,"uris":["http://zotero.org/users/5709166/items/LCCTT46P"],"itemData":{"id":1948,"type":"article-journal","container-title":"Journal of Environmental Management","DOI":"10.1016/j.jenvman.2011.10.005","ISSN":"03014797","issue":"1","journalAbbreviation":"Journal of Environmental Management","language":"en","page":"56-65","source":"DOI.org (Crossref)","title":"Stakeholder engagement and knowledge exchange in environmental research","volume":"95","author":[{"family":"Phillipson","given":"Jeremy"},{"family":"Lowe","given":"Philip"},{"family":"Proctor","given":"Amy"},{"family":"Ruto","given":"Eric"}],"issued":{"date-parts":[["2012",3]]}}}],"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(Fazey et al., 2014; Phillipson et al., 2012)</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p>
    <w:p w14:paraId="46468412" w14:textId="6ECE8B45"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hAnsi="Times New Roman" w:cs="Times New Roman"/>
          <w:color w:val="000000" w:themeColor="text1"/>
          <w:sz w:val="24"/>
          <w:szCs w:val="24"/>
        </w:rPr>
        <w:t>Contrasting knowledge exchange and knowledge transfer, Davenport</w:t>
      </w:r>
      <w:r w:rsidRPr="00F153F6">
        <w:rPr>
          <w:rFonts w:ascii="Times New Roman" w:eastAsia="Times New Roman" w:hAnsi="Times New Roman" w:cs="Times New Roman"/>
          <w:iCs/>
          <w:color w:val="000000" w:themeColor="text1"/>
          <w:sz w:val="24"/>
          <w:szCs w:val="24"/>
        </w:rPr>
        <w:t xml:space="preserve">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tQeUUChQ","properties":{"formattedCitation":"(2018)","plainCitation":"(2018)","noteIndex":0},"citationItems":[{"id":1969,"uris":["http://zotero.org/users/5709166/items/JB4TW4YQ"],"itemData":{"id":1969,"type":"article-journal","language":"en","page":"427","source":"Zotero","title":"Exploring the Theory and Practice of Knowledge Exchange: intention, context and characteristics","author":[{"family":"Davenport","given":"Jeremy John"}],"issued":{"date-parts":[["2018"]]}},"suppress-author":true}],"schema":"https://github.com/citation-style-language/schema/raw/master/csl-citation.json"}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(2018)</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notes that knowledge exchange is founded on an iterative and non-linear process of discovery and co-creation of knowledge, while knowledge transfer is a linear, sequential and staged process. In addition, knowledge exchange emphasises co-creating knowledge through working with various stakeholders, while knowledge transfer reflects the movement of knowledge to potential users. Similarly, Algeo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VKSpbUDi","properties":{"formattedCitation":"(2014)","plainCitation":"(2014)","dontUpdate":true,"noteIndex":0},"citationItems":[{"id":1955,"uris":["http://zotero.org/users/5709166/items/CFJH3C63"],"itemData":{"id":1955,"type":"paper-conference","abstract":".......................................................................................................................... XIX PUBLICATIONS ARISING DURING THE RESEARCH .................................................................. XXI DOCTORIAL COLLOQUIUMS ............................................................................................................. XXIII PROFESSIONAL EDITORIAL ADVICE .................................................................................... XXIV CERTIFICATE OF ORIGINAL AUTHORSHIP ............................................................................. XXV ACKNOWLEDGEMENTS ..................................................................................................... XXVI CHAPTER 1: INTRODUCTION ................................................................................................... 1 1.","source":"Semantic Scholar","title":"How do project managers acquire and exchange knowledge? An action research study of project managers in Australia","title-short":"How do project managers acquire and exchange knowledge?","author":[{"family":"Algeo","given":"Chivonne"}],"issued":{"date-parts":[["2014"]]}},"suppress-author":true}],"schema":"https://github.com/citation-style-language/schema/raw/master/csl-citation.json"}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(2014)</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argues that knowledge exchange is “a social process where various contingent histories, professional perspectives, and local conditions interact in a systematic, mutual way to share tacit knowledge in order for it to become explicit knowledge”</w:t>
      </w:r>
      <w:r w:rsidR="00860139" w:rsidRPr="00F153F6">
        <w:rPr>
          <w:rFonts w:ascii="Times New Roman" w:eastAsia="Times New Roman" w:hAnsi="Times New Roman" w:cs="Times New Roman"/>
          <w:iCs/>
          <w:color w:val="000000" w:themeColor="text1"/>
          <w:sz w:val="24"/>
          <w:szCs w:val="24"/>
        </w:rPr>
        <w:t xml:space="preserve"> (p.34)</w:t>
      </w:r>
      <w:r w:rsidRPr="00F153F6">
        <w:rPr>
          <w:rFonts w:ascii="Times New Roman" w:eastAsia="Times New Roman" w:hAnsi="Times New Roman" w:cs="Times New Roman"/>
          <w:iCs/>
          <w:color w:val="000000" w:themeColor="text1"/>
          <w:sz w:val="24"/>
          <w:szCs w:val="24"/>
        </w:rPr>
        <w:t xml:space="preserve">. He distinguishes knowledge exchange as an omnidirectional interactive process from knowledge transfer which is “unidirectional from knowledge producers to stakeholders”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{"citationID":"ahhp43ra7i","properties":{"formattedCitation":"(Graham et al., 2006, p. 16)","plainCitation":"(Graham et al., 2006, p. 16)","noteIndex":0},"citationItems":[{"id":1974,"uris":["http://zotero.org/users/5709166/items/N2VYSLUA"],"itemData":{"id":1974,"type":"article-journal","abstract":"There is confusion and misunderstanding about the concepts of knowledge translation, knowledge transfer, knowledge exchange, research utilization, implementation, diffusion, and dissemination. We review the terms and definitions used to describe the concept of moving knowledge into action. We also offer a conceptual framework for thinking about the process and integrate the roles of knowledge creation and knowledge application. The implications of knowledge translation for continuing education in the health professions include the need to base continuing education on the best available knowledge, the use of educational and other transfer strategies that are known to be effective, and the value of learning about planned-action theories to be better able to understand and influence change in practice settings.","container-title":"Journal of Continuing Education in the Health Professions","DOI":"10.1002/chp.47","ISSN":"1554-558X","issue":"1","language":"en","page":"13-24","source":"Wiley Online Library","title":"Lost in knowledge translation: Time for a map?","title-short":"Lost in knowledge translation","volume":"26","author":[{"family":"Graham","given":"Ian D."},{"family":"Logan","given":"Jo"},{"family":"Harrison","given":"Margaret B."},{"family":"Straus","given":"Sharon E."},{"family":"Tetroe","given":"Jacqueline"},{"family":"Caswell","given":"Wenda"},{"family":"Robinson","given":"Nicole"}],"issued":{"date-parts":[["2006"]]}},"locator":"16"}],"schema":"https://github.com/citation-style-language/schema/raw/master/csl-citation.json"}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(Graham et al., 2006, p. 16)</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p>
    <w:p w14:paraId="05B9A88C" w14:textId="77777777" w:rsidR="000543CB" w:rsidRPr="00F153F6" w:rsidRDefault="000543CB" w:rsidP="004424B4">
      <w:pPr>
        <w:spacing w:line="360" w:lineRule="auto"/>
        <w:jc w:val="both"/>
        <w:rPr>
          <w:rFonts w:ascii="Times New Roman" w:eastAsia="Times New Roman" w:hAnsi="Times New Roman" w:cs="Times New Roman"/>
          <w:iCs/>
          <w:color w:val="000000" w:themeColor="text1"/>
          <w:sz w:val="24"/>
          <w:szCs w:val="24"/>
        </w:rPr>
      </w:pPr>
    </w:p>
    <w:p w14:paraId="1A4576CA" w14:textId="38DE49B5" w:rsidR="002C1A2F" w:rsidRPr="00F153F6" w:rsidRDefault="002C1A2F" w:rsidP="004424B4">
      <w:pPr>
        <w:pStyle w:val="Heading3"/>
        <w:spacing w:line="360" w:lineRule="auto"/>
        <w:ind w:left="720"/>
        <w:jc w:val="both"/>
        <w:rPr>
          <w:rFonts w:ascii="Times New Roman" w:hAnsi="Times New Roman" w:cs="Times New Roman"/>
          <w:b/>
          <w:color w:val="000000" w:themeColor="text1"/>
          <w:sz w:val="28"/>
          <w:szCs w:val="28"/>
        </w:rPr>
      </w:pPr>
      <w:bookmarkStart w:id="118" w:name="_Toc50065930"/>
      <w:bookmarkStart w:id="119" w:name="_Toc118371090"/>
      <w:bookmarkStart w:id="120" w:name="_Toc133252113"/>
      <w:r w:rsidRPr="00F153F6">
        <w:rPr>
          <w:rFonts w:ascii="Times New Roman" w:hAnsi="Times New Roman" w:cs="Times New Roman"/>
          <w:b/>
          <w:color w:val="000000" w:themeColor="text1"/>
          <w:sz w:val="28"/>
          <w:szCs w:val="28"/>
        </w:rPr>
        <w:t xml:space="preserve">2.3.2 Knowledge Exchange in </w:t>
      </w:r>
      <w:r w:rsidR="00EB0DAC" w:rsidRPr="00F153F6">
        <w:rPr>
          <w:rFonts w:ascii="Times New Roman" w:hAnsi="Times New Roman" w:cs="Times New Roman"/>
          <w:b/>
          <w:color w:val="000000" w:themeColor="text1"/>
          <w:sz w:val="28"/>
          <w:szCs w:val="28"/>
        </w:rPr>
        <w:t>F</w:t>
      </w:r>
      <w:r w:rsidRPr="00F153F6">
        <w:rPr>
          <w:rFonts w:ascii="Times New Roman" w:hAnsi="Times New Roman" w:cs="Times New Roman"/>
          <w:b/>
          <w:color w:val="000000" w:themeColor="text1"/>
          <w:sz w:val="28"/>
          <w:szCs w:val="28"/>
        </w:rPr>
        <w:t>acilitating Know-</w:t>
      </w:r>
      <w:r w:rsidR="00EB0DAC" w:rsidRPr="00F153F6">
        <w:rPr>
          <w:rFonts w:ascii="Times New Roman" w:hAnsi="Times New Roman" w:cs="Times New Roman"/>
          <w:b/>
          <w:color w:val="000000" w:themeColor="text1"/>
          <w:sz w:val="28"/>
          <w:szCs w:val="28"/>
        </w:rPr>
        <w:t>D</w:t>
      </w:r>
      <w:r w:rsidRPr="00F153F6">
        <w:rPr>
          <w:rFonts w:ascii="Times New Roman" w:hAnsi="Times New Roman" w:cs="Times New Roman"/>
          <w:b/>
          <w:color w:val="000000" w:themeColor="text1"/>
          <w:sz w:val="28"/>
          <w:szCs w:val="28"/>
        </w:rPr>
        <w:t xml:space="preserve">o </w:t>
      </w:r>
      <w:r w:rsidR="00EB0DAC" w:rsidRPr="00F153F6">
        <w:rPr>
          <w:rFonts w:ascii="Times New Roman" w:hAnsi="Times New Roman" w:cs="Times New Roman"/>
          <w:b/>
          <w:color w:val="000000" w:themeColor="text1"/>
          <w:sz w:val="28"/>
          <w:szCs w:val="28"/>
        </w:rPr>
        <w:t>P</w:t>
      </w:r>
      <w:r w:rsidRPr="00F153F6">
        <w:rPr>
          <w:rFonts w:ascii="Times New Roman" w:hAnsi="Times New Roman" w:cs="Times New Roman"/>
          <w:b/>
          <w:color w:val="000000" w:themeColor="text1"/>
          <w:sz w:val="28"/>
          <w:szCs w:val="28"/>
        </w:rPr>
        <w:t>rocess</w:t>
      </w:r>
      <w:bookmarkEnd w:id="118"/>
      <w:bookmarkEnd w:id="119"/>
      <w:bookmarkEnd w:id="120"/>
    </w:p>
    <w:p w14:paraId="75EAEB76" w14:textId="114952C4"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As an important activity in knowledge management, knowledge exchange can be viewed as a ‘know-do’ process that is supportive of the application of knowledge to real practice, which means knowledge-to-action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{"citationID":"yI9lnEjk","properties":{"formattedCitation":"(van den Driessen Mareeuw et al., 2015)","plainCitation":"(van den Driessen Mareeuw et al., 2015)","noteIndex":0},"citationItems":[{"id":1978,"uris":["http://zotero.org/users/5709166/items/D7ECEX3U"],"itemData":{"id":1978,"type":"article-journal","abstract":"Despite considerable attention currently being given to facilitating the use of research results in public health practice, several concerns remain, resulting in the so-called know-do gap. This article aims to identify the key tensions causing the know-do gap from a broad perspective by using a systemic approach and considering the public health sector as an innovation system.","container-title":"BMC Public Health","DOI":"10.1186/s12889-015-2271-7","ISSN":"1471-2458","issue":"1","journalAbbreviation":"BMC Public Health","page":"922","source":"BioMed Central","title":"Beyond bridging the know-do gap: a qualitative study of systemic interaction to foster knowledge exchange in the public health sector in The Netherlands","title-short":"Beyond bridging the know-do gap","volume":"15","author":[{"family":"Driessen Mareeuw","given":"Francine","non-dropping-particle":"van den"},{"family":"Vaandrager","given":"Lenneke"},{"family":"Klerkx","given":"Laurens"},{"family":"Naaldenberg","given":"Jenneken"},{"family":"Koelen","given":"Maria"}],"issued":{"date-parts":[["2015",9,19]]}}}],"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(Mareeuw et al., 2015)</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Knowledge-to-action refers to the process through which evidence-based knowledge is interpreted and mobilised into utilisation and actions for and by users. Originating in the healthcare domain, Graham</w:t>
      </w:r>
      <w:r w:rsidR="00D37B7A" w:rsidRPr="00F153F6">
        <w:rPr>
          <w:rFonts w:ascii="Times New Roman" w:eastAsia="Times New Roman" w:hAnsi="Times New Roman" w:cs="Times New Roman"/>
          <w:iCs/>
          <w:color w:val="000000" w:themeColor="text1"/>
          <w:sz w:val="24"/>
          <w:szCs w:val="24"/>
        </w:rPr>
        <w:t xml:space="preserve"> et al. </w:t>
      </w:r>
      <w:r w:rsidR="00D37B7A" w:rsidRPr="00F153F6">
        <w:rPr>
          <w:rFonts w:ascii="Times New Roman" w:eastAsia="Times New Roman" w:hAnsi="Times New Roman" w:cs="Times New Roman"/>
          <w:iCs/>
          <w:color w:val="000000" w:themeColor="text1"/>
          <w:sz w:val="24"/>
          <w:szCs w:val="24"/>
        </w:rPr>
        <w:fldChar w:fldCharType="begin"/>
      </w:r>
      <w:r w:rsidR="00D37B7A" w:rsidRPr="00F153F6">
        <w:rPr>
          <w:rFonts w:ascii="Times New Roman" w:eastAsia="Times New Roman" w:hAnsi="Times New Roman" w:cs="Times New Roman"/>
          <w:iCs/>
          <w:color w:val="000000" w:themeColor="text1"/>
          <w:sz w:val="24"/>
          <w:szCs w:val="24"/>
        </w:rPr>
        <w:instrText xml:space="preserve"> ADDIN ZOTERO_ITEM CSL_CITATION {"citationID":"PRW4vgHR","properties":{"formattedCitation":"(2006)","plainCitation":"(2006)","noteIndex":0},"citationItems":[{"id":1974,"uris":["http://zotero.org/users/5709166/items/N2VYSLUA"],"itemData":{"id":1974,"type":"article-journal","abstract":"There is confusion and misunderstanding about the concepts of knowledge translation, knowledge transfer, knowledge exchange, research utilization, implementation, diffusion, and dissemination. We review the terms and definitions used to describe the concept of moving knowledge into action. We also offer a conceptual framework for thinking about the process and integrate the roles of knowledge creation and knowledge application. The implications of knowledge translation for continuing education in the health professions include the need to base continuing education on the best available knowledge, the use of educational and other transfer strategies that are known to be effective, and the value of learning about planned-action theories to be better able to understand and influence change in practice settings.","container-title":"Journal of Continuing Education in the Health Professions","DOI":"10.1002/chp.47","ISSN":"1554-558X","issue":"1","language":"en","page":"13-24","source":"Wiley Online Library","title":"Lost in knowledge translation: Time for a map?","title-short":"Lost in knowledge translation","volume":"26","author":[{"family":"Graham","given":"Ian D."},{"family":"Logan","given":"Jo"},{"family":"Harrison","given":"Margaret B."},{"family":"Straus","given":"Sharon E."},{"family":"Tetroe","given":"Jacqueline"},{"family":"Caswell","given":"Wenda"},{"family":"Robinson","given":"Nicole"}],"issued":{"date-parts":[["2006"]]}},"label":"page","suppress-author":true}],"schema":"https://github.com/citation-style-language/schema/raw/master/csl-citation.json"} </w:instrText>
      </w:r>
      <w:r w:rsidR="00D37B7A" w:rsidRPr="00F153F6">
        <w:rPr>
          <w:rFonts w:ascii="Times New Roman" w:eastAsia="Times New Roman" w:hAnsi="Times New Roman" w:cs="Times New Roman"/>
          <w:iCs/>
          <w:color w:val="000000" w:themeColor="text1"/>
          <w:sz w:val="24"/>
          <w:szCs w:val="24"/>
        </w:rPr>
        <w:fldChar w:fldCharType="separate"/>
      </w:r>
      <w:r w:rsidR="00D37B7A" w:rsidRPr="00F153F6">
        <w:rPr>
          <w:rFonts w:ascii="Times New Roman" w:hAnsi="Times New Roman" w:cs="Times New Roman"/>
          <w:sz w:val="24"/>
          <w:szCs w:val="24"/>
        </w:rPr>
        <w:t>(2006)</w:t>
      </w:r>
      <w:r w:rsidR="00D37B7A" w:rsidRPr="00F153F6">
        <w:rPr>
          <w:rFonts w:ascii="Times New Roman" w:eastAsia="Times New Roman" w:hAnsi="Times New Roman" w:cs="Times New Roman"/>
          <w:iCs/>
          <w:color w:val="000000" w:themeColor="text1"/>
          <w:sz w:val="24"/>
          <w:szCs w:val="24"/>
        </w:rPr>
        <w:fldChar w:fldCharType="end"/>
      </w:r>
      <w:r w:rsidR="00D37B7A" w:rsidRPr="00F153F6">
        <w:rPr>
          <w:rFonts w:ascii="Times New Roman" w:eastAsia="Times New Roman" w:hAnsi="Times New Roman" w:cs="Times New Roman"/>
          <w:iCs/>
          <w:color w:val="000000" w:themeColor="text1"/>
          <w:sz w:val="24"/>
          <w:szCs w:val="24"/>
        </w:rPr>
        <w:t>’s</w:t>
      </w:r>
      <w:r w:rsidRPr="00F153F6">
        <w:rPr>
          <w:rFonts w:ascii="Times New Roman" w:eastAsia="Times New Roman" w:hAnsi="Times New Roman" w:cs="Times New Roman"/>
          <w:iCs/>
          <w:color w:val="000000" w:themeColor="text1"/>
          <w:sz w:val="24"/>
          <w:szCs w:val="24"/>
        </w:rPr>
        <w:t xml:space="preserve"> influential knowledge-to-action model is mapped in Figure 2.</w:t>
      </w:r>
      <w:r w:rsidR="00860139" w:rsidRPr="00F153F6">
        <w:rPr>
          <w:rFonts w:ascii="Times New Roman" w:eastAsia="Times New Roman" w:hAnsi="Times New Roman" w:cs="Times New Roman"/>
          <w:iCs/>
          <w:color w:val="000000" w:themeColor="text1"/>
          <w:sz w:val="24"/>
          <w:szCs w:val="24"/>
        </w:rPr>
        <w:t>2</w:t>
      </w:r>
      <w:r w:rsidRPr="00F153F6">
        <w:rPr>
          <w:rFonts w:ascii="Times New Roman" w:eastAsia="Times New Roman" w:hAnsi="Times New Roman" w:cs="Times New Roman"/>
          <w:iCs/>
          <w:color w:val="000000" w:themeColor="text1"/>
          <w:sz w:val="24"/>
          <w:szCs w:val="24"/>
        </w:rPr>
        <w:t xml:space="preserve">. The funnel illustrates that knowledge is being distilled with the knowledge moving through the funnel and refined to become more useful for relevant stakeholders. The accompanying action cycle illustrates seven phases that carry knowledge forward into real application. These phases in the cycle are not only interactive but also can be affected by the knowledge creation process. </w:t>
      </w:r>
    </w:p>
    <w:p w14:paraId="7B43A423" w14:textId="77777777" w:rsidR="00D345CD" w:rsidRPr="00F153F6" w:rsidRDefault="002C1A2F" w:rsidP="00D345CD">
      <w:pPr>
        <w:keepNext/>
        <w:spacing w:line="360" w:lineRule="auto"/>
        <w:jc w:val="center"/>
        <w:rPr>
          <w:sz w:val="24"/>
          <w:szCs w:val="24"/>
        </w:rPr>
      </w:pPr>
      <w:r w:rsidRPr="00F153F6">
        <w:rPr>
          <w:rFonts w:ascii="Times New Roman" w:hAnsi="Times New Roman" w:cs="Times New Roman"/>
          <w:noProof/>
          <w:color w:val="000000" w:themeColor="text1"/>
          <w:sz w:val="24"/>
          <w:szCs w:val="24"/>
        </w:rPr>
        <w:lastRenderedPageBreak/>
        <w:drawing>
          <wp:inline distT="0" distB="0" distL="0" distR="0" wp14:anchorId="4B51FF6A" wp14:editId="23C06A10">
            <wp:extent cx="3686175" cy="3459602"/>
            <wp:effectExtent l="0" t="0" r="0" b="762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8617" cy="3461894"/>
                    </a:xfrm>
                    <a:prstGeom prst="rect">
                      <a:avLst/>
                    </a:prstGeom>
                    <a:noFill/>
                    <a:ln>
                      <a:noFill/>
                    </a:ln>
                  </pic:spPr>
                </pic:pic>
              </a:graphicData>
            </a:graphic>
          </wp:inline>
        </w:drawing>
      </w:r>
    </w:p>
    <w:p w14:paraId="50580407" w14:textId="7D589017" w:rsidR="002C1A2F" w:rsidRPr="00F153F6" w:rsidRDefault="00D345CD" w:rsidP="00D345CD">
      <w:pPr>
        <w:pStyle w:val="Caption"/>
        <w:jc w:val="center"/>
        <w:rPr>
          <w:rFonts w:ascii="Times New Roman" w:eastAsia="Times New Roman" w:hAnsi="Times New Roman" w:cs="Times New Roman"/>
          <w:i w:val="0"/>
          <w:iCs w:val="0"/>
          <w:color w:val="auto"/>
          <w:sz w:val="24"/>
          <w:szCs w:val="24"/>
        </w:rPr>
      </w:pPr>
      <w:bookmarkStart w:id="121" w:name="_Toc119448447"/>
      <w:r w:rsidRPr="00F153F6">
        <w:rPr>
          <w:rFonts w:ascii="Times New Roman" w:hAnsi="Times New Roman" w:cs="Times New Roman"/>
          <w:i w:val="0"/>
          <w:iCs w:val="0"/>
          <w:color w:val="auto"/>
          <w:sz w:val="22"/>
          <w:szCs w:val="22"/>
        </w:rPr>
        <w:t xml:space="preserve">Figure 2.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Figure_2.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2</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w:t>
      </w:r>
      <w:r w:rsidRPr="00F153F6">
        <w:rPr>
          <w:rFonts w:ascii="Times New Roman" w:eastAsia="Times New Roman" w:hAnsi="Times New Roman" w:cs="Times New Roman"/>
          <w:i w:val="0"/>
          <w:iCs w:val="0"/>
          <w:color w:val="auto"/>
          <w:sz w:val="22"/>
          <w:szCs w:val="22"/>
        </w:rPr>
        <w:t xml:space="preserve">Knowledge-to-Action model </w:t>
      </w:r>
      <w:r w:rsidRPr="00F153F6">
        <w:rPr>
          <w:rFonts w:ascii="Times New Roman" w:eastAsia="Times New Roman" w:hAnsi="Times New Roman" w:cs="Times New Roman"/>
          <w:i w:val="0"/>
          <w:iCs w:val="0"/>
          <w:color w:val="auto"/>
          <w:sz w:val="24"/>
          <w:szCs w:val="24"/>
        </w:rPr>
        <w:fldChar w:fldCharType="begin"/>
      </w:r>
      <w:r w:rsidRPr="00F153F6">
        <w:rPr>
          <w:rFonts w:ascii="Times New Roman" w:eastAsia="Times New Roman" w:hAnsi="Times New Roman" w:cs="Times New Roman"/>
          <w:i w:val="0"/>
          <w:iCs w:val="0"/>
          <w:color w:val="auto"/>
          <w:sz w:val="24"/>
          <w:szCs w:val="24"/>
        </w:rPr>
        <w:instrText xml:space="preserve"> ADDIN ZOTERO_ITEM CSL_CITATION {"citationID":"7EjV0KgM","properties":{"formattedCitation":"(Graham et al., 2006)","plainCitation":"(Graham et al., 2006)","noteIndex":0},"citationItems":[{"id":1974,"uris":["http://zotero.org/users/5709166/items/N2VYSLUA"],"itemData":{"id":1974,"type":"article-journal","abstract":"There is confusion and misunderstanding about the concepts of knowledge translation, knowledge transfer, knowledge exchange, research utilization, implementation, diffusion, and dissemination. We review the terms and definitions used to describe the concept of moving knowledge into action. We also offer a conceptual framework for thinking about the process and integrate the roles of knowledge creation and knowledge application. The implications of knowledge translation for continuing education in the health professions include the need to base continuing education on the best available knowledge, the use of educational and other transfer strategies that are known to be effective, and the value of learning about planned-action theories to be better able to understand and influence change in practice settings.","container-title":"Journal of Continuing Education in the Health Professions","DOI":"10.1002/chp.47","ISSN":"1554-558X","issue":"1","language":"en","page":"13-24","source":"Wiley Online Library","title":"Lost in knowledge translation: Time for a map?","title-short":"Lost in knowledge translation","volume":"26","author":[{"family":"Graham","given":"Ian D."},{"family":"Logan","given":"Jo"},{"family":"Harrison","given":"Margaret B."},{"family":"Straus","given":"Sharon E."},{"family":"Tetroe","given":"Jacqueline"},{"family":"Caswell","given":"Wenda"},{"family":"Robinson","given":"Nicole"}],"issued":{"date-parts":[["2006"]]}}}],"schema":"https://github.com/citation-style-language/schema/raw/master/csl-citation.json"} </w:instrText>
      </w:r>
      <w:r w:rsidRPr="00F153F6">
        <w:rPr>
          <w:rFonts w:ascii="Times New Roman" w:eastAsia="Times New Roman" w:hAnsi="Times New Roman" w:cs="Times New Roman"/>
          <w:i w:val="0"/>
          <w:iCs w:val="0"/>
          <w:color w:val="auto"/>
          <w:sz w:val="24"/>
          <w:szCs w:val="24"/>
        </w:rPr>
        <w:fldChar w:fldCharType="separate"/>
      </w:r>
      <w:r w:rsidRPr="00F153F6">
        <w:rPr>
          <w:rFonts w:ascii="Times New Roman" w:hAnsi="Times New Roman" w:cs="Times New Roman"/>
          <w:i w:val="0"/>
          <w:iCs w:val="0"/>
          <w:color w:val="auto"/>
          <w:sz w:val="24"/>
          <w:szCs w:val="24"/>
        </w:rPr>
        <w:t>(Graham et al., 2006)</w:t>
      </w:r>
      <w:bookmarkEnd w:id="121"/>
      <w:r w:rsidRPr="00F153F6">
        <w:rPr>
          <w:rFonts w:ascii="Times New Roman" w:eastAsia="Times New Roman" w:hAnsi="Times New Roman" w:cs="Times New Roman"/>
          <w:i w:val="0"/>
          <w:iCs w:val="0"/>
          <w:color w:val="auto"/>
          <w:sz w:val="24"/>
          <w:szCs w:val="24"/>
        </w:rPr>
        <w:fldChar w:fldCharType="end"/>
      </w:r>
    </w:p>
    <w:p w14:paraId="24537F77" w14:textId="77777777" w:rsidR="00D345CD" w:rsidRPr="00F153F6" w:rsidRDefault="00D345CD" w:rsidP="00D345CD">
      <w:pPr>
        <w:rPr>
          <w:sz w:val="24"/>
          <w:szCs w:val="24"/>
          <w:lang w:eastAsia="zh-CN"/>
        </w:rPr>
      </w:pPr>
    </w:p>
    <w:p w14:paraId="0DF05588" w14:textId="44F8F64E"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lang w:val="nl-NL"/>
        </w:rPr>
        <w:t xml:space="preserve">As </w:t>
      </w:r>
      <w:r w:rsidRPr="00F153F6">
        <w:rPr>
          <w:rFonts w:ascii="Times New Roman" w:hAnsi="Times New Roman" w:cs="Times New Roman"/>
          <w:color w:val="000000" w:themeColor="text1"/>
          <w:sz w:val="24"/>
          <w:szCs w:val="24"/>
          <w:lang w:val="nl-NL"/>
        </w:rPr>
        <w:t>Mareeuw et al.</w:t>
      </w:r>
      <w:r w:rsidRPr="00F153F6">
        <w:rPr>
          <w:rFonts w:ascii="Times New Roman" w:eastAsia="Times New Roman" w:hAnsi="Times New Roman" w:cs="Times New Roman"/>
          <w:iCs/>
          <w:color w:val="000000" w:themeColor="text1"/>
          <w:sz w:val="24"/>
          <w:szCs w:val="24"/>
          <w:lang w:val="nl-NL"/>
        </w:rPr>
        <w:t xml:space="preserve">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lang w:val="nl-NL"/>
        </w:rPr>
        <w:instrText xml:space="preserve"> ADDIN ZOTERO_ITEM CSL_CITATION {"citationID":"090z5tox","properties":{"formattedCitation":"(2015)","plainCitation":"(2015)","noteIndex":0},"citationItems":[{"id":1978,"uris":["http://zotero.org/users/5709166/items/D7ECEX3U"],"itemData":{"id":1978,"type":"article-journal","abstract":"Despite considerable attention currently being given to facilitating the use of research results in public health practice, several concerns remain, resulting in the so-called know-do gap. This article aims to identify the key tensions causing the know-do gap from a broad perspective by using a systemic approach and considering the public health sector as an innovation system.","container-title":"BMC Public Health","DOI":"10.1186/s12889-015-2271-7","ISSN":"1471-2458","issue":"1","journalAbbreviation":"BMC Public Health","page":"922","source":"BioMed Central","title":"Beyond bridging the know-do gap: a qualitative study of systemic interaction to foster knowledge exchange in the public health sector in The Netherlands","title-short":"Beyond bridging the know-do gap","volume":"15","author":[{"family":"Driessen Mareeuw","given":"Francine","non-dropping-particle":"van den"},{"family":"Vaandrager","given":"Lenneke"},{"family":"Klerkx","given":"Laurens"},{"family":"Naaldenberg","given":"Jenneken"},{"family":"Koelen","given":"Maria"}],"issued":{"date-parts":[["2015",9,19]]}},"suppress-author":true}],"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(2015)</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described, knowledge exchange is an iterative and systematic process within a multi-actor context in which knowledge is translated for knowledge users. This view also emphasises that knowledge exchange is a dynamic process in the mobilisation of knowledge into action</w:t>
      </w:r>
      <w:r w:rsidR="00E5278D" w:rsidRPr="00F153F6">
        <w:rPr>
          <w:rFonts w:ascii="Times New Roman" w:eastAsia="Times New Roman" w:hAnsi="Times New Roman" w:cs="Times New Roman"/>
          <w:iCs/>
          <w:color w:val="000000" w:themeColor="text1"/>
          <w:sz w:val="24"/>
          <w:szCs w:val="24"/>
        </w:rPr>
        <w:t xml:space="preserve"> </w:t>
      </w:r>
      <w:r w:rsidR="00E5278D" w:rsidRPr="00F153F6">
        <w:rPr>
          <w:rFonts w:ascii="Times New Roman" w:eastAsia="Times New Roman" w:hAnsi="Times New Roman" w:cs="Times New Roman"/>
          <w:iCs/>
          <w:color w:val="000000" w:themeColor="text1"/>
          <w:sz w:val="24"/>
          <w:szCs w:val="24"/>
        </w:rPr>
        <w:fldChar w:fldCharType="begin"/>
      </w:r>
      <w:r w:rsidR="00E5278D" w:rsidRPr="00F153F6">
        <w:rPr>
          <w:rFonts w:ascii="Times New Roman" w:eastAsia="Times New Roman" w:hAnsi="Times New Roman" w:cs="Times New Roman"/>
          <w:iCs/>
          <w:color w:val="000000" w:themeColor="text1"/>
          <w:sz w:val="24"/>
          <w:szCs w:val="24"/>
        </w:rPr>
        <w:instrText xml:space="preserve"> ADDIN ZOTERO_ITEM CSL_CITATION {"citationID":"JVrHMCJG","properties":{"formattedCitation":"(Wingens, 1990)","plainCitation":"(Wingens, 1990)","noteIndex":0},"citationItems":[{"id":1968,"uris":["http://zotero.org/users/5709166/items/PZWT8PW8"],"itemData":{"id":1968,"type":"article-journal","container-title":"Knowledge","DOI":"10.1177/107554709001200103","ISSN":"0164-0259","issue":"1","journalAbbreviation":"Knowledge","language":"en","page":"27-42","source":"DOI.org (Crossref)","title":"Toward a General Utilization Theory: A Systems Theory Reformulation of the Two-Communities Metaphor","title-short":"Toward a General Utilization Theory","volume":"12","author":[{"family":"Wingens","given":"Matthias"}],"issued":{"date-parts":[["1990",9]]}}}],"schema":"https://github.com/citation-style-language/schema/raw/master/csl-citation.json"} </w:instrText>
      </w:r>
      <w:r w:rsidR="00E5278D" w:rsidRPr="00F153F6">
        <w:rPr>
          <w:rFonts w:ascii="Times New Roman" w:eastAsia="Times New Roman" w:hAnsi="Times New Roman" w:cs="Times New Roman"/>
          <w:iCs/>
          <w:color w:val="000000" w:themeColor="text1"/>
          <w:sz w:val="24"/>
          <w:szCs w:val="24"/>
        </w:rPr>
        <w:fldChar w:fldCharType="separate"/>
      </w:r>
      <w:r w:rsidR="00E5278D" w:rsidRPr="00F153F6">
        <w:rPr>
          <w:rFonts w:ascii="Times New Roman" w:hAnsi="Times New Roman" w:cs="Times New Roman"/>
          <w:sz w:val="24"/>
          <w:szCs w:val="24"/>
        </w:rPr>
        <w:t>(Wingens, 1990)</w:t>
      </w:r>
      <w:r w:rsidR="00E5278D" w:rsidRPr="00F153F6">
        <w:rPr>
          <w:rFonts w:ascii="Times New Roman" w:eastAsia="Times New Roman" w:hAnsi="Times New Roman" w:cs="Times New Roman"/>
          <w:iCs/>
          <w:color w:val="000000" w:themeColor="text1"/>
          <w:sz w:val="24"/>
          <w:szCs w:val="24"/>
        </w:rPr>
        <w:fldChar w:fldCharType="end"/>
      </w:r>
      <w:r w:rsidR="00E5278D" w:rsidRPr="00F153F6">
        <w:rPr>
          <w:rFonts w:ascii="Times New Roman" w:eastAsia="Times New Roman" w:hAnsi="Times New Roman" w:cs="Times New Roman"/>
          <w:iCs/>
          <w:color w:val="000000" w:themeColor="text1"/>
          <w:sz w:val="24"/>
          <w:szCs w:val="24"/>
        </w:rPr>
        <w:t>.</w:t>
      </w:r>
      <w:r w:rsidRPr="00F153F6">
        <w:rPr>
          <w:rFonts w:ascii="Times New Roman" w:eastAsia="Times New Roman" w:hAnsi="Times New Roman" w:cs="Times New Roman"/>
          <w:iCs/>
          <w:color w:val="000000" w:themeColor="text1"/>
          <w:sz w:val="24"/>
          <w:szCs w:val="24"/>
        </w:rPr>
        <w:t xml:space="preserve"> </w:t>
      </w:r>
    </w:p>
    <w:p w14:paraId="580E00AC" w14:textId="355A41EF"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The healthcare setting is especially prolific in the development of several other frameworks of knowledge exchange that align with this ‘know-do’ perspective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{"citationID":"6wiA2wFK","properties":{"formattedCitation":"(Prihodova et al., 2019)","plainCitation":"(Prihodova et al., 2019)","noteIndex":0},"citationItems":[{"id":1966,"uris":["http://zotero.org/users/5709166/items/547NZWGK"],"itemData":{"id":1966,"type":"article-journal","abstract":"Aims To identify the key common components of knowledge transfer and exchange in existing models to facilitate practice developments in health services research. Background There are over 60 models of knowledge transfer and exchange designed for various areas of health care. Many of them remain untested and lack guidelines for scaling-up of successful implementation of research findings and of proven models ensuring that patients have access to optimal health care, guided by current research. Design A scoping review was conducted in line with PRISMA guidelines. Key components of knowledge transfer and exchange were identified using thematic analysis and frequency counts. Data Sources Six electronic databases were searched for papers published before January 2015 containing four key terms/variants: knowledge, transfer, framework, health care. Review Methods Double screening, extraction and coding of the data using thematic analysis were employed to ensure rigour. As further validation stakeholders’ consultation of the findings was performed to ensure accessibility. Results Of the 4,288 abstracts, 294 full-text articles were screened, with 79 articles analysed. Six key components emerged: knowledge transfer and exchange message, Stakeholders and Process components often appeared together, while from two contextual components Inner Context and the wider Social, Cultural and Economic Context, with the wider context less frequently considered. Finally, there was little consideration of the Evaluation of knowledge transfer and exchange activities. In addition, specific operational elements of each component were identified. Conclusions The six components offer the basis for knowledge transfer and exchange activities, enabling researchers to more effectively share their work. Further research exploring the potential contribution of the interactions of the components is recommended.","container-title":"Journal of Advanced Nursing","DOI":"10.1111/jan.13836","ISSN":"1365-2648","issue":"2","language":"en","page":"313-326","source":"Wiley Online Library","title":"Key components of knowledge transfer and exchange in health services research: Findings from a systematic scoping review","title-short":"Key components of knowledge transfer and exchange in health services research","volume":"75","author":[{"family":"Prihodova","given":"Lucia"},{"family":"Guerin","given":"Suzanne"},{"family":"Tunney","given":"Conall"},{"family":"Kernohan","given":"W. George"}],"issued":{"date-parts":[["2019"]]}}}],"schema":"https://github.com/citation-style-language/schema/raw/master/csl-citation.json"}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(Prihodova et al., 2019)</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w:t>
      </w:r>
      <w:r w:rsidR="00E5278D" w:rsidRPr="00F153F6">
        <w:rPr>
          <w:rFonts w:ascii="Times New Roman" w:eastAsia="Times New Roman" w:hAnsi="Times New Roman" w:cs="Times New Roman"/>
          <w:iCs/>
          <w:color w:val="000000" w:themeColor="text1"/>
          <w:sz w:val="24"/>
          <w:szCs w:val="24"/>
        </w:rPr>
        <w:t xml:space="preserve"> This because healthcare setting is an intensive knowledge exchange setting where translating knowledge into practice has become the promising concerns over decades </w:t>
      </w:r>
      <w:r w:rsidR="00E5278D" w:rsidRPr="00F153F6">
        <w:rPr>
          <w:rFonts w:ascii="Times New Roman" w:eastAsia="Times New Roman" w:hAnsi="Times New Roman" w:cs="Times New Roman"/>
          <w:iCs/>
          <w:color w:val="000000" w:themeColor="text1"/>
          <w:sz w:val="24"/>
          <w:szCs w:val="24"/>
        </w:rPr>
        <w:fldChar w:fldCharType="begin"/>
      </w:r>
      <w:r w:rsidR="00E5278D" w:rsidRPr="00F153F6">
        <w:rPr>
          <w:rFonts w:ascii="Times New Roman" w:eastAsia="Times New Roman" w:hAnsi="Times New Roman" w:cs="Times New Roman"/>
          <w:iCs/>
          <w:color w:val="000000" w:themeColor="text1"/>
          <w:sz w:val="24"/>
          <w:szCs w:val="24"/>
        </w:rPr>
        <w:instrText xml:space="preserve"> ADDIN ZOTERO_ITEM CSL_CITATION {"citationID":"bcmeaqNK","properties":{"formattedCitation":"(Nutley et al., 2007)","plainCitation":"(Nutley et al., 2007)","noteIndex":0},"citationItems":[{"id":10394,"uris":["http://zotero.org/users/5709166/items/HWDJWF39"],"itemData":{"id":10394,"type":"book","abstract":"This book provides a timely and novel contribution to understanding and enhancing evidence use. It builds on and complements the popular and best-selling What Works?: Evidence-based policy and practice in public services (Davies, Nutley and Smith, Policy Press, 2000), by drawing together current knowledge about how research gets used and how this can be encouraged and improved. In particular, the authors explore various multidiscipliary frameworks for understanding the research use agenda; consider how research use and the impact of research can be assessed; summarise the empirical evidence from the education, health care, social care and criminal justice fields about how research is used and how this can be improved and draw out practical issues that need to be addressed if research is to have greater impact on public services. Using evidence is important reading for university and government researchers, research funding bodies, public service managers and professionals, and students of public policy and management. It will also prove an invaluable guide for anyone involved in the implementation of evidence-based policy and practice.","ISBN":"978-1-86134-664-3","language":"en","note":"Google-Books-ID: UfMefp4rO9sC","number-of-pages":"380","publisher":"Policy Press","source":"Google Books","title":"Using Evidence: How Research Can Inform Public Services","title-short":"Using Evidence","author":[{"family":"Nutley","given":"Sandra"},{"family":"Isabel","given":"Walter"},{"family":"Davies","given":"Huw T. O."}],"issued":{"date-parts":[["2007",3,14]]}}}],"schema":"https://github.com/citation-style-language/schema/raw/master/csl-citation.json"} </w:instrText>
      </w:r>
      <w:r w:rsidR="00E5278D" w:rsidRPr="00F153F6">
        <w:rPr>
          <w:rFonts w:ascii="Times New Roman" w:eastAsia="Times New Roman" w:hAnsi="Times New Roman" w:cs="Times New Roman"/>
          <w:iCs/>
          <w:color w:val="000000" w:themeColor="text1"/>
          <w:sz w:val="24"/>
          <w:szCs w:val="24"/>
        </w:rPr>
        <w:fldChar w:fldCharType="separate"/>
      </w:r>
      <w:r w:rsidR="00E5278D" w:rsidRPr="00F153F6">
        <w:rPr>
          <w:rFonts w:ascii="Times New Roman" w:hAnsi="Times New Roman" w:cs="Times New Roman"/>
          <w:sz w:val="24"/>
          <w:szCs w:val="24"/>
        </w:rPr>
        <w:t>(Nutley et al., 2007)</w:t>
      </w:r>
      <w:r w:rsidR="00E5278D" w:rsidRPr="00F153F6">
        <w:rPr>
          <w:rFonts w:ascii="Times New Roman" w:eastAsia="Times New Roman" w:hAnsi="Times New Roman" w:cs="Times New Roman"/>
          <w:iCs/>
          <w:color w:val="000000" w:themeColor="text1"/>
          <w:sz w:val="24"/>
          <w:szCs w:val="24"/>
        </w:rPr>
        <w:fldChar w:fldCharType="end"/>
      </w:r>
      <w:r w:rsidR="00E5278D" w:rsidRPr="00F153F6">
        <w:rPr>
          <w:rFonts w:ascii="Times New Roman" w:eastAsia="Times New Roman" w:hAnsi="Times New Roman" w:cs="Times New Roman"/>
          <w:iCs/>
          <w:color w:val="000000" w:themeColor="text1"/>
          <w:sz w:val="24"/>
          <w:szCs w:val="24"/>
        </w:rPr>
        <w:t>.</w:t>
      </w:r>
      <w:r w:rsidRPr="00F153F6">
        <w:rPr>
          <w:rFonts w:ascii="Times New Roman" w:eastAsia="Times New Roman" w:hAnsi="Times New Roman" w:cs="Times New Roman"/>
          <w:iCs/>
          <w:color w:val="000000" w:themeColor="text1"/>
          <w:sz w:val="24"/>
          <w:szCs w:val="24"/>
        </w:rPr>
        <w:t xml:space="preserve"> Ward et al.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{"citationID":"w2VYBecG","properties":{"formattedCitation":"(2009)","plainCitation":"(2009)","noteIndex":0},"citationItems":[{"id":1965,"uris":["http://zotero.org/users/5709166/items/H2XJPPCT"],"itemData":{"id":1965,"type":"article-journal","abstract":"Objectives: Although there is widespread agreement about the importance of transferring knowledge into action, we still lack high quality information about what works, in which settings and with whom. While there are a large number of models and theories for knowledge transfer interventions, the majority are untested, meaning that their applicability and relevance is largely unknown. This paper describes the development of a conceptual framework of translating knowledge into action and discusses how it can be used for developing a useful model of the knowledge transfer process.\nMethods: A narrative review of the knowledge transfer literature identiﬁed 28 different models which explained all or part of the knowledge transfer process. The models were subjected to a thematic analysis to identify individual components and the types of processes used when transferring knowledge into action. The results were used to build a conceptual framework of the process.\nResults: Five common components of the knowledge transfer process were identiﬁed: problem identiﬁcation and communication; knowledge/research development and selection; analysis of context; knowledge transfer activities or interventions; and knowledge/research utilization. We also identiﬁed three types of knowledge transfer processes: a linear process; a cyclical process; and a dynamic multidirectional process. From these results a conceptual framework of knowledge transfer was developed. The framework illustrates the ﬁve common components of the knowledge transfer process and shows that they are connected via a complex, multidirectional set of interactions. As such the framework allows for the individual components to occur simultaneously or in any given order and to occur more than once during the knowledge transfer process.\nConclusion: Our framework provides a foundation for gathering evidence from case studies of knowledge transfer interventions. We propose that future empirical work is designed to test and reﬁne the relevance, importance and applicability of each of the components in order to build a more useful model of knowledge transfer which can serve as a practical checklist for planning or evaluating knowledge transfer activities.","container-title":"Journal of Health Services Research &amp; Policy","DOI":"10.1258/jhsrp.2009.008120","ISSN":"1355-8196, 1758-1060","issue":"3","journalAbbreviation":"J Health Serv Res Policy","language":"en","page":"156-164","source":"DOI.org (Crossref)","title":"Developing a Framework for Transferring Knowledge Into Action: A Thematic Analysis of the Literature","title-short":"Developing a Framework for Transferring Knowledge Into Action","volume":"14","author":[{"family":"Ward","given":"Vicky"},{"family":"House","given":"Allan"},{"family":"Hamer","given":"Susan"}],"issued":{"date-parts":[["2009",7]]}},"suppress-author":true}],"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(2009)</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propose a knowledge transfer framework which maps five components and they later reinterpreted and reformulated  it as a knowledge exchange framework, including: problem identification; knowledge development and selection; analysis of context; knowledge transfer interventions; and knowledge utilisation </w:t>
      </w:r>
      <w:r w:rsidRPr="00F153F6">
        <w:rPr>
          <w:rFonts w:ascii="Times New Roman" w:eastAsia="Times New Roman" w:hAnsi="Times New Roman" w:cs="Times New Roman"/>
          <w:iCs/>
          <w:color w:val="000000" w:themeColor="text1"/>
          <w:sz w:val="24"/>
          <w:szCs w:val="24"/>
        </w:rPr>
        <w:fldChar w:fldCharType="begin"/>
      </w:r>
      <w:r w:rsidR="00AF21EC" w:rsidRPr="00F153F6">
        <w:rPr>
          <w:rFonts w:ascii="Times New Roman" w:eastAsia="Times New Roman" w:hAnsi="Times New Roman" w:cs="Times New Roman"/>
          <w:iCs/>
          <w:color w:val="000000" w:themeColor="text1"/>
          <w:sz w:val="24"/>
          <w:szCs w:val="24"/>
        </w:rPr>
        <w:instrText xml:space="preserve"> ADDIN ZOTERO_ITEM CSL_CITATION {"citationID":"RzSxhQGR","properties":{"formattedCitation":"(Ward et al., 2012)","plainCitation":"(Ward et al., 2012)","noteIndex":0},"citationItems":[{"id":989,"uris":["http://zotero.org/users/5709166/items/4UBMS5ZA"],"itemData":{"id":989,"type":"article-journal","abstract":"Knowledge translation is underpinned by a dynamic and social knowledge exchange process but there are few descriptions of how this unfolds in practice settings. This has hampered attempts to produce realistic and useful models to help policymakers and researchers understand how knowledge exchange works. This paper reports the results of research which investigated the nature of knowledge exchange. We aimed to understand whether dynamic and fluid definitions of knowledge exchange are valid and to produce a realistic, descriptive framework of knowledge exchange. Our research was informed by a realist approach. We embedded a knowledge broker within three service delivery teams across a mental health organisation in the UK, each of whom was grappling with specific challenges. The knowledge broker participated in the team’s problem-solving process and collected observational fieldnotes. We also interviewed the team members. Observational and interview data were analysed quantitatively and qualitatively in order to determine and describe the nature of the knowledge exchange process in more detail. This enabled us to refine our conceptual framework of knowledge exchange. We found that knowledge exchange can be understood as a dynamic and fluid process which incorporates distinct forms of knowledge from multiple sources. Quantitative analysis illustrated that five broadly-defined components of knowledge exchange (problem, context, knowledge, activities, use) can all be in play at any one time and do not occur in a set order. Qualitative analysis revealed a number of distinct themes which better described the nature of knowledge exchange. By shedding light on the nature of knowledge exchange, our findings problematise some of the linear, technicist approaches to knowledge translation. The revised model of knowledge exchange which we propose here could therefore help to reorient thinking about knowledge exchange and act as a starting point for further exploration and evaluation of the knowledge exchange process.","collection-title":"Part Special Issue: Organization studies and the analysis of health systems","container-title":"Social Science &amp; Medicine","DOI":"10.1016/j.socscimed.2011.09.021","ISSN":"0277-9536","issue":"3","journalAbbreviation":"Social Science &amp; Medicine","page":"297-304","source":"ScienceDirect","title":"Exploring knowledge exchange: A useful framework for practice and policy","title-short":"Exploring knowledge exchange","volume":"74","author":[{"family":"Ward","given":"Vicky"},{"family":"Smith","given":"Simon"},{"family":"House","given":"Allan"},{"family":"Hamer","given":"Susan"}],"issued":{"date-parts":[["2012",2,1]]}},"label":"page"}],"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00AF21EC" w:rsidRPr="00F153F6">
        <w:rPr>
          <w:rFonts w:ascii="Times New Roman" w:hAnsi="Times New Roman" w:cs="Times New Roman"/>
          <w:sz w:val="24"/>
          <w:szCs w:val="24"/>
        </w:rPr>
        <w:t>(Ward et al., 2012)</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The components interact with each other to facilitate knowledge translation, and the framework argues that knowledge exchange is “an interactive and multidirectional process”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{"citationID":"a2pnkkho4li","properties":{"formattedCitation":"(Ward et al., 2009, p. 163)","plainCitation":"(Ward et al., 2009, p. 163)","noteIndex":0},"citationItems":[{"id":1965,"uris":["http://zotero.org/users/5709166/items/H2XJPPCT"],"itemData":{"id":1965,"type":"article-journal","abstract":"Objectives: Although there is widespread agreement about the importance of transferring knowledge into action, we still lack high quality information about what works, in which settings and with whom. While there are a large number of models and theories for knowledge transfer interventions, the majority are untested, meaning that their applicability and relevance is largely unknown. This paper describes the development of a conceptual framework of translating knowledge into action and discusses how it can be used for developing a useful model of the knowledge transfer process.\nMethods: A narrative review of the knowledge transfer literature identiﬁed 28 different models which explained all or part of the knowledge transfer process. The models were subjected to a thematic analysis to identify individual components and the types of processes used when transferring knowledge into action. The results were used to build a conceptual framework of the process.\nResults: Five common components of the knowledge transfer process were identiﬁed: problem identiﬁcation and communication; knowledge/research development and selection; analysis of context; knowledge transfer activities or interventions; and knowledge/research utilization. We also identiﬁed three types of knowledge transfer processes: a linear process; a cyclical process; and a dynamic multidirectional process. From these results a conceptual framework of knowledge transfer was developed. The framework illustrates the ﬁve common components of the knowledge transfer process and shows that they are connected via a complex, multidirectional set of interactions. As such the framework allows for the individual components to occur simultaneously or in any given order and to occur more than once during the knowledge transfer process.\nConclusion: Our framework provides a foundation for gathering evidence from case studies of knowledge transfer interventions. We propose that future empirical work is designed to test and reﬁne the relevance, importance and applicability of each of the components in order to build a more useful model of knowledge transfer which can serve as a practical checklist for planning or evaluating knowledge transfer activities.","container-title":"Journal of Health Services Research &amp; Policy","DOI":"10.1258/jhsrp.2009.008120","ISSN":"1355-8196, 1758-1060","issue":"3","journalAbbreviation":"J Health Serv Res Policy","language":"en","page":"156-164","source":"DOI.org (Crossref)","title":"Developing a Framework for Transferring Knowledge Into Action: A Thematic Analysis of the Literature","title-short":"Developing a Framework for Transferring Knowledge Into Action","volume":"14","author":[{"family":"Ward","given":"Vicky"},{"family":"House","given":"Allan"},{"family":"Hamer","given":"Susan"}],"issued":{"date-parts":[["2009",7]]}},"locator":"163","label":"page"}],"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(Ward et al., 2009, p. 163)</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as depicted in Figure 2.3. </w:t>
      </w:r>
    </w:p>
    <w:p w14:paraId="294BCB24" w14:textId="77777777" w:rsidR="00D345CD" w:rsidRPr="00F153F6" w:rsidRDefault="002C1A2F" w:rsidP="00D345CD">
      <w:pPr>
        <w:keepNext/>
        <w:spacing w:line="360" w:lineRule="auto"/>
        <w:jc w:val="center"/>
        <w:rPr>
          <w:sz w:val="24"/>
          <w:szCs w:val="24"/>
        </w:rPr>
      </w:pPr>
      <w:r w:rsidRPr="00F153F6">
        <w:rPr>
          <w:rFonts w:ascii="Times New Roman" w:hAnsi="Times New Roman" w:cs="Times New Roman"/>
          <w:noProof/>
          <w:color w:val="000000" w:themeColor="text1"/>
          <w:sz w:val="24"/>
          <w:szCs w:val="24"/>
        </w:rPr>
        <w:lastRenderedPageBreak/>
        <w:drawing>
          <wp:inline distT="0" distB="0" distL="0" distR="0" wp14:anchorId="27B1B883" wp14:editId="6800451E">
            <wp:extent cx="3533775" cy="2552700"/>
            <wp:effectExtent l="0" t="0" r="9525"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3775" cy="2552700"/>
                    </a:xfrm>
                    <a:prstGeom prst="rect">
                      <a:avLst/>
                    </a:prstGeom>
                    <a:noFill/>
                    <a:ln>
                      <a:noFill/>
                    </a:ln>
                  </pic:spPr>
                </pic:pic>
              </a:graphicData>
            </a:graphic>
          </wp:inline>
        </w:drawing>
      </w:r>
    </w:p>
    <w:p w14:paraId="2C3C9E27" w14:textId="0D1E904C" w:rsidR="002C1A2F" w:rsidRPr="00F153F6" w:rsidRDefault="00D345CD" w:rsidP="00D345CD">
      <w:pPr>
        <w:pStyle w:val="Caption"/>
        <w:jc w:val="center"/>
        <w:rPr>
          <w:rFonts w:ascii="Times New Roman" w:eastAsia="Times New Roman" w:hAnsi="Times New Roman" w:cs="Times New Roman"/>
          <w:i w:val="0"/>
          <w:iCs w:val="0"/>
          <w:color w:val="auto"/>
          <w:sz w:val="22"/>
          <w:szCs w:val="22"/>
        </w:rPr>
      </w:pPr>
      <w:bookmarkStart w:id="122" w:name="_Toc119448448"/>
      <w:r w:rsidRPr="00F153F6">
        <w:rPr>
          <w:rFonts w:ascii="Times New Roman" w:hAnsi="Times New Roman" w:cs="Times New Roman"/>
          <w:i w:val="0"/>
          <w:iCs w:val="0"/>
          <w:color w:val="auto"/>
          <w:sz w:val="22"/>
          <w:szCs w:val="22"/>
        </w:rPr>
        <w:t xml:space="preserve">Figure 2.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Figure_2.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3</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w:t>
      </w:r>
      <w:r w:rsidRPr="00F153F6">
        <w:rPr>
          <w:rFonts w:ascii="Times New Roman" w:eastAsia="Times New Roman" w:hAnsi="Times New Roman" w:cs="Times New Roman"/>
          <w:i w:val="0"/>
          <w:iCs w:val="0"/>
          <w:color w:val="auto"/>
          <w:sz w:val="22"/>
          <w:szCs w:val="22"/>
        </w:rPr>
        <w:t xml:space="preserve">Knowledge transfer framework by Ward et al. </w:t>
      </w:r>
      <w:r w:rsidRPr="00F153F6">
        <w:rPr>
          <w:rFonts w:ascii="Times New Roman" w:eastAsia="Times New Roman" w:hAnsi="Times New Roman" w:cs="Times New Roman"/>
          <w:i w:val="0"/>
          <w:iCs w:val="0"/>
          <w:color w:val="auto"/>
          <w:sz w:val="22"/>
          <w:szCs w:val="22"/>
        </w:rPr>
        <w:fldChar w:fldCharType="begin"/>
      </w:r>
      <w:r w:rsidRPr="00F153F6">
        <w:rPr>
          <w:rFonts w:ascii="Times New Roman" w:eastAsia="Times New Roman" w:hAnsi="Times New Roman" w:cs="Times New Roman"/>
          <w:i w:val="0"/>
          <w:iCs w:val="0"/>
          <w:color w:val="auto"/>
          <w:sz w:val="22"/>
          <w:szCs w:val="22"/>
        </w:rPr>
        <w:instrText xml:space="preserve"> ADDIN ZOTERO_ITEM CSL_CITATION {"citationID":"O9LQFqXQ","properties":{"formattedCitation":"(2009)","plainCitation":"(2009)","noteIndex":0},"citationItems":[{"id":1965,"uris":["http://zotero.org/users/5709166/items/H2XJPPCT"],"itemData":{"id":1965,"type":"article-journal","abstract":"Objectives: Although there is widespread agreement about the importance of transferring knowledge into action, we still lack high quality information about what works, in which settings and with whom. While there are a large number of models and theories for knowledge transfer interventions, the majority are untested, meaning that their applicability and relevance is largely unknown. This paper describes the development of a conceptual framework of translating knowledge into action and discusses how it can be used for developing a useful model of the knowledge transfer process.\nMethods: A narrative review of the knowledge transfer literature identiﬁed 28 different models which explained all or part of the knowledge transfer process. The models were subjected to a thematic analysis to identify individual components and the types of processes used when transferring knowledge into action. The results were used to build a conceptual framework of the process.\nResults: Five common components of the knowledge transfer process were identiﬁed: problem identiﬁcation and communication; knowledge/research development and selection; analysis of context; knowledge transfer activities or interventions; and knowledge/research utilization. We also identiﬁed three types of knowledge transfer processes: a linear process; a cyclical process; and a dynamic multidirectional process. From these results a conceptual framework of knowledge transfer was developed. The framework illustrates the ﬁve common components of the knowledge transfer process and shows that they are connected via a complex, multidirectional set of interactions. As such the framework allows for the individual components to occur simultaneously or in any given order and to occur more than once during the knowledge transfer process.\nConclusion: Our framework provides a foundation for gathering evidence from case studies of knowledge transfer interventions. We propose that future empirical work is designed to test and reﬁne the relevance, importance and applicability of each of the components in order to build a more useful model of knowledge transfer which can serve as a practical checklist for planning or evaluating knowledge transfer activities.","container-title":"Journal of Health Services Research &amp; Policy","DOI":"10.1258/jhsrp.2009.008120","ISSN":"1355-8196, 1758-1060","issue":"3","journalAbbreviation":"J Health Serv Res Policy","language":"en","page":"156-164","source":"DOI.org (Crossref)","title":"Developing a Framework for Transferring Knowledge Into Action: A Thematic Analysis of the Literature","title-short":"Developing a Framework for Transferring Knowledge Into Action","volume":"14","author":[{"family":"Ward","given":"Vicky"},{"family":"House","given":"Allan"},{"family":"Hamer","given":"Susan"}],"issued":{"date-parts":[["2009",7]]}},"suppress-author":true}],"schema":"https://github.com/citation-style-language/schema/raw/master/csl-citation.json"} </w:instrText>
      </w:r>
      <w:r w:rsidRPr="00F153F6">
        <w:rPr>
          <w:rFonts w:ascii="Times New Roman" w:eastAsia="Times New Roman" w:hAnsi="Times New Roman" w:cs="Times New Roman"/>
          <w:i w:val="0"/>
          <w:iCs w:val="0"/>
          <w:color w:val="auto"/>
          <w:sz w:val="22"/>
          <w:szCs w:val="22"/>
        </w:rPr>
        <w:fldChar w:fldCharType="separate"/>
      </w:r>
      <w:r w:rsidRPr="00F153F6">
        <w:rPr>
          <w:rFonts w:ascii="Times New Roman" w:hAnsi="Times New Roman" w:cs="Times New Roman"/>
          <w:i w:val="0"/>
          <w:iCs w:val="0"/>
          <w:color w:val="auto"/>
          <w:sz w:val="22"/>
          <w:szCs w:val="22"/>
        </w:rPr>
        <w:t>(2009)</w:t>
      </w:r>
      <w:bookmarkEnd w:id="122"/>
      <w:r w:rsidRPr="00F153F6">
        <w:rPr>
          <w:rFonts w:ascii="Times New Roman" w:eastAsia="Times New Roman" w:hAnsi="Times New Roman" w:cs="Times New Roman"/>
          <w:i w:val="0"/>
          <w:iCs w:val="0"/>
          <w:color w:val="auto"/>
          <w:sz w:val="22"/>
          <w:szCs w:val="22"/>
        </w:rPr>
        <w:fldChar w:fldCharType="end"/>
      </w:r>
    </w:p>
    <w:p w14:paraId="12BEB637" w14:textId="77777777"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p>
    <w:p w14:paraId="39611F57" w14:textId="6DBE2126"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After modifying the original knowledge transfer framework, Ward et al.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{"citationID":"a283dld1d1c","properties":{"formattedCitation":"(2012)","plainCitation":"(2012)","noteIndex":0},"citationItems":[{"id":989,"uris":["http://zotero.org/users/5709166/items/4UBMS5ZA"],"itemData":{"id":989,"type":"article-journal","abstract":"Knowledge translation is underpinned by a dynamic and social knowledge exchange process but there are few descriptions of how this unfolds in practice settings. This has hampered attempts to produce realistic and useful models to help policymakers and researchers understand how knowledge exchange works. This paper reports the results of research which investigated the nature of knowledge exchange. We aimed to understand whether dynamic and fluid definitions of knowledge exchange are valid and to produce a realistic, descriptive framework of knowledge exchange. Our research was informed by a realist approach. We embedded a knowledge broker within three service delivery teams across a mental health organisation in the UK, each of whom was grappling with specific challenges. The knowledge broker participated in the team’s problem-solving process and collected observational fieldnotes. We also interviewed the team members. Observational and interview data were analysed quantitatively and qualitatively in order to determine and describe the nature of the knowledge exchange process in more detail. This enabled us to refine our conceptual framework of knowledge exchange. We found that knowledge exchange can be understood as a dynamic and fluid process which incorporates distinct forms of knowledge from multiple sources. Quantitative analysis illustrated that five broadly-defined components of knowledge exchange (problem, context, knowledge, activities, use) can all be in play at any one time and do not occur in a set order. Qualitative analysis revealed a number of distinct themes which better described the nature of knowledge exchange. By shedding light on the nature of knowledge exchange, our findings problematise some of the linear, technicist approaches to knowledge translation. The revised model of knowledge exchange which we propose here could therefore help to reorient thinking about knowledge exchange and act as a starting point for further exploration and evaluation of the knowledge exchange process.","collection-title":"Part Special Issue: Organization studies and the analysis of health systems","container-title":"Social Science &amp; Medicine","DOI":"10.1016/j.socscimed.2011.09.021","ISSN":"0277-9536","issue":"3","journalAbbreviation":"Social Science &amp; Medicine","page":"297-304","source":"ScienceDirect","title":"Exploring knowledge exchange: A useful framework for practice and policy","title-short":"Exploring knowledge exchange","volume":"74","author":[{"family":"Ward","given":"Vicky"},{"family":"Smith","given":"Simon"},{"family":"House","given":"Allan"},{"family":"Hamer","given":"Susan"}],"issued":{"date-parts":[["2012",2,1]]}},"label":"page","suppress-author":true}],"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(2012)</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proposed that the gap between knowledge and practices is a knowledge exchange problem. They argue that knowledge exchange is “a process which incorporates distinct forms of knowledge from multiple sources” and suggest a “dynamic and iterative” knowledge exchange framework showing how knowledge unfolds over time (p. 297), as illustrated in Figure 2.</w:t>
      </w:r>
      <w:r w:rsidR="00E5278D" w:rsidRPr="00F153F6">
        <w:rPr>
          <w:rFonts w:ascii="Times New Roman" w:eastAsia="Times New Roman" w:hAnsi="Times New Roman" w:cs="Times New Roman"/>
          <w:iCs/>
          <w:color w:val="000000" w:themeColor="text1"/>
          <w:sz w:val="24"/>
          <w:szCs w:val="24"/>
        </w:rPr>
        <w:t>4.</w:t>
      </w:r>
      <w:r w:rsidRPr="00F153F6">
        <w:rPr>
          <w:rFonts w:ascii="Times New Roman" w:eastAsia="Times New Roman" w:hAnsi="Times New Roman" w:cs="Times New Roman"/>
          <w:iCs/>
          <w:color w:val="000000" w:themeColor="text1"/>
          <w:sz w:val="24"/>
          <w:szCs w:val="24"/>
        </w:rPr>
        <w:t xml:space="preserve"> In their framework, the </w:t>
      </w:r>
      <w:r w:rsidRPr="00F153F6">
        <w:rPr>
          <w:rFonts w:ascii="Times New Roman" w:eastAsia="Times New Roman" w:hAnsi="Times New Roman" w:cs="Times New Roman"/>
          <w:b/>
          <w:bCs/>
          <w:iCs/>
          <w:color w:val="000000" w:themeColor="text1"/>
          <w:sz w:val="24"/>
          <w:szCs w:val="24"/>
        </w:rPr>
        <w:t>problem stream</w:t>
      </w:r>
      <w:r w:rsidRPr="00F153F6">
        <w:rPr>
          <w:rFonts w:ascii="Times New Roman" w:eastAsia="Times New Roman" w:hAnsi="Times New Roman" w:cs="Times New Roman"/>
          <w:iCs/>
          <w:color w:val="000000" w:themeColor="text1"/>
          <w:sz w:val="24"/>
          <w:szCs w:val="24"/>
        </w:rPr>
        <w:t xml:space="preserve"> reflects what future knowledge is </w:t>
      </w:r>
      <w:r w:rsidR="00EB0DAC" w:rsidRPr="00F153F6">
        <w:rPr>
          <w:rFonts w:ascii="Times New Roman" w:eastAsia="Times New Roman" w:hAnsi="Times New Roman" w:cs="Times New Roman"/>
          <w:iCs/>
          <w:color w:val="000000" w:themeColor="text1"/>
          <w:sz w:val="24"/>
          <w:szCs w:val="24"/>
        </w:rPr>
        <w:t>required.</w:t>
      </w:r>
      <w:r w:rsidRPr="00F153F6">
        <w:rPr>
          <w:rFonts w:ascii="Times New Roman" w:eastAsia="Times New Roman" w:hAnsi="Times New Roman" w:cs="Times New Roman"/>
          <w:iCs/>
          <w:color w:val="000000" w:themeColor="text1"/>
          <w:sz w:val="24"/>
          <w:szCs w:val="24"/>
        </w:rPr>
        <w:t xml:space="preserve"> The knowledge exchange problem should be revised as it evolves continuously over time. The </w:t>
      </w:r>
      <w:r w:rsidRPr="00F153F6">
        <w:rPr>
          <w:rFonts w:ascii="Times New Roman" w:eastAsia="Times New Roman" w:hAnsi="Times New Roman" w:cs="Times New Roman"/>
          <w:b/>
          <w:bCs/>
          <w:iCs/>
          <w:color w:val="000000" w:themeColor="text1"/>
          <w:sz w:val="24"/>
          <w:szCs w:val="24"/>
        </w:rPr>
        <w:t>Analysis of context</w:t>
      </w:r>
      <w:r w:rsidRPr="00F153F6">
        <w:rPr>
          <w:rFonts w:ascii="Times New Roman" w:eastAsia="Times New Roman" w:hAnsi="Times New Roman" w:cs="Times New Roman"/>
          <w:iCs/>
          <w:color w:val="000000" w:themeColor="text1"/>
          <w:sz w:val="24"/>
          <w:szCs w:val="24"/>
        </w:rPr>
        <w:t xml:space="preserve"> reflects the evaluation of the current context. The understanding of different types of contextual characteristics should provide shared experiences and networks because knowledge exchange is a social instead of a behavioural phenomenon. The </w:t>
      </w:r>
      <w:r w:rsidRPr="00F153F6">
        <w:rPr>
          <w:rFonts w:ascii="Times New Roman" w:eastAsia="Times New Roman" w:hAnsi="Times New Roman" w:cs="Times New Roman"/>
          <w:b/>
          <w:bCs/>
          <w:iCs/>
          <w:color w:val="000000" w:themeColor="text1"/>
          <w:sz w:val="24"/>
          <w:szCs w:val="24"/>
        </w:rPr>
        <w:t>Knowledge stream</w:t>
      </w:r>
      <w:r w:rsidRPr="00F153F6">
        <w:rPr>
          <w:rFonts w:ascii="Times New Roman" w:eastAsia="Times New Roman" w:hAnsi="Times New Roman" w:cs="Times New Roman"/>
          <w:iCs/>
          <w:color w:val="000000" w:themeColor="text1"/>
          <w:sz w:val="24"/>
          <w:szCs w:val="24"/>
        </w:rPr>
        <w:t xml:space="preserve"> reflects the evaluation of the existing knowledge, taking stock of existing knowledge and how this knowledge fits current needs. The </w:t>
      </w:r>
      <w:r w:rsidRPr="00F153F6">
        <w:rPr>
          <w:rFonts w:ascii="Times New Roman" w:eastAsia="Times New Roman" w:hAnsi="Times New Roman" w:cs="Times New Roman"/>
          <w:b/>
          <w:bCs/>
          <w:iCs/>
          <w:color w:val="000000" w:themeColor="text1"/>
          <w:sz w:val="24"/>
          <w:szCs w:val="24"/>
        </w:rPr>
        <w:t>Intervention</w:t>
      </w:r>
      <w:r w:rsidRPr="00F153F6">
        <w:rPr>
          <w:rFonts w:ascii="Times New Roman" w:eastAsia="Times New Roman" w:hAnsi="Times New Roman" w:cs="Times New Roman"/>
          <w:iCs/>
          <w:color w:val="000000" w:themeColor="text1"/>
          <w:sz w:val="24"/>
          <w:szCs w:val="24"/>
        </w:rPr>
        <w:t xml:space="preserve"> reflects the evaluation of what knowledge exchange activities should be set in place and the engagement activities required. Finally, the </w:t>
      </w:r>
      <w:r w:rsidRPr="00F153F6">
        <w:rPr>
          <w:rFonts w:ascii="Times New Roman" w:eastAsia="Times New Roman" w:hAnsi="Times New Roman" w:cs="Times New Roman"/>
          <w:b/>
          <w:bCs/>
          <w:iCs/>
          <w:color w:val="000000" w:themeColor="text1"/>
          <w:sz w:val="24"/>
          <w:szCs w:val="24"/>
        </w:rPr>
        <w:t>Use stream</w:t>
      </w:r>
      <w:r w:rsidRPr="00F153F6">
        <w:rPr>
          <w:rFonts w:ascii="Times New Roman" w:eastAsia="Times New Roman" w:hAnsi="Times New Roman" w:cs="Times New Roman"/>
          <w:iCs/>
          <w:color w:val="000000" w:themeColor="text1"/>
          <w:sz w:val="24"/>
          <w:szCs w:val="24"/>
        </w:rPr>
        <w:t xml:space="preserve"> reflects the use of knowledge towards solving problems. The overall interactive stream process and their accumulation over the time is showed in Figure 2.4. </w:t>
      </w:r>
    </w:p>
    <w:p w14:paraId="11176276" w14:textId="77777777" w:rsidR="00D345CD" w:rsidRPr="00F153F6" w:rsidRDefault="002C1A2F" w:rsidP="00D345CD">
      <w:pPr>
        <w:keepNext/>
        <w:spacing w:line="360" w:lineRule="auto"/>
        <w:jc w:val="center"/>
        <w:rPr>
          <w:sz w:val="24"/>
          <w:szCs w:val="24"/>
        </w:rPr>
      </w:pPr>
      <w:r w:rsidRPr="00F153F6">
        <w:rPr>
          <w:rFonts w:ascii="Times New Roman" w:hAnsi="Times New Roman" w:cs="Times New Roman"/>
          <w:noProof/>
          <w:color w:val="000000" w:themeColor="text1"/>
          <w:sz w:val="24"/>
          <w:szCs w:val="24"/>
        </w:rPr>
        <w:lastRenderedPageBreak/>
        <w:drawing>
          <wp:inline distT="0" distB="0" distL="0" distR="0" wp14:anchorId="6D686D55" wp14:editId="5A374320">
            <wp:extent cx="5505450" cy="377190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450" cy="3771900"/>
                    </a:xfrm>
                    <a:prstGeom prst="rect">
                      <a:avLst/>
                    </a:prstGeom>
                    <a:noFill/>
                    <a:ln>
                      <a:noFill/>
                    </a:ln>
                  </pic:spPr>
                </pic:pic>
              </a:graphicData>
            </a:graphic>
          </wp:inline>
        </w:drawing>
      </w:r>
    </w:p>
    <w:p w14:paraId="5DFC31C2" w14:textId="11E7D449" w:rsidR="002C1A2F" w:rsidRPr="00F153F6" w:rsidRDefault="00D345CD" w:rsidP="00D345CD">
      <w:pPr>
        <w:pStyle w:val="Caption"/>
        <w:jc w:val="center"/>
        <w:rPr>
          <w:rFonts w:ascii="Times New Roman" w:eastAsia="Times New Roman" w:hAnsi="Times New Roman" w:cs="Times New Roman"/>
          <w:i w:val="0"/>
          <w:iCs w:val="0"/>
          <w:color w:val="auto"/>
          <w:sz w:val="22"/>
          <w:szCs w:val="22"/>
        </w:rPr>
      </w:pPr>
      <w:bookmarkStart w:id="123" w:name="_Toc119448449"/>
      <w:r w:rsidRPr="00F153F6">
        <w:rPr>
          <w:rFonts w:ascii="Times New Roman" w:hAnsi="Times New Roman" w:cs="Times New Roman"/>
          <w:i w:val="0"/>
          <w:iCs w:val="0"/>
          <w:color w:val="auto"/>
          <w:sz w:val="22"/>
          <w:szCs w:val="22"/>
        </w:rPr>
        <w:t xml:space="preserve">Figure 2.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Figure_2.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4</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w:t>
      </w:r>
      <w:r w:rsidRPr="00F153F6">
        <w:rPr>
          <w:rFonts w:ascii="Times New Roman" w:eastAsia="Times New Roman" w:hAnsi="Times New Roman" w:cs="Times New Roman"/>
          <w:i w:val="0"/>
          <w:iCs w:val="0"/>
          <w:color w:val="auto"/>
          <w:sz w:val="22"/>
          <w:szCs w:val="22"/>
        </w:rPr>
        <w:t xml:space="preserve">Revised knowledge exchange framework by Ward et al. </w:t>
      </w:r>
      <w:r w:rsidRPr="00F153F6">
        <w:rPr>
          <w:rFonts w:ascii="Times New Roman" w:eastAsia="Times New Roman" w:hAnsi="Times New Roman" w:cs="Times New Roman"/>
          <w:i w:val="0"/>
          <w:iCs w:val="0"/>
          <w:color w:val="auto"/>
          <w:sz w:val="22"/>
          <w:szCs w:val="22"/>
        </w:rPr>
        <w:fldChar w:fldCharType="begin"/>
      </w:r>
      <w:r w:rsidRPr="00F153F6">
        <w:rPr>
          <w:rFonts w:ascii="Times New Roman" w:eastAsia="Times New Roman" w:hAnsi="Times New Roman" w:cs="Times New Roman"/>
          <w:i w:val="0"/>
          <w:iCs w:val="0"/>
          <w:color w:val="auto"/>
          <w:sz w:val="22"/>
          <w:szCs w:val="22"/>
        </w:rPr>
        <w:instrText xml:space="preserve"> ADDIN ZOTERO_ITEM CSL_CITATION {"citationID":"plXPwgIS","properties":{"formattedCitation":"(2012)","plainCitation":"(2012)","noteIndex":0},"citationItems":[{"id":989,"uris":["http://zotero.org/users/5709166/items/4UBMS5ZA"],"itemData":{"id":989,"type":"article-journal","abstract":"Knowledge translation is underpinned by a dynamic and social knowledge exchange process but there are few descriptions of how this unfolds in practice settings. This has hampered attempts to produce realistic and useful models to help policymakers and researchers understand how knowledge exchange works. This paper reports the results of research which investigated the nature of knowledge exchange. We aimed to understand whether dynamic and fluid definitions of knowledge exchange are valid and to produce a realistic, descriptive framework of knowledge exchange. Our research was informed by a realist approach. We embedded a knowledge broker within three service delivery teams across a mental health organisation in the UK, each of whom was grappling with specific challenges. The knowledge broker participated in the team’s problem-solving process and collected observational fieldnotes. We also interviewed the team members. Observational and interview data were analysed quantitatively and qualitatively in order to determine and describe the nature of the knowledge exchange process in more detail. This enabled us to refine our conceptual framework of knowledge exchange. We found that knowledge exchange can be understood as a dynamic and fluid process which incorporates distinct forms of knowledge from multiple sources. Quantitative analysis illustrated that five broadly-defined components of knowledge exchange (problem, context, knowledge, activities, use) can all be in play at any one time and do not occur in a set order. Qualitative analysis revealed a number of distinct themes which better described the nature of knowledge exchange. By shedding light on the nature of knowledge exchange, our findings problematise some of the linear, technicist approaches to knowledge translation. The revised model of knowledge exchange which we propose here could therefore help to reorient thinking about knowledge exchange and act as a starting point for further exploration and evaluation of the knowledge exchange process.","collection-title":"Part Special Issue: Organization studies and the analysis of health systems","container-title":"Social Science &amp; Medicine","DOI":"10.1016/j.socscimed.2011.09.021","ISSN":"0277-9536","issue":"3","journalAbbreviation":"Social Science &amp; Medicine","page":"297-304","source":"ScienceDirect","title":"Exploring knowledge exchange: A useful framework for practice and policy","title-short":"Exploring knowledge exchange","volume":"74","author":[{"family":"Ward","given":"Vicky"},{"family":"Smith","given":"Simon"},{"family":"House","given":"Allan"},{"family":"Hamer","given":"Susan"}],"issued":{"date-parts":[["2012",2,1]]}},"suppress-author":true}],"schema":"https://github.com/citation-style-language/schema/raw/master/csl-citation.json"} </w:instrText>
      </w:r>
      <w:r w:rsidRPr="00F153F6">
        <w:rPr>
          <w:rFonts w:ascii="Times New Roman" w:eastAsia="Times New Roman" w:hAnsi="Times New Roman" w:cs="Times New Roman"/>
          <w:i w:val="0"/>
          <w:iCs w:val="0"/>
          <w:color w:val="auto"/>
          <w:sz w:val="22"/>
          <w:szCs w:val="22"/>
        </w:rPr>
        <w:fldChar w:fldCharType="separate"/>
      </w:r>
      <w:r w:rsidRPr="00F153F6">
        <w:rPr>
          <w:rFonts w:ascii="Times New Roman" w:hAnsi="Times New Roman" w:cs="Times New Roman"/>
          <w:i w:val="0"/>
          <w:iCs w:val="0"/>
          <w:color w:val="auto"/>
          <w:sz w:val="22"/>
          <w:szCs w:val="22"/>
        </w:rPr>
        <w:t>(2012)</w:t>
      </w:r>
      <w:bookmarkEnd w:id="123"/>
      <w:r w:rsidRPr="00F153F6">
        <w:rPr>
          <w:rFonts w:ascii="Times New Roman" w:eastAsia="Times New Roman" w:hAnsi="Times New Roman" w:cs="Times New Roman"/>
          <w:i w:val="0"/>
          <w:iCs w:val="0"/>
          <w:color w:val="auto"/>
          <w:sz w:val="22"/>
          <w:szCs w:val="22"/>
        </w:rPr>
        <w:fldChar w:fldCharType="end"/>
      </w:r>
    </w:p>
    <w:p w14:paraId="0EA22551" w14:textId="77777777" w:rsidR="00D345CD" w:rsidRPr="00F153F6" w:rsidRDefault="00D345CD" w:rsidP="004424B4">
      <w:pPr>
        <w:spacing w:line="360" w:lineRule="auto"/>
        <w:jc w:val="both"/>
        <w:rPr>
          <w:rFonts w:ascii="Times New Roman" w:eastAsia="Times New Roman" w:hAnsi="Times New Roman" w:cs="Times New Roman"/>
          <w:iCs/>
          <w:color w:val="000000" w:themeColor="text1"/>
          <w:sz w:val="24"/>
          <w:szCs w:val="24"/>
        </w:rPr>
      </w:pPr>
    </w:p>
    <w:p w14:paraId="241C5A72" w14:textId="7F48EB5E" w:rsidR="002C1A2F" w:rsidRPr="00F153F6" w:rsidRDefault="002C1A2F" w:rsidP="004424B4">
      <w:pPr>
        <w:spacing w:line="360" w:lineRule="auto"/>
        <w:jc w:val="both"/>
        <w:rPr>
          <w:rFonts w:ascii="Times New Roman" w:hAnsi="Times New Roman" w:cs="Times New Roman"/>
          <w:b/>
          <w:color w:val="000000" w:themeColor="text1"/>
          <w:sz w:val="24"/>
          <w:szCs w:val="24"/>
        </w:rPr>
      </w:pPr>
      <w:r w:rsidRPr="00F153F6">
        <w:rPr>
          <w:rFonts w:ascii="Times New Roman" w:hAnsi="Times New Roman" w:cs="Times New Roman"/>
          <w:color w:val="000000" w:themeColor="text1"/>
          <w:sz w:val="24"/>
          <w:szCs w:val="24"/>
        </w:rPr>
        <w:t xml:space="preserve">Other knowledge exchange frameworks include Murnaghan et al. </w:t>
      </w:r>
      <w:r w:rsidRPr="00F153F6">
        <w:rPr>
          <w:rFonts w:ascii="Times New Roman" w:hAnsi="Times New Roman" w:cs="Times New Roman"/>
          <w:b/>
          <w:bCs/>
          <w:color w:val="000000" w:themeColor="text1"/>
          <w:sz w:val="24"/>
          <w:szCs w:val="24"/>
        </w:rPr>
        <w:fldChar w:fldCharType="begin"/>
      </w:r>
      <w:r w:rsidRPr="00F153F6">
        <w:rPr>
          <w:rFonts w:ascii="Times New Roman" w:hAnsi="Times New Roman" w:cs="Times New Roman"/>
          <w:bCs/>
          <w:color w:val="000000" w:themeColor="text1"/>
          <w:sz w:val="24"/>
          <w:szCs w:val="24"/>
        </w:rPr>
        <w:instrText xml:space="preserve"> ADDIN ZOTERO_ITEM CSL_CITATION {"citationID":"NNt2SRzB","properties":{"formattedCitation":"(2013)","plainCitation":"(2013)","noteIndex":0},"citationItems":[{"id":2098,"uris":["http://zotero.org/users/5709166/items/5XHIQZQD"],"itemData":{"id":2098,"type":"article-journal","abstract":"Introduction: The research teams undertook a case study design using a common analytical framework to investigate three provincial (Prince Edward Island, New Brunswick and Manitoba) knowledge exchange systems. These three knowledge exchange systems seek to generate and enhance the use of evidence in policy development, program planning and evaluation to improve youth health and chronic disease prevention.","container-title":"Chronic Diseases and Injuries in Canada","issue":"4","language":"en","page":"10","source":"Zotero","title":"Knowledge exchange systems for youth health and chronic disease prevention: a tri-provincial case study","volume":"33","author":[{"family":"Murnaghan","given":"D"},{"family":"Morrison","given":"W"},{"family":"Griffith","given":"E J"},{"family":"Bell","given":"B L"},{"family":"Duffley","given":"L A"},{"family":"McGarry","given":"K"},{"family":"Manske","given":"S"}],"issued":{"date-parts":[["2013"]]}},"suppress-author":true}],"schema":"https://github.com/citation-style-language/schema/raw/master/csl-citation.json"} </w:instrText>
      </w:r>
      <w:r w:rsidRPr="00F153F6">
        <w:rPr>
          <w:rFonts w:ascii="Times New Roman" w:hAnsi="Times New Roman" w:cs="Times New Roman"/>
          <w:b/>
          <w:bCs/>
          <w:color w:val="000000" w:themeColor="text1"/>
          <w:sz w:val="24"/>
          <w:szCs w:val="24"/>
        </w:rPr>
        <w:fldChar w:fldCharType="separate"/>
      </w:r>
      <w:r w:rsidRPr="00F153F6">
        <w:rPr>
          <w:rFonts w:ascii="Times New Roman" w:hAnsi="Times New Roman" w:cs="Times New Roman"/>
          <w:bCs/>
          <w:color w:val="000000" w:themeColor="text1"/>
          <w:sz w:val="24"/>
          <w:szCs w:val="24"/>
        </w:rPr>
        <w:t>(2013)</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and its four components: </w:t>
      </w:r>
      <w:r w:rsidRPr="00F153F6">
        <w:rPr>
          <w:rFonts w:ascii="Times New Roman" w:hAnsi="Times New Roman" w:cs="Times New Roman"/>
          <w:b/>
          <w:bCs/>
          <w:color w:val="000000" w:themeColor="text1"/>
          <w:sz w:val="24"/>
          <w:szCs w:val="24"/>
        </w:rPr>
        <w:t>surveillance system</w:t>
      </w:r>
      <w:r w:rsidRPr="00F153F6">
        <w:rPr>
          <w:rFonts w:ascii="Times New Roman" w:hAnsi="Times New Roman" w:cs="Times New Roman"/>
          <w:color w:val="000000" w:themeColor="text1"/>
          <w:sz w:val="24"/>
          <w:szCs w:val="24"/>
        </w:rPr>
        <w:t xml:space="preserve"> to support planning and collecting relevant data; </w:t>
      </w:r>
      <w:r w:rsidRPr="00F153F6">
        <w:rPr>
          <w:rFonts w:ascii="Times New Roman" w:hAnsi="Times New Roman" w:cs="Times New Roman"/>
          <w:b/>
          <w:bCs/>
          <w:color w:val="000000" w:themeColor="text1"/>
          <w:sz w:val="24"/>
          <w:szCs w:val="24"/>
        </w:rPr>
        <w:t>the ability to synthesise existing evidence</w:t>
      </w:r>
      <w:r w:rsidRPr="00F153F6">
        <w:rPr>
          <w:rFonts w:ascii="Times New Roman" w:hAnsi="Times New Roman" w:cs="Times New Roman"/>
          <w:color w:val="000000" w:themeColor="text1"/>
          <w:sz w:val="24"/>
          <w:szCs w:val="24"/>
        </w:rPr>
        <w:t xml:space="preserve"> to interpret existing knowledge and analyse the current context; </w:t>
      </w:r>
      <w:r w:rsidRPr="00F153F6">
        <w:rPr>
          <w:rFonts w:ascii="Times New Roman" w:hAnsi="Times New Roman" w:cs="Times New Roman"/>
          <w:b/>
          <w:bCs/>
          <w:color w:val="000000" w:themeColor="text1"/>
          <w:sz w:val="24"/>
          <w:szCs w:val="24"/>
        </w:rPr>
        <w:t>the capacity to mobilise evidence into action</w:t>
      </w:r>
      <w:r w:rsidRPr="00F153F6">
        <w:rPr>
          <w:rFonts w:ascii="Times New Roman" w:hAnsi="Times New Roman" w:cs="Times New Roman"/>
          <w:color w:val="000000" w:themeColor="text1"/>
          <w:sz w:val="24"/>
          <w:szCs w:val="24"/>
        </w:rPr>
        <w:t xml:space="preserve">; and </w:t>
      </w:r>
      <w:r w:rsidRPr="00F153F6">
        <w:rPr>
          <w:rFonts w:ascii="Times New Roman" w:hAnsi="Times New Roman" w:cs="Times New Roman"/>
          <w:b/>
          <w:bCs/>
          <w:color w:val="000000" w:themeColor="text1"/>
          <w:sz w:val="24"/>
          <w:szCs w:val="24"/>
        </w:rPr>
        <w:t>the means of evidence-to-action</w:t>
      </w:r>
      <w:r w:rsidRPr="00F153F6">
        <w:rPr>
          <w:rFonts w:ascii="Times New Roman" w:hAnsi="Times New Roman" w:cs="Times New Roman"/>
          <w:color w:val="000000" w:themeColor="text1"/>
          <w:sz w:val="24"/>
          <w:szCs w:val="24"/>
        </w:rPr>
        <w:t xml:space="preserve"> to evaluate such knowledge exchange practices. More recently, </w:t>
      </w:r>
      <w:r w:rsidRPr="00F153F6">
        <w:rPr>
          <w:rFonts w:ascii="Times New Roman" w:eastAsia="Times New Roman" w:hAnsi="Times New Roman" w:cs="Times New Roman"/>
          <w:iCs/>
          <w:color w:val="000000" w:themeColor="text1"/>
          <w:sz w:val="24"/>
          <w:szCs w:val="24"/>
        </w:rPr>
        <w:t xml:space="preserve">Prihodova et al. </w:t>
      </w:r>
      <w:r w:rsidRPr="00F153F6">
        <w:rPr>
          <w:rFonts w:ascii="Times New Roman" w:eastAsia="Times New Roman" w:hAnsi="Times New Roman" w:cs="Times New Roman"/>
          <w:b/>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{"citationID":"3N5aZ1MI","properties":{"formattedCitation":"(2019)","plainCitation":"(2019)","noteIndex":0},"citationItems":[{"id":1966,"uris":["http://zotero.org/users/5709166/items/547NZWGK"],"itemData":{"id":1966,"type":"article-journal","abstract":"Aims To identify the key common components of knowledge transfer and exchange in existing models to facilitate practice developments in health services research. Background There are over 60 models of knowledge transfer and exchange designed for various areas of health care. Many of them remain untested and lack guidelines for scaling-up of successful implementation of research findings and of proven models ensuring that patients have access to optimal health care, guided by current research. Design A scoping review was conducted in line with PRISMA guidelines. Key components of knowledge transfer and exchange were identified using thematic analysis and frequency counts. Data Sources Six electronic databases were searched for papers published before January 2015 containing four key terms/variants: knowledge, transfer, framework, health care. Review Methods Double screening, extraction and coding of the data using thematic analysis were employed to ensure rigour. As further validation stakeholders’ consultation of the findings was performed to ensure accessibility. Results Of the 4,288 abstracts, 294 full-text articles were screened, with 79 articles analysed. Six key components emerged: knowledge transfer and exchange message, Stakeholders and Process components often appeared together, while from two contextual components Inner Context and the wider Social, Cultural and Economic Context, with the wider context less frequently considered. Finally, there was little consideration of the Evaluation of knowledge transfer and exchange activities. In addition, specific operational elements of each component were identified. Conclusions The six components offer the basis for knowledge transfer and exchange activities, enabling researchers to more effectively share their work. Further research exploring the potential contribution of the interactions of the components is recommended.","container-title":"Journal of Advanced Nursing","DOI":"10.1111/jan.13836","ISSN":"1365-2648","issue":"2","language":"en","page":"313-326","source":"Wiley Online Library","title":"Key components of knowledge transfer and exchange in health services research: Findings from a systematic scoping review","title-short":"Key components of knowledge transfer and exchange in health services research","volume":"75","author":[{"family":"Prihodova","given":"Lucia"},{"family":"Guerin","given":"Suzanne"},{"family":"Tunney","given":"Conall"},{"family":"Kernohan","given":"W. George"}],"issued":{"date-parts":[["2019"]]}},"suppress-author":true}],"schema":"https://github.com/citation-style-language/schema/raw/master/csl-citation.json"} </w:instrText>
      </w:r>
      <w:r w:rsidRPr="00F153F6">
        <w:rPr>
          <w:rFonts w:ascii="Times New Roman" w:eastAsia="Times New Roman" w:hAnsi="Times New Roman" w:cs="Times New Roman"/>
          <w:b/>
          <w:iCs/>
          <w:color w:val="000000" w:themeColor="text1"/>
          <w:sz w:val="24"/>
          <w:szCs w:val="24"/>
        </w:rPr>
        <w:fldChar w:fldCharType="separate"/>
      </w:r>
      <w:r w:rsidRPr="00F153F6">
        <w:rPr>
          <w:rFonts w:ascii="Times New Roman" w:hAnsi="Times New Roman" w:cs="Times New Roman"/>
          <w:color w:val="000000" w:themeColor="text1"/>
          <w:sz w:val="24"/>
          <w:szCs w:val="24"/>
        </w:rPr>
        <w:t>(2019)</w:t>
      </w:r>
      <w:r w:rsidRPr="00F153F6">
        <w:rPr>
          <w:rFonts w:ascii="Times New Roman" w:eastAsia="Times New Roman" w:hAnsi="Times New Roman" w:cs="Times New Roman"/>
          <w:b/>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identified six key components embedded throughout knowledge exchange processes (depicted in Figure 2.5). </w:t>
      </w:r>
      <w:r w:rsidRPr="00F153F6">
        <w:rPr>
          <w:rFonts w:ascii="Times New Roman" w:eastAsia="Times New Roman" w:hAnsi="Times New Roman" w:cs="Times New Roman"/>
          <w:b/>
          <w:bCs/>
          <w:iCs/>
          <w:color w:val="000000" w:themeColor="text1"/>
          <w:sz w:val="24"/>
          <w:szCs w:val="24"/>
        </w:rPr>
        <w:t>Messages</w:t>
      </w:r>
      <w:r w:rsidRPr="00F153F6">
        <w:rPr>
          <w:rFonts w:ascii="Times New Roman" w:eastAsia="Times New Roman" w:hAnsi="Times New Roman" w:cs="Times New Roman"/>
          <w:iCs/>
          <w:color w:val="000000" w:themeColor="text1"/>
          <w:sz w:val="24"/>
          <w:szCs w:val="24"/>
        </w:rPr>
        <w:t xml:space="preserve"> refers to shared knowledge or information; </w:t>
      </w:r>
      <w:r w:rsidRPr="00F153F6">
        <w:rPr>
          <w:rFonts w:ascii="Times New Roman" w:eastAsia="Times New Roman" w:hAnsi="Times New Roman" w:cs="Times New Roman"/>
          <w:b/>
          <w:bCs/>
          <w:iCs/>
          <w:color w:val="000000" w:themeColor="text1"/>
          <w:sz w:val="24"/>
          <w:szCs w:val="24"/>
        </w:rPr>
        <w:t>stakeholders</w:t>
      </w:r>
      <w:r w:rsidRPr="00F153F6">
        <w:rPr>
          <w:rFonts w:ascii="Times New Roman" w:eastAsia="Times New Roman" w:hAnsi="Times New Roman" w:cs="Times New Roman"/>
          <w:iCs/>
          <w:color w:val="000000" w:themeColor="text1"/>
          <w:sz w:val="24"/>
          <w:szCs w:val="24"/>
        </w:rPr>
        <w:t xml:space="preserve"> include individuals involved in the knowledge exchange process; </w:t>
      </w:r>
      <w:r w:rsidRPr="00F153F6">
        <w:rPr>
          <w:rFonts w:ascii="Times New Roman" w:eastAsia="Times New Roman" w:hAnsi="Times New Roman" w:cs="Times New Roman"/>
          <w:b/>
          <w:bCs/>
          <w:iCs/>
          <w:color w:val="000000" w:themeColor="text1"/>
          <w:sz w:val="24"/>
          <w:szCs w:val="24"/>
        </w:rPr>
        <w:t>process</w:t>
      </w:r>
      <w:r w:rsidRPr="00F153F6">
        <w:rPr>
          <w:rFonts w:ascii="Times New Roman" w:eastAsia="Times New Roman" w:hAnsi="Times New Roman" w:cs="Times New Roman"/>
          <w:iCs/>
          <w:color w:val="000000" w:themeColor="text1"/>
          <w:sz w:val="24"/>
          <w:szCs w:val="24"/>
        </w:rPr>
        <w:t xml:space="preserve"> covers the necessary activities of knowledge transfer, representing a ‘push-pull’ dynamic exchange process of knowledge; </w:t>
      </w:r>
      <w:r w:rsidRPr="00F153F6">
        <w:rPr>
          <w:rFonts w:ascii="Times New Roman" w:eastAsia="Times New Roman" w:hAnsi="Times New Roman" w:cs="Times New Roman"/>
          <w:b/>
          <w:bCs/>
          <w:iCs/>
          <w:color w:val="000000" w:themeColor="text1"/>
          <w:sz w:val="24"/>
          <w:szCs w:val="24"/>
        </w:rPr>
        <w:t>local context</w:t>
      </w:r>
      <w:r w:rsidRPr="00F153F6">
        <w:rPr>
          <w:rFonts w:ascii="Times New Roman" w:eastAsia="Times New Roman" w:hAnsi="Times New Roman" w:cs="Times New Roman"/>
          <w:iCs/>
          <w:color w:val="000000" w:themeColor="text1"/>
          <w:sz w:val="24"/>
          <w:szCs w:val="24"/>
        </w:rPr>
        <w:t xml:space="preserve"> represents their organisational environment where knowledge exchange occurs; </w:t>
      </w:r>
      <w:r w:rsidRPr="00F153F6">
        <w:rPr>
          <w:rFonts w:ascii="Times New Roman" w:eastAsia="Times New Roman" w:hAnsi="Times New Roman" w:cs="Times New Roman"/>
          <w:b/>
          <w:bCs/>
          <w:iCs/>
          <w:color w:val="000000" w:themeColor="text1"/>
          <w:sz w:val="24"/>
          <w:szCs w:val="24"/>
        </w:rPr>
        <w:t>social and cultural and economic context</w:t>
      </w:r>
      <w:r w:rsidRPr="00F153F6">
        <w:rPr>
          <w:rFonts w:ascii="Times New Roman" w:eastAsia="Times New Roman" w:hAnsi="Times New Roman" w:cs="Times New Roman"/>
          <w:iCs/>
          <w:color w:val="000000" w:themeColor="text1"/>
          <w:sz w:val="24"/>
          <w:szCs w:val="24"/>
        </w:rPr>
        <w:t xml:space="preserve"> refers to external environmental factors influencing exchanging knowledge; and </w:t>
      </w:r>
      <w:r w:rsidRPr="00F153F6">
        <w:rPr>
          <w:rFonts w:ascii="Times New Roman" w:eastAsia="Times New Roman" w:hAnsi="Times New Roman" w:cs="Times New Roman"/>
          <w:b/>
          <w:bCs/>
          <w:iCs/>
          <w:color w:val="000000" w:themeColor="text1"/>
          <w:sz w:val="24"/>
          <w:szCs w:val="24"/>
        </w:rPr>
        <w:t>evaluating efficacy</w:t>
      </w:r>
      <w:r w:rsidRPr="00F153F6">
        <w:rPr>
          <w:rFonts w:ascii="Times New Roman" w:eastAsia="Times New Roman" w:hAnsi="Times New Roman" w:cs="Times New Roman"/>
          <w:iCs/>
          <w:color w:val="000000" w:themeColor="text1"/>
          <w:sz w:val="24"/>
          <w:szCs w:val="24"/>
        </w:rPr>
        <w:t xml:space="preserve"> stresses the need to evaluate the efficacy of knowledge exchange activities. The usefulness of Pridohova et al</w:t>
      </w:r>
      <w:r w:rsidR="002054F8" w:rsidRPr="00F153F6">
        <w:rPr>
          <w:rFonts w:ascii="Times New Roman" w:eastAsia="Times New Roman" w:hAnsi="Times New Roman" w:cs="Times New Roman"/>
          <w:iCs/>
          <w:color w:val="000000" w:themeColor="text1"/>
          <w:sz w:val="24"/>
          <w:szCs w:val="24"/>
        </w:rPr>
        <w:t>.</w:t>
      </w:r>
      <w:r w:rsidRPr="00F153F6">
        <w:rPr>
          <w:rFonts w:ascii="Times New Roman" w:eastAsia="Times New Roman" w:hAnsi="Times New Roman" w:cs="Times New Roman"/>
          <w:iCs/>
          <w:color w:val="000000" w:themeColor="text1"/>
          <w:sz w:val="24"/>
          <w:szCs w:val="24"/>
        </w:rPr>
        <w:t xml:space="preserve"> (2019)</w:t>
      </w:r>
      <w:r w:rsidR="002054F8" w:rsidRPr="00F153F6">
        <w:rPr>
          <w:rFonts w:ascii="Times New Roman" w:eastAsia="Times New Roman" w:hAnsi="Times New Roman" w:cs="Times New Roman"/>
          <w:iCs/>
          <w:color w:val="000000" w:themeColor="text1"/>
          <w:sz w:val="24"/>
          <w:szCs w:val="24"/>
        </w:rPr>
        <w:t>’s</w:t>
      </w:r>
      <w:r w:rsidRPr="00F153F6">
        <w:rPr>
          <w:rFonts w:ascii="Times New Roman" w:eastAsia="Times New Roman" w:hAnsi="Times New Roman" w:cs="Times New Roman"/>
          <w:iCs/>
          <w:color w:val="000000" w:themeColor="text1"/>
          <w:sz w:val="24"/>
          <w:szCs w:val="24"/>
        </w:rPr>
        <w:t xml:space="preserve"> model </w:t>
      </w:r>
      <w:r w:rsidR="00E5278D" w:rsidRPr="00F153F6">
        <w:rPr>
          <w:rFonts w:ascii="Times New Roman" w:eastAsia="Times New Roman" w:hAnsi="Times New Roman" w:cs="Times New Roman"/>
          <w:iCs/>
          <w:color w:val="000000" w:themeColor="text1"/>
          <w:sz w:val="24"/>
          <w:szCs w:val="24"/>
        </w:rPr>
        <w:t>has been confirmed by its credibility</w:t>
      </w:r>
      <w:r w:rsidR="002054F8" w:rsidRPr="00F153F6">
        <w:rPr>
          <w:rFonts w:ascii="Times New Roman" w:eastAsia="Times New Roman" w:hAnsi="Times New Roman" w:cs="Times New Roman"/>
          <w:iCs/>
          <w:color w:val="000000" w:themeColor="text1"/>
          <w:sz w:val="24"/>
          <w:szCs w:val="24"/>
        </w:rPr>
        <w:t xml:space="preserve">, accessibility and applicability </w:t>
      </w:r>
      <w:r w:rsidR="002054F8" w:rsidRPr="00F153F6">
        <w:rPr>
          <w:rFonts w:ascii="Times New Roman" w:eastAsia="Times New Roman" w:hAnsi="Times New Roman" w:cs="Times New Roman"/>
          <w:iCs/>
          <w:color w:val="000000" w:themeColor="text1"/>
          <w:sz w:val="24"/>
          <w:szCs w:val="24"/>
        </w:rPr>
        <w:fldChar w:fldCharType="begin"/>
      </w:r>
      <w:r w:rsidR="002054F8" w:rsidRPr="00F153F6">
        <w:rPr>
          <w:rFonts w:ascii="Times New Roman" w:eastAsia="Times New Roman" w:hAnsi="Times New Roman" w:cs="Times New Roman"/>
          <w:iCs/>
          <w:color w:val="000000" w:themeColor="text1"/>
          <w:sz w:val="24"/>
          <w:szCs w:val="24"/>
        </w:rPr>
        <w:instrText xml:space="preserve"> ADDIN ZOTERO_ITEM CSL_CITATION {"citationID":"bBet8K7d","properties":{"formattedCitation":"(Payne et al., 2019)","plainCitation":"(Payne et al., 2019)","noteIndex":0},"citationItems":[{"id":1964,"uris":["http://zotero.org/users/5709166/items/G3NP266N"],"itemData":{"id":1964,"type":"article-journal","abstract":"Knowledge transfer is recognized as a vital stage in evidence-informed nursing with several models available to guide the process. Although the main components commonly involve identification of messages, stakeholders, processes and contexts, the underpinning models remain largely unrefined and untested; and they need to be evaluated. We set out to explore the use of our “Evidence-based Model for Transfer &amp; Exchange of Research Knowledge” (EMTReK) within palliative care research. Between January 2016 and May 2017, data were collected from five case studies which used the EMTReK model as a means to transfer knowledge relating to palliative care research, undertaken in Ireland. A qualitative approach was taken with thematic analysis of case documentation, semistructured interviews, and field notes from the case studies. Qualitative analysis supports the core components of EMTReK as a model of knowledge transfer and exchange in palliative care. Results focused upon identification of messages to be transferred to defined stakeholders through interactive processes that take account of context. Case study findings show how the model was interpreted and operationalized by participants and demonstrate its impact on knowledge transfer and exchange. Eight themes were drawn from the data: Credibility of the Model, Model Accessibility, Applicability to Palliative Care, A Matter of Timing, Positive Role of Facilitation, Required Resources, Enhancing Research Quality, Limitations or Areas for Further Consideration. Study participants found EMTReK to be a useful guide when making knowledge transfer plans. Success depended upon adequate facilitation and guidance. Further exploration of the model's utility is warranted.","container-title":"SAGE Open Nursing","DOI":"10.1177/2377960819861854","ISSN":"2377-9608","journalAbbreviation":"SAGE Open Nursing","language":"en","page":"2377960819861854","source":"SAGE Journals","title":"EMTReK: An Evidence-based Model for the Transfer &amp; Exchange of Research Knowledge—Five Case Studies in Palliative Care","title-short":"EMTReK","volume":"5","author":[{"family":"Payne","given":"Cathy"},{"family":"Brown","given":"Mary J."},{"family":"Guerin","given":"Suzanne"},{"family":"Kernohan","given":"W. George"}],"issued":{"date-parts":[["2019",1,1]]}}}],"schema":"https://github.com/citation-style-language/schema/raw/master/csl-citation.json"} </w:instrText>
      </w:r>
      <w:r w:rsidR="002054F8" w:rsidRPr="00F153F6">
        <w:rPr>
          <w:rFonts w:ascii="Times New Roman" w:eastAsia="Times New Roman" w:hAnsi="Times New Roman" w:cs="Times New Roman"/>
          <w:iCs/>
          <w:color w:val="000000" w:themeColor="text1"/>
          <w:sz w:val="24"/>
          <w:szCs w:val="24"/>
        </w:rPr>
        <w:fldChar w:fldCharType="separate"/>
      </w:r>
      <w:r w:rsidR="002054F8" w:rsidRPr="00F153F6">
        <w:rPr>
          <w:rFonts w:ascii="Times New Roman" w:hAnsi="Times New Roman" w:cs="Times New Roman"/>
          <w:sz w:val="24"/>
          <w:szCs w:val="24"/>
        </w:rPr>
        <w:t>(Payne et al., 2019)</w:t>
      </w:r>
      <w:r w:rsidR="002054F8" w:rsidRPr="00F153F6">
        <w:rPr>
          <w:rFonts w:ascii="Times New Roman" w:eastAsia="Times New Roman" w:hAnsi="Times New Roman" w:cs="Times New Roman"/>
          <w:iCs/>
          <w:color w:val="000000" w:themeColor="text1"/>
          <w:sz w:val="24"/>
          <w:szCs w:val="24"/>
        </w:rPr>
        <w:fldChar w:fldCharType="end"/>
      </w:r>
      <w:r w:rsidR="002054F8" w:rsidRPr="00F153F6">
        <w:rPr>
          <w:rFonts w:ascii="Times New Roman" w:eastAsia="Times New Roman" w:hAnsi="Times New Roman" w:cs="Times New Roman"/>
          <w:iCs/>
          <w:color w:val="000000" w:themeColor="text1"/>
          <w:sz w:val="24"/>
          <w:szCs w:val="24"/>
        </w:rPr>
        <w:t>, which</w:t>
      </w:r>
      <w:r w:rsidRPr="00F153F6">
        <w:rPr>
          <w:rFonts w:ascii="Times New Roman" w:eastAsia="Times New Roman" w:hAnsi="Times New Roman" w:cs="Times New Roman"/>
          <w:iCs/>
          <w:color w:val="000000" w:themeColor="text1"/>
          <w:sz w:val="24"/>
          <w:szCs w:val="24"/>
        </w:rPr>
        <w:t xml:space="preserve"> </w:t>
      </w:r>
      <w:r w:rsidR="002054F8" w:rsidRPr="00F153F6">
        <w:rPr>
          <w:rFonts w:ascii="Times New Roman" w:eastAsia="Times New Roman" w:hAnsi="Times New Roman" w:cs="Times New Roman"/>
          <w:iCs/>
          <w:color w:val="000000" w:themeColor="text1"/>
          <w:sz w:val="24"/>
          <w:szCs w:val="24"/>
        </w:rPr>
        <w:t>emphasises</w:t>
      </w:r>
      <w:r w:rsidRPr="00F153F6">
        <w:rPr>
          <w:rFonts w:ascii="Times New Roman" w:eastAsia="Times New Roman" w:hAnsi="Times New Roman" w:cs="Times New Roman"/>
          <w:iCs/>
          <w:color w:val="000000" w:themeColor="text1"/>
          <w:sz w:val="24"/>
          <w:szCs w:val="24"/>
        </w:rPr>
        <w:t xml:space="preserve"> knowledge exchange as an iterative and dynamic ‘know-do’ process.</w:t>
      </w:r>
    </w:p>
    <w:p w14:paraId="6EC6987C" w14:textId="77777777"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p>
    <w:p w14:paraId="21EF4019" w14:textId="77777777" w:rsidR="00D345CD" w:rsidRPr="00F153F6" w:rsidRDefault="002C1A2F" w:rsidP="00D345CD">
      <w:pPr>
        <w:keepNext/>
        <w:spacing w:line="360" w:lineRule="auto"/>
        <w:jc w:val="center"/>
        <w:rPr>
          <w:sz w:val="24"/>
          <w:szCs w:val="24"/>
        </w:rPr>
      </w:pPr>
      <w:r w:rsidRPr="00F153F6">
        <w:rPr>
          <w:rFonts w:ascii="Times New Roman" w:hAnsi="Times New Roman" w:cs="Times New Roman"/>
          <w:noProof/>
          <w:color w:val="000000" w:themeColor="text1"/>
          <w:sz w:val="24"/>
          <w:szCs w:val="24"/>
        </w:rPr>
        <w:drawing>
          <wp:inline distT="0" distB="0" distL="0" distR="0" wp14:anchorId="1516F62C" wp14:editId="2CEEBDC4">
            <wp:extent cx="5629275" cy="3257550"/>
            <wp:effectExtent l="0" t="0" r="9525"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9275" cy="3257550"/>
                    </a:xfrm>
                    <a:prstGeom prst="rect">
                      <a:avLst/>
                    </a:prstGeom>
                    <a:noFill/>
                    <a:ln>
                      <a:noFill/>
                    </a:ln>
                  </pic:spPr>
                </pic:pic>
              </a:graphicData>
            </a:graphic>
          </wp:inline>
        </w:drawing>
      </w:r>
    </w:p>
    <w:p w14:paraId="53D4BB6A" w14:textId="22839F4A" w:rsidR="002C1A2F" w:rsidRPr="00F153F6" w:rsidRDefault="00D345CD" w:rsidP="00D345CD">
      <w:pPr>
        <w:pStyle w:val="Caption"/>
        <w:jc w:val="center"/>
        <w:rPr>
          <w:rFonts w:ascii="Times New Roman" w:eastAsia="Times New Roman" w:hAnsi="Times New Roman" w:cs="Times New Roman"/>
          <w:i w:val="0"/>
          <w:iCs w:val="0"/>
          <w:color w:val="auto"/>
          <w:sz w:val="22"/>
          <w:szCs w:val="22"/>
        </w:rPr>
      </w:pPr>
      <w:bookmarkStart w:id="124" w:name="_Toc119448450"/>
      <w:r w:rsidRPr="00F153F6">
        <w:rPr>
          <w:rFonts w:ascii="Times New Roman" w:hAnsi="Times New Roman" w:cs="Times New Roman"/>
          <w:i w:val="0"/>
          <w:iCs w:val="0"/>
          <w:color w:val="auto"/>
          <w:sz w:val="22"/>
          <w:szCs w:val="22"/>
        </w:rPr>
        <w:t xml:space="preserve">Figure 2.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Figure_2.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5</w:t>
      </w:r>
      <w:r w:rsidRPr="00F153F6">
        <w:rPr>
          <w:rFonts w:ascii="Times New Roman" w:hAnsi="Times New Roman" w:cs="Times New Roman"/>
          <w:i w:val="0"/>
          <w:iCs w:val="0"/>
          <w:color w:val="auto"/>
          <w:sz w:val="22"/>
          <w:szCs w:val="22"/>
        </w:rPr>
        <w:fldChar w:fldCharType="end"/>
      </w:r>
      <w:r w:rsidRPr="00F153F6">
        <w:rPr>
          <w:rFonts w:ascii="Times New Roman" w:eastAsia="Times New Roman" w:hAnsi="Times New Roman" w:cs="Times New Roman"/>
          <w:i w:val="0"/>
          <w:iCs w:val="0"/>
          <w:color w:val="auto"/>
          <w:sz w:val="22"/>
          <w:szCs w:val="22"/>
        </w:rPr>
        <w:t xml:space="preserve"> Evidence-based model for the Transfer and Exchange of Research Knowledge </w:t>
      </w:r>
      <w:r w:rsidRPr="00F153F6">
        <w:rPr>
          <w:rFonts w:ascii="Times New Roman" w:eastAsia="Times New Roman" w:hAnsi="Times New Roman" w:cs="Times New Roman"/>
          <w:i w:val="0"/>
          <w:iCs w:val="0"/>
          <w:color w:val="auto"/>
          <w:sz w:val="22"/>
          <w:szCs w:val="22"/>
        </w:rPr>
        <w:fldChar w:fldCharType="begin"/>
      </w:r>
      <w:r w:rsidRPr="00F153F6">
        <w:rPr>
          <w:rFonts w:ascii="Times New Roman" w:eastAsia="Times New Roman" w:hAnsi="Times New Roman" w:cs="Times New Roman"/>
          <w:i w:val="0"/>
          <w:iCs w:val="0"/>
          <w:color w:val="auto"/>
          <w:sz w:val="22"/>
          <w:szCs w:val="22"/>
        </w:rPr>
        <w:instrText xml:space="preserve"> ADDIN ZOTERO_ITEM CSL_CITATION {"citationID":"YuSiB3Sl","properties":{"formattedCitation":"(Prihodova et al., 2019)","plainCitation":"(Prihodova et al., 2019)","noteIndex":0},"citationItems":[{"id":1966,"uris":["http://zotero.org/users/5709166/items/547NZWGK"],"itemData":{"id":1966,"type":"article-journal","abstract":"Aims To identify the key common components of knowledge transfer and exchange in existing models to facilitate practice developments in health services research. Background There are over 60 models of knowledge transfer and exchange designed for various areas of health care. Many of them remain untested and lack guidelines for scaling-up of successful implementation of research findings and of proven models ensuring that patients have access to optimal health care, guided by current research. Design A scoping review was conducted in line with PRISMA guidelines. Key components of knowledge transfer and exchange were identified using thematic analysis and frequency counts. Data Sources Six electronic databases were searched for papers published before January 2015 containing four key terms/variants: knowledge, transfer, framework, health care. Review Methods Double screening, extraction and coding of the data using thematic analysis were employed to ensure rigour. As further validation stakeholders’ consultation of the findings was performed to ensure accessibility. Results Of the 4,288 abstracts, 294 full-text articles were screened, with 79 articles analysed. Six key components emerged: knowledge transfer and exchange message, Stakeholders and Process components often appeared together, while from two contextual components Inner Context and the wider Social, Cultural and Economic Context, with the wider context less frequently considered. Finally, there was little consideration of the Evaluation of knowledge transfer and exchange activities. In addition, specific operational elements of each component were identified. Conclusions The six components offer the basis for knowledge transfer and exchange activities, enabling researchers to more effectively share their work. Further research exploring the potential contribution of the interactions of the components is recommended.","container-title":"Journal of Advanced Nursing","DOI":"10.1111/jan.13836","ISSN":"1365-2648","issue":"2","language":"en","page":"313-326","source":"Wiley Online Library","title":"Key components of knowledge transfer and exchange in health services research: Findings from a systematic scoping review","title-short":"Key components of knowledge transfer and exchange in health services research","volume":"75","author":[{"family":"Prihodova","given":"Lucia"},{"family":"Guerin","given":"Suzanne"},{"family":"Tunney","given":"Conall"},{"family":"Kernohan","given":"W. George"}],"issued":{"date-parts":[["2019"]]}}}],"schema":"https://github.com/citation-style-language/schema/raw/master/csl-citation.json"} </w:instrText>
      </w:r>
      <w:r w:rsidRPr="00F153F6">
        <w:rPr>
          <w:rFonts w:ascii="Times New Roman" w:eastAsia="Times New Roman" w:hAnsi="Times New Roman" w:cs="Times New Roman"/>
          <w:i w:val="0"/>
          <w:iCs w:val="0"/>
          <w:color w:val="auto"/>
          <w:sz w:val="22"/>
          <w:szCs w:val="22"/>
        </w:rPr>
        <w:fldChar w:fldCharType="separate"/>
      </w:r>
      <w:r w:rsidRPr="00F153F6">
        <w:rPr>
          <w:rFonts w:ascii="Times New Roman" w:hAnsi="Times New Roman" w:cs="Times New Roman"/>
          <w:i w:val="0"/>
          <w:iCs w:val="0"/>
          <w:color w:val="auto"/>
          <w:sz w:val="22"/>
          <w:szCs w:val="22"/>
        </w:rPr>
        <w:t>(Prihodova et al., 2019)</w:t>
      </w:r>
      <w:bookmarkEnd w:id="124"/>
      <w:r w:rsidRPr="00F153F6">
        <w:rPr>
          <w:rFonts w:ascii="Times New Roman" w:eastAsia="Times New Roman" w:hAnsi="Times New Roman" w:cs="Times New Roman"/>
          <w:i w:val="0"/>
          <w:iCs w:val="0"/>
          <w:color w:val="auto"/>
          <w:sz w:val="22"/>
          <w:szCs w:val="22"/>
        </w:rPr>
        <w:fldChar w:fldCharType="end"/>
      </w:r>
    </w:p>
    <w:p w14:paraId="17F8ECA3" w14:textId="77777777" w:rsidR="00D345CD" w:rsidRPr="00F153F6" w:rsidRDefault="00D345CD" w:rsidP="00D345CD">
      <w:pPr>
        <w:rPr>
          <w:sz w:val="24"/>
          <w:szCs w:val="24"/>
          <w:lang w:eastAsia="zh-CN"/>
        </w:rPr>
      </w:pPr>
    </w:p>
    <w:p w14:paraId="20BE6205" w14:textId="3EA0445D" w:rsidR="002C1A2F" w:rsidRPr="00F153F6" w:rsidRDefault="002C1A2F" w:rsidP="004424B4">
      <w:pPr>
        <w:pStyle w:val="Heading3"/>
        <w:spacing w:line="360" w:lineRule="auto"/>
        <w:ind w:left="720"/>
        <w:jc w:val="both"/>
        <w:rPr>
          <w:rFonts w:ascii="Times New Roman" w:hAnsi="Times New Roman" w:cs="Times New Roman"/>
          <w:b/>
          <w:color w:val="000000" w:themeColor="text1"/>
          <w:sz w:val="28"/>
          <w:szCs w:val="28"/>
        </w:rPr>
      </w:pPr>
      <w:bookmarkStart w:id="125" w:name="_Toc50065931"/>
      <w:bookmarkStart w:id="126" w:name="_Toc118371091"/>
      <w:bookmarkStart w:id="127" w:name="_Toc133252114"/>
      <w:r w:rsidRPr="00F153F6">
        <w:rPr>
          <w:rFonts w:ascii="Times New Roman" w:hAnsi="Times New Roman" w:cs="Times New Roman"/>
          <w:b/>
          <w:color w:val="000000" w:themeColor="text1"/>
          <w:sz w:val="28"/>
          <w:szCs w:val="28"/>
        </w:rPr>
        <w:t xml:space="preserve">2.3.3 </w:t>
      </w:r>
      <w:bookmarkEnd w:id="125"/>
      <w:bookmarkEnd w:id="126"/>
      <w:r w:rsidR="00B918CF" w:rsidRPr="00F153F6">
        <w:rPr>
          <w:rFonts w:ascii="Times New Roman" w:hAnsi="Times New Roman" w:cs="Times New Roman"/>
          <w:b/>
          <w:color w:val="000000" w:themeColor="text1"/>
          <w:sz w:val="28"/>
          <w:szCs w:val="28"/>
        </w:rPr>
        <w:t>The Nature of Knowledge Exchange</w:t>
      </w:r>
      <w:bookmarkEnd w:id="127"/>
      <w:r w:rsidR="00B918CF" w:rsidRPr="00F153F6">
        <w:rPr>
          <w:rFonts w:ascii="Times New Roman" w:hAnsi="Times New Roman" w:cs="Times New Roman"/>
          <w:b/>
          <w:color w:val="000000" w:themeColor="text1"/>
          <w:sz w:val="28"/>
          <w:szCs w:val="28"/>
        </w:rPr>
        <w:t xml:space="preserve"> </w:t>
      </w:r>
    </w:p>
    <w:p w14:paraId="42C3177C" w14:textId="739AB53D"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By exploring the nature of knowledge exchange and its processes with related key concepts, it is clear that knowledge exchange is an important process in knowledge </w:t>
      </w:r>
      <w:r w:rsidR="002054F8" w:rsidRPr="00F153F6">
        <w:rPr>
          <w:rFonts w:ascii="Times New Roman" w:eastAsia="Times New Roman" w:hAnsi="Times New Roman" w:cs="Times New Roman"/>
          <w:iCs/>
          <w:color w:val="000000" w:themeColor="text1"/>
          <w:sz w:val="24"/>
          <w:szCs w:val="24"/>
        </w:rPr>
        <w:t>management. The present study has proposed a new definition, in light of the multiple definitions that exist and these existing definitions are rather fragmented and lack precision and clarity to cover the nature of knowledge exchange</w:t>
      </w:r>
      <w:r w:rsidR="0010651F" w:rsidRPr="00F153F6">
        <w:rPr>
          <w:rFonts w:ascii="Times New Roman" w:eastAsia="Times New Roman" w:hAnsi="Times New Roman" w:cs="Times New Roman"/>
          <w:iCs/>
          <w:color w:val="000000" w:themeColor="text1"/>
          <w:sz w:val="24"/>
          <w:szCs w:val="24"/>
        </w:rPr>
        <w:t xml:space="preserve"> </w:t>
      </w:r>
      <w:r w:rsidR="0010651F" w:rsidRPr="00F153F6">
        <w:rPr>
          <w:rFonts w:ascii="Times New Roman" w:eastAsia="Times New Roman" w:hAnsi="Times New Roman" w:cs="Times New Roman"/>
          <w:b/>
          <w:bCs/>
          <w:i/>
          <w:color w:val="000000" w:themeColor="text1"/>
          <w:sz w:val="24"/>
          <w:szCs w:val="24"/>
        </w:rPr>
        <w:fldChar w:fldCharType="begin"/>
      </w:r>
      <w:r w:rsidR="0010651F" w:rsidRPr="00F153F6">
        <w:rPr>
          <w:rFonts w:ascii="Times New Roman" w:eastAsia="Times New Roman" w:hAnsi="Times New Roman" w:cs="Times New Roman"/>
          <w:b/>
          <w:bCs/>
          <w:i/>
          <w:color w:val="000000" w:themeColor="text1"/>
          <w:sz w:val="24"/>
          <w:szCs w:val="24"/>
        </w:rPr>
        <w:instrText xml:space="preserve"> ADDIN ZOTERO_ITEM CSL_CITATION {"citationID":"IduI9zsD","properties":{"formattedCitation":"(Zhu et al., 2021)","plainCitation":"(Zhu et al., 2021)","noteIndex":0},"citationItems":[{"id":2641,"uris":["http://zotero.org/users/5709166/items/F3TTP2DS"],"itemData":{"id":2641,"type":"paper-conference","abstract":"Organisations are increasingly seeking collaborations across organisational boundaries, and the digitalisation of organisation can greatly accelerate people to exchange knowledge in such inter-organisational collaborations. Therefore, Information and Communication Technologies (ICTs) play a more significant role in organisations' inter-organisational knowledge exchange (IOKE) than ever before. However, current studies provide somewhat fragmented perspectives through which knowledge and technology may be interpreted. It is critical now for research and practice to understand how ICTs shape IOKE. This study accordingly explores how IOKE is conceptualised from different ICT perspectives and understand their limitations and implications. The paper contributes to understanding the dynamic nature of IOKE from ICT perspectives and calls for future research to conceptualise IOKE from a more integrative view.","collection-title":"Lecture Notes in Computer Science","container-title":"Responsible AI and Analytics for an Ethical and Inclusive Digitized Society","DOI":"10.1007/978-3-030-85447-8_35","event-place":"Cham","ISBN":"978-3-030-85447-8","language":"en","page":"411-422","publisher":"Springer International Publishing","publisher-place":"Cham","source":"Springer Link","title":"ICT-Based Inter-organisational Knowledge Exchange: A Narrative Literature Review Approach","title-short":"ICT-Based Inter-organisational Knowledge Exchange","author":[{"family":"Zhu","given":"Yuzhen"},{"family":"Zamani","given":"Efpraxia D."},{"family":"Martins","given":"Jorge Tiago"},{"family":"Vasconcelos","given":"Ana Cristina"}],"editor":[{"family":"Dennehy","given":"Denis"},{"family":"Griva","given":"Anastasia"},{"family":"Pouloudi","given":"Nancy"},{"family":"Dwivedi","given":"Yogesh K."},{"family":"Pappas","given":"Ilias"},{"family":"Mäntymäki","given":"Matti"}],"issued":{"date-parts":[["2021"]]}}}],"schema":"https://github.com/citation-style-language/schema/raw/master/csl-citation.json"} </w:instrText>
      </w:r>
      <w:r w:rsidR="0010651F" w:rsidRPr="00F153F6">
        <w:rPr>
          <w:rFonts w:ascii="Times New Roman" w:eastAsia="Times New Roman" w:hAnsi="Times New Roman" w:cs="Times New Roman"/>
          <w:b/>
          <w:bCs/>
          <w:i/>
          <w:color w:val="000000" w:themeColor="text1"/>
          <w:sz w:val="24"/>
          <w:szCs w:val="24"/>
        </w:rPr>
        <w:fldChar w:fldCharType="separate"/>
      </w:r>
      <w:r w:rsidR="0010651F" w:rsidRPr="00F153F6">
        <w:rPr>
          <w:rFonts w:ascii="Times New Roman" w:hAnsi="Times New Roman" w:cs="Times New Roman"/>
          <w:sz w:val="24"/>
          <w:szCs w:val="24"/>
        </w:rPr>
        <w:t>(Zhu et al., 2021)</w:t>
      </w:r>
      <w:r w:rsidR="0010651F" w:rsidRPr="00F153F6">
        <w:rPr>
          <w:rFonts w:ascii="Times New Roman" w:eastAsia="Times New Roman" w:hAnsi="Times New Roman" w:cs="Times New Roman"/>
          <w:b/>
          <w:bCs/>
          <w:i/>
          <w:color w:val="000000" w:themeColor="text1"/>
          <w:sz w:val="24"/>
          <w:szCs w:val="24"/>
        </w:rPr>
        <w:fldChar w:fldCharType="end"/>
      </w:r>
      <w:r w:rsidR="002054F8" w:rsidRPr="00F153F6">
        <w:rPr>
          <w:rFonts w:ascii="Times New Roman" w:eastAsia="Times New Roman" w:hAnsi="Times New Roman" w:cs="Times New Roman"/>
          <w:iCs/>
          <w:color w:val="000000" w:themeColor="text1"/>
          <w:sz w:val="24"/>
          <w:szCs w:val="24"/>
        </w:rPr>
        <w:t>.</w:t>
      </w:r>
      <w:r w:rsidRPr="00F153F6">
        <w:rPr>
          <w:rFonts w:ascii="Times New Roman" w:eastAsia="Times New Roman" w:hAnsi="Times New Roman" w:cs="Times New Roman"/>
          <w:iCs/>
          <w:color w:val="000000" w:themeColor="text1"/>
          <w:sz w:val="24"/>
          <w:szCs w:val="24"/>
        </w:rPr>
        <w:t xml:space="preserve"> </w:t>
      </w:r>
      <w:r w:rsidR="002054F8" w:rsidRPr="00F153F6">
        <w:rPr>
          <w:rFonts w:ascii="Times New Roman" w:eastAsia="Times New Roman" w:hAnsi="Times New Roman" w:cs="Times New Roman"/>
          <w:iCs/>
          <w:color w:val="000000" w:themeColor="text1"/>
          <w:sz w:val="24"/>
          <w:szCs w:val="24"/>
        </w:rPr>
        <w:t>By consolidating the existing definitions in one that combines the critical components of knowledge exchange, k</w:t>
      </w:r>
      <w:r w:rsidRPr="00F153F6">
        <w:rPr>
          <w:rFonts w:ascii="Times New Roman" w:eastAsia="Times New Roman" w:hAnsi="Times New Roman" w:cs="Times New Roman"/>
          <w:iCs/>
          <w:color w:val="000000" w:themeColor="text1"/>
          <w:sz w:val="24"/>
          <w:szCs w:val="24"/>
        </w:rPr>
        <w:t xml:space="preserve">nowledge exchange </w:t>
      </w:r>
      <w:r w:rsidR="002054F8" w:rsidRPr="00F153F6">
        <w:rPr>
          <w:rFonts w:ascii="Times New Roman" w:eastAsia="Times New Roman" w:hAnsi="Times New Roman" w:cs="Times New Roman"/>
          <w:iCs/>
          <w:color w:val="000000" w:themeColor="text1"/>
          <w:sz w:val="24"/>
          <w:szCs w:val="24"/>
        </w:rPr>
        <w:t xml:space="preserve">in this study </w:t>
      </w:r>
      <w:r w:rsidRPr="00F153F6">
        <w:rPr>
          <w:rFonts w:ascii="Times New Roman" w:eastAsia="Times New Roman" w:hAnsi="Times New Roman" w:cs="Times New Roman"/>
          <w:iCs/>
          <w:color w:val="000000" w:themeColor="text1"/>
          <w:sz w:val="24"/>
          <w:szCs w:val="24"/>
        </w:rPr>
        <w:t xml:space="preserve">is defined as: </w:t>
      </w:r>
      <w:bookmarkStart w:id="128" w:name="OLE_LINK433"/>
      <w:bookmarkStart w:id="129" w:name="OLE_LINK434"/>
      <w:r w:rsidRPr="00F153F6">
        <w:rPr>
          <w:rFonts w:ascii="Times New Roman" w:eastAsia="Times New Roman" w:hAnsi="Times New Roman" w:cs="Times New Roman"/>
          <w:b/>
          <w:bCs/>
          <w:i/>
          <w:color w:val="000000" w:themeColor="text1"/>
          <w:sz w:val="24"/>
          <w:szCs w:val="24"/>
        </w:rPr>
        <w:t>an</w:t>
      </w:r>
      <w:r w:rsidRPr="00F153F6">
        <w:rPr>
          <w:rFonts w:ascii="Times New Roman" w:eastAsia="Times New Roman" w:hAnsi="Times New Roman" w:cs="Times New Roman"/>
          <w:iCs/>
          <w:color w:val="000000" w:themeColor="text1"/>
          <w:sz w:val="24"/>
          <w:szCs w:val="24"/>
        </w:rPr>
        <w:t xml:space="preserve"> </w:t>
      </w:r>
      <w:r w:rsidRPr="00F153F6">
        <w:rPr>
          <w:rFonts w:ascii="Times New Roman" w:eastAsia="Times New Roman" w:hAnsi="Times New Roman" w:cs="Times New Roman"/>
          <w:b/>
          <w:bCs/>
          <w:i/>
          <w:color w:val="000000" w:themeColor="text1"/>
          <w:sz w:val="24"/>
          <w:szCs w:val="24"/>
        </w:rPr>
        <w:t>iterative, interactive, multidirectional, dynamic, non-linear and know-do process by which knowledge is created, shared, stored and applied, reflecting a mobilisation of knowledge into practice.</w:t>
      </w:r>
      <w:bookmarkEnd w:id="128"/>
      <w:bookmarkEnd w:id="129"/>
      <w:r w:rsidRPr="00F153F6">
        <w:rPr>
          <w:rFonts w:ascii="Times New Roman" w:eastAsia="Times New Roman" w:hAnsi="Times New Roman" w:cs="Times New Roman"/>
          <w:b/>
          <w:bCs/>
          <w:i/>
          <w:color w:val="000000" w:themeColor="text1"/>
          <w:sz w:val="24"/>
          <w:szCs w:val="24"/>
        </w:rPr>
        <w:t xml:space="preserve"> </w:t>
      </w:r>
    </w:p>
    <w:p w14:paraId="35EBACEB" w14:textId="092D1A7A" w:rsidR="00B918CF" w:rsidRPr="00F153F6" w:rsidRDefault="00B918C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By synthesising the literature, there are five phases that shape the process</w:t>
      </w:r>
      <w:r w:rsidR="002C1A2F" w:rsidRPr="00F153F6">
        <w:rPr>
          <w:rFonts w:ascii="Times New Roman" w:eastAsia="Times New Roman" w:hAnsi="Times New Roman" w:cs="Times New Roman"/>
          <w:iCs/>
          <w:color w:val="000000" w:themeColor="text1"/>
          <w:sz w:val="24"/>
          <w:szCs w:val="24"/>
        </w:rPr>
        <w:t xml:space="preserve"> of knowledge exchange: knowledge exploration; existing knowledge exploitation; context evaluation; intervention; and knowledge application. </w:t>
      </w:r>
      <w:r w:rsidRPr="00F153F6">
        <w:rPr>
          <w:rFonts w:ascii="Times New Roman" w:eastAsia="Times New Roman" w:hAnsi="Times New Roman" w:cs="Times New Roman"/>
          <w:iCs/>
          <w:color w:val="000000" w:themeColor="text1"/>
          <w:sz w:val="24"/>
          <w:szCs w:val="24"/>
        </w:rPr>
        <w:t>These phases are explained in the ensuing narratives with more details</w:t>
      </w:r>
      <w:r w:rsidR="002C1A2F" w:rsidRPr="00F153F6">
        <w:rPr>
          <w:rFonts w:ascii="Times New Roman" w:eastAsia="Times New Roman" w:hAnsi="Times New Roman" w:cs="Times New Roman"/>
          <w:iCs/>
          <w:color w:val="000000" w:themeColor="text1"/>
          <w:sz w:val="24"/>
          <w:szCs w:val="24"/>
        </w:rPr>
        <w:t xml:space="preserve">. </w:t>
      </w:r>
    </w:p>
    <w:p w14:paraId="23FBAEC9" w14:textId="7A7A91E4" w:rsidR="002C1A2F" w:rsidRPr="00F153F6" w:rsidRDefault="0010651F" w:rsidP="004424B4">
      <w:pPr>
        <w:spacing w:line="360" w:lineRule="auto"/>
        <w:jc w:val="both"/>
        <w:rPr>
          <w:rFonts w:ascii="Times New Roman" w:eastAsia="Times New Roman" w:hAnsi="Times New Roman" w:cs="Times New Roman"/>
          <w:iCs/>
          <w:color w:val="000000" w:themeColor="text1"/>
          <w:sz w:val="24"/>
          <w:szCs w:val="24"/>
        </w:rPr>
      </w:pPr>
      <w:bookmarkStart w:id="130" w:name="OLE_LINK431"/>
      <w:bookmarkStart w:id="131" w:name="OLE_LINK432"/>
      <w:r w:rsidRPr="00F153F6">
        <w:rPr>
          <w:rFonts w:ascii="Times New Roman" w:eastAsia="Times New Roman" w:hAnsi="Times New Roman" w:cs="Times New Roman"/>
          <w:b/>
          <w:bCs/>
          <w:iCs/>
          <w:color w:val="000000" w:themeColor="text1"/>
          <w:sz w:val="24"/>
          <w:szCs w:val="24"/>
        </w:rPr>
        <w:lastRenderedPageBreak/>
        <w:t>K</w:t>
      </w:r>
      <w:r w:rsidR="002C1A2F" w:rsidRPr="00F153F6">
        <w:rPr>
          <w:rFonts w:ascii="Times New Roman" w:eastAsia="Times New Roman" w:hAnsi="Times New Roman" w:cs="Times New Roman"/>
          <w:b/>
          <w:bCs/>
          <w:iCs/>
          <w:color w:val="000000" w:themeColor="text1"/>
          <w:sz w:val="24"/>
          <w:szCs w:val="24"/>
        </w:rPr>
        <w:t xml:space="preserve">nowledge </w:t>
      </w:r>
      <w:r w:rsidR="00B54178" w:rsidRPr="00F153F6">
        <w:rPr>
          <w:rFonts w:ascii="Times New Roman" w:eastAsia="Times New Roman" w:hAnsi="Times New Roman" w:cs="Times New Roman"/>
          <w:b/>
          <w:bCs/>
          <w:iCs/>
          <w:color w:val="000000" w:themeColor="text1"/>
          <w:sz w:val="24"/>
          <w:szCs w:val="24"/>
        </w:rPr>
        <w:t>exploration</w:t>
      </w:r>
      <w:r w:rsidR="002C1A2F" w:rsidRPr="00F153F6">
        <w:rPr>
          <w:rFonts w:ascii="Times New Roman" w:eastAsia="Times New Roman" w:hAnsi="Times New Roman" w:cs="Times New Roman"/>
          <w:b/>
          <w:bCs/>
          <w:iCs/>
          <w:color w:val="000000" w:themeColor="text1"/>
          <w:sz w:val="24"/>
          <w:szCs w:val="24"/>
        </w:rPr>
        <w:t xml:space="preserve"> </w:t>
      </w:r>
      <w:r w:rsidR="002C1A2F" w:rsidRPr="00F153F6">
        <w:rPr>
          <w:rFonts w:ascii="Times New Roman" w:eastAsia="Times New Roman" w:hAnsi="Times New Roman" w:cs="Times New Roman"/>
          <w:iCs/>
          <w:color w:val="000000" w:themeColor="text1"/>
          <w:sz w:val="24"/>
          <w:szCs w:val="24"/>
        </w:rPr>
        <w:t xml:space="preserve">reflects the </w:t>
      </w:r>
      <w:r w:rsidR="00B54178" w:rsidRPr="00F153F6">
        <w:rPr>
          <w:rFonts w:ascii="Times New Roman" w:eastAsia="Times New Roman" w:hAnsi="Times New Roman" w:cs="Times New Roman"/>
          <w:iCs/>
          <w:color w:val="000000" w:themeColor="text1"/>
          <w:sz w:val="24"/>
          <w:szCs w:val="24"/>
        </w:rPr>
        <w:t>seeking process</w:t>
      </w:r>
      <w:r w:rsidR="002C1A2F" w:rsidRPr="00F153F6">
        <w:rPr>
          <w:rFonts w:ascii="Times New Roman" w:eastAsia="Times New Roman" w:hAnsi="Times New Roman" w:cs="Times New Roman"/>
          <w:iCs/>
          <w:color w:val="000000" w:themeColor="text1"/>
          <w:sz w:val="24"/>
          <w:szCs w:val="24"/>
        </w:rPr>
        <w:t xml:space="preserve"> </w:t>
      </w:r>
      <w:r w:rsidR="00B54178" w:rsidRPr="00F153F6">
        <w:rPr>
          <w:rFonts w:ascii="Times New Roman" w:eastAsia="Times New Roman" w:hAnsi="Times New Roman" w:cs="Times New Roman"/>
          <w:iCs/>
          <w:color w:val="000000" w:themeColor="text1"/>
          <w:sz w:val="24"/>
          <w:szCs w:val="24"/>
        </w:rPr>
        <w:t>in</w:t>
      </w:r>
      <w:r w:rsidR="002C1A2F" w:rsidRPr="00F153F6">
        <w:rPr>
          <w:rFonts w:ascii="Times New Roman" w:eastAsia="Times New Roman" w:hAnsi="Times New Roman" w:cs="Times New Roman"/>
          <w:iCs/>
          <w:color w:val="000000" w:themeColor="text1"/>
          <w:sz w:val="24"/>
          <w:szCs w:val="24"/>
        </w:rPr>
        <w:t xml:space="preserve"> knowledge exchange</w:t>
      </w:r>
      <w:r w:rsidR="00B54178" w:rsidRPr="00F153F6">
        <w:rPr>
          <w:rFonts w:ascii="Times New Roman" w:eastAsia="Times New Roman" w:hAnsi="Times New Roman" w:cs="Times New Roman"/>
          <w:iCs/>
          <w:color w:val="000000" w:themeColor="text1"/>
          <w:sz w:val="24"/>
          <w:szCs w:val="24"/>
        </w:rPr>
        <w:t xml:space="preserve"> practice</w:t>
      </w:r>
      <w:r w:rsidR="002C1A2F" w:rsidRPr="00F153F6">
        <w:rPr>
          <w:rFonts w:ascii="Times New Roman" w:eastAsia="Times New Roman" w:hAnsi="Times New Roman" w:cs="Times New Roman"/>
          <w:iCs/>
          <w:color w:val="000000" w:themeColor="text1"/>
          <w:sz w:val="24"/>
          <w:szCs w:val="24"/>
        </w:rPr>
        <w:t xml:space="preserve">. </w:t>
      </w:r>
      <w:r w:rsidR="00B54178" w:rsidRPr="00F153F6">
        <w:rPr>
          <w:rFonts w:ascii="Times New Roman" w:eastAsia="Times New Roman" w:hAnsi="Times New Roman" w:cs="Times New Roman"/>
          <w:iCs/>
          <w:color w:val="000000" w:themeColor="text1"/>
          <w:sz w:val="24"/>
          <w:szCs w:val="24"/>
        </w:rPr>
        <w:t>New</w:t>
      </w:r>
      <w:r w:rsidR="002C1A2F" w:rsidRPr="00F153F6">
        <w:rPr>
          <w:rFonts w:ascii="Times New Roman" w:eastAsia="Times New Roman" w:hAnsi="Times New Roman" w:cs="Times New Roman"/>
          <w:iCs/>
          <w:color w:val="000000" w:themeColor="text1"/>
          <w:sz w:val="24"/>
          <w:szCs w:val="24"/>
        </w:rPr>
        <w:t xml:space="preserve"> knowledge or a problem </w:t>
      </w:r>
      <w:r w:rsidR="00B54178" w:rsidRPr="00F153F6">
        <w:rPr>
          <w:rFonts w:ascii="Times New Roman" w:eastAsia="Times New Roman" w:hAnsi="Times New Roman" w:cs="Times New Roman"/>
          <w:iCs/>
          <w:color w:val="000000" w:themeColor="text1"/>
          <w:sz w:val="24"/>
          <w:szCs w:val="24"/>
        </w:rPr>
        <w:t>could be sought through knowledge exploration</w:t>
      </w:r>
      <w:r w:rsidR="002C1A2F" w:rsidRPr="00F153F6">
        <w:rPr>
          <w:rFonts w:ascii="Times New Roman" w:eastAsia="Times New Roman" w:hAnsi="Times New Roman" w:cs="Times New Roman"/>
          <w:iCs/>
          <w:color w:val="000000" w:themeColor="text1"/>
          <w:sz w:val="24"/>
          <w:szCs w:val="24"/>
        </w:rPr>
        <w:t xml:space="preserve"> and this </w:t>
      </w:r>
      <w:r w:rsidR="00B54178" w:rsidRPr="00F153F6">
        <w:rPr>
          <w:rFonts w:ascii="Times New Roman" w:eastAsia="Times New Roman" w:hAnsi="Times New Roman" w:cs="Times New Roman"/>
          <w:iCs/>
          <w:color w:val="000000" w:themeColor="text1"/>
          <w:sz w:val="24"/>
          <w:szCs w:val="24"/>
        </w:rPr>
        <w:t>can</w:t>
      </w:r>
      <w:r w:rsidR="002C1A2F" w:rsidRPr="00F153F6">
        <w:rPr>
          <w:rFonts w:ascii="Times New Roman" w:eastAsia="Times New Roman" w:hAnsi="Times New Roman" w:cs="Times New Roman"/>
          <w:iCs/>
          <w:color w:val="000000" w:themeColor="text1"/>
          <w:sz w:val="24"/>
          <w:szCs w:val="24"/>
        </w:rPr>
        <w:t xml:space="preserve"> evolve continuously </w:t>
      </w:r>
      <w:r w:rsidR="002C1A2F" w:rsidRPr="00F153F6">
        <w:rPr>
          <w:rFonts w:ascii="Times New Roman" w:hAnsi="Times New Roman" w:cs="Times New Roman"/>
          <w:color w:val="000000" w:themeColor="text1"/>
          <w:sz w:val="24"/>
          <w:szCs w:val="24"/>
        </w:rPr>
        <w:fldChar w:fldCharType="begin"/>
      </w:r>
      <w:r w:rsidR="002C1A2F" w:rsidRPr="00F153F6">
        <w:rPr>
          <w:rFonts w:ascii="Times New Roman" w:eastAsia="Times New Roman" w:hAnsi="Times New Roman" w:cs="Times New Roman"/>
          <w:iCs/>
          <w:color w:val="000000" w:themeColor="text1"/>
          <w:sz w:val="24"/>
          <w:szCs w:val="24"/>
        </w:rPr>
        <w:instrText xml:space="preserve"> ADDIN ZOTERO_ITEM CSL_CITATION {"citationID":"T9RHY9Kw","properties":{"formattedCitation":"(Ward et al., 2012)","plainCitation":"(Ward et al., 2012)","noteIndex":0},"citationItems":[{"id":989,"uris":["http://zotero.org/users/5709166/items/4UBMS5ZA"],"itemData":{"id":989,"type":"article-journal","abstract":"Knowledge translation is underpinned by a dynamic and social knowledge exchange process but there are few descriptions of how this unfolds in practice settings. This has hampered attempts to produce realistic and useful models to help policymakers and researchers understand how knowledge exchange works. This paper reports the results of research which investigated the nature of knowledge exchange. We aimed to understand whether dynamic and fluid definitions of knowledge exchange are valid and to produce a realistic, descriptive framework of knowledge exchange. Our research was informed by a realist approach. We embedded a knowledge broker within three service delivery teams across a mental health organisation in the UK, each of whom was grappling with specific challenges. The knowledge broker participated in the team’s problem-solving process and collected observational fieldnotes. We also interviewed the team members. Observational and interview data were analysed quantitatively and qualitatively in order to determine and describe the nature of the knowledge exchange process in more detail. This enabled us to refine our conceptual framework of knowledge exchange. We found that knowledge exchange can be understood as a dynamic and fluid process which incorporates distinct forms of knowledge from multiple sources. Quantitative analysis illustrated that five broadly-defined components of knowledge exchange (problem, context, knowledge, activities, use) can all be in play at any one time and do not occur in a set order. Qualitative analysis revealed a number of distinct themes which better described the nature of knowledge exchange. By shedding light on the nature of knowledge exchange, our findings problematise some of the linear, technicist approaches to knowledge translation. The revised model of knowledge exchange which we propose here could therefore help to reorient thinking about knowledge exchange and act as a starting point for further exploration and evaluation of the knowledge exchange process.","collection-title":"Part Special Issue: Organization studies and the analysis of health systems","container-title":"Social Science &amp; Medicine","DOI":"10.1016/j.socscimed.2011.09.021","ISSN":"0277-9536","issue":"3","journalAbbreviation":"Social Science &amp; Medicine","page":"297-304","source":"ScienceDirect","title":"Exploring knowledge exchange: A useful framework for practice and policy","title-short":"Exploring knowledge exchange","volume":"74","author":[{"family":"Ward","given":"Vicky"},{"family":"Smith","given":"Simon"},{"family":"House","given":"Allan"},{"family":"Hamer","given":"Susan"}],"issued":{"date-parts":[["2012",2,1]]}}}],"schema":"https://github.com/citation-style-language/schema/raw/master/csl-citation.json"} </w:instrText>
      </w:r>
      <w:r w:rsidR="002C1A2F" w:rsidRPr="00F153F6">
        <w:rPr>
          <w:rFonts w:ascii="Times New Roman" w:hAnsi="Times New Roman" w:cs="Times New Roman"/>
          <w:color w:val="000000" w:themeColor="text1"/>
          <w:sz w:val="24"/>
          <w:szCs w:val="24"/>
        </w:rPr>
        <w:fldChar w:fldCharType="separate"/>
      </w:r>
      <w:r w:rsidR="002C1A2F" w:rsidRPr="00F153F6">
        <w:rPr>
          <w:rFonts w:ascii="Times New Roman" w:eastAsia="Times New Roman" w:hAnsi="Times New Roman" w:cs="Times New Roman"/>
          <w:iCs/>
          <w:color w:val="000000" w:themeColor="text1"/>
          <w:sz w:val="24"/>
          <w:szCs w:val="24"/>
        </w:rPr>
        <w:t>(Ward et al., 2012)</w:t>
      </w:r>
      <w:r w:rsidR="002C1A2F" w:rsidRPr="00F153F6">
        <w:rPr>
          <w:rFonts w:ascii="Times New Roman" w:hAnsi="Times New Roman" w:cs="Times New Roman"/>
          <w:color w:val="000000" w:themeColor="text1"/>
          <w:sz w:val="24"/>
          <w:szCs w:val="24"/>
        </w:rPr>
        <w:fldChar w:fldCharType="end"/>
      </w:r>
      <w:r w:rsidR="002C1A2F" w:rsidRPr="00F153F6">
        <w:rPr>
          <w:rFonts w:ascii="Times New Roman" w:eastAsia="Times New Roman" w:hAnsi="Times New Roman" w:cs="Times New Roman"/>
          <w:iCs/>
          <w:color w:val="000000" w:themeColor="text1"/>
          <w:sz w:val="24"/>
          <w:szCs w:val="24"/>
        </w:rPr>
        <w:t>.</w:t>
      </w:r>
      <w:r w:rsidR="00B54178" w:rsidRPr="00F153F6">
        <w:rPr>
          <w:rFonts w:ascii="Times New Roman" w:eastAsia="Times New Roman" w:hAnsi="Times New Roman" w:cs="Times New Roman"/>
          <w:iCs/>
          <w:color w:val="000000" w:themeColor="text1"/>
          <w:sz w:val="24"/>
          <w:szCs w:val="24"/>
        </w:rPr>
        <w:t xml:space="preserve"> March </w:t>
      </w:r>
      <w:r w:rsidR="00B54178" w:rsidRPr="00F153F6">
        <w:rPr>
          <w:rFonts w:ascii="Times New Roman" w:eastAsia="Times New Roman" w:hAnsi="Times New Roman" w:cs="Times New Roman"/>
          <w:iCs/>
          <w:color w:val="000000" w:themeColor="text1"/>
          <w:sz w:val="24"/>
          <w:szCs w:val="24"/>
        </w:rPr>
        <w:fldChar w:fldCharType="begin"/>
      </w:r>
      <w:r w:rsidR="00B54178" w:rsidRPr="00F153F6">
        <w:rPr>
          <w:rFonts w:ascii="Times New Roman" w:eastAsia="Times New Roman" w:hAnsi="Times New Roman" w:cs="Times New Roman"/>
          <w:iCs/>
          <w:color w:val="000000" w:themeColor="text1"/>
          <w:sz w:val="24"/>
          <w:szCs w:val="24"/>
        </w:rPr>
        <w:instrText xml:space="preserve"> ADDIN ZOTERO_ITEM CSL_CITATION {"citationID":"8U9yICIo","properties":{"formattedCitation":"(1991)","plainCitation":"(1991)","noteIndex":0},"citationItems":[{"id":10009,"uris":["http://zotero.org/users/5709166/items/MK8X7RCX"],"itemData":{"id":10009,"type":"article-journal","container-title":"Organization Science","issue":"1,","language":"en","page":"71-87","source":"Zotero","title":"Exploration and Exploitation in Organizational Learning","volume":"2","author":[{"family":"March","given":"James G."}],"issued":{"date-parts":[["1991"]]}},"label":"page","suppress-author":true}],"schema":"https://github.com/citation-style-language/schema/raw/master/csl-citation.json"} </w:instrText>
      </w:r>
      <w:r w:rsidR="00B54178" w:rsidRPr="00F153F6">
        <w:rPr>
          <w:rFonts w:ascii="Times New Roman" w:eastAsia="Times New Roman" w:hAnsi="Times New Roman" w:cs="Times New Roman"/>
          <w:iCs/>
          <w:color w:val="000000" w:themeColor="text1"/>
          <w:sz w:val="24"/>
          <w:szCs w:val="24"/>
        </w:rPr>
        <w:fldChar w:fldCharType="separate"/>
      </w:r>
      <w:r w:rsidR="00B54178" w:rsidRPr="00F153F6">
        <w:rPr>
          <w:rFonts w:ascii="Times New Roman" w:hAnsi="Times New Roman" w:cs="Times New Roman"/>
          <w:sz w:val="24"/>
          <w:szCs w:val="24"/>
        </w:rPr>
        <w:t>(1991)</w:t>
      </w:r>
      <w:r w:rsidR="00B54178" w:rsidRPr="00F153F6">
        <w:rPr>
          <w:rFonts w:ascii="Times New Roman" w:eastAsia="Times New Roman" w:hAnsi="Times New Roman" w:cs="Times New Roman"/>
          <w:iCs/>
          <w:color w:val="000000" w:themeColor="text1"/>
          <w:sz w:val="24"/>
          <w:szCs w:val="24"/>
        </w:rPr>
        <w:fldChar w:fldCharType="end"/>
      </w:r>
      <w:r w:rsidR="00B54178" w:rsidRPr="00F153F6">
        <w:rPr>
          <w:rFonts w:ascii="Times New Roman" w:eastAsia="Times New Roman" w:hAnsi="Times New Roman" w:cs="Times New Roman"/>
          <w:iCs/>
          <w:color w:val="000000" w:themeColor="text1"/>
          <w:sz w:val="24"/>
          <w:szCs w:val="24"/>
        </w:rPr>
        <w:t xml:space="preserve"> argues that knowledge exploration is a key process that facilitate organisational learning by recurrently seeking and requiring new knowledge from other contexts. Other scholars also argue that knowledge is exchanged when it is desired or sought </w:t>
      </w:r>
      <w:r w:rsidR="00B54178" w:rsidRPr="00F153F6">
        <w:rPr>
          <w:rFonts w:ascii="Times New Roman" w:eastAsia="Times New Roman" w:hAnsi="Times New Roman" w:cs="Times New Roman"/>
          <w:iCs/>
          <w:color w:val="000000" w:themeColor="text1"/>
          <w:sz w:val="24"/>
          <w:szCs w:val="24"/>
        </w:rPr>
        <w:fldChar w:fldCharType="begin"/>
      </w:r>
      <w:r w:rsidR="00B54178" w:rsidRPr="00F153F6">
        <w:rPr>
          <w:rFonts w:ascii="Times New Roman" w:eastAsia="Times New Roman" w:hAnsi="Times New Roman" w:cs="Times New Roman"/>
          <w:iCs/>
          <w:color w:val="000000" w:themeColor="text1"/>
          <w:sz w:val="24"/>
          <w:szCs w:val="24"/>
        </w:rPr>
        <w:instrText xml:space="preserve"> ADDIN ZOTERO_ITEM CSL_CITATION {"citationID":"cZVbIomu","properties":{"formattedCitation":"(Davison et al., 2018)","plainCitation":"(Davison et al., 2018)","noteIndex":0},"citationItems":[{"id":2204,"uris":["http://zotero.org/users/5709166/items/4NJVIRUH"],"itemData":{"id":2204,"type":"article-journal","abstract":"The employees of professional service ﬁrms regularly engage in various knowledge-related activities, including the seeking and sharing of knowledge with other people; we refer to this process as interpersonal knowledge exchange (IKE). Two prominent drivers of IKE in China are the socio-cultural concept of guanxi and social media. We conduct an interpretive investigation into IKE, collecting qualitative data from employees in three Chinese organizations. We explore how guanxi lubricates the social media-based communication practices that are central to IKE in China. We report and generalise our ﬁndings into theoretical propositions, discuss the practical implications, and identify opportunities for future research.","container-title":"Information &amp; Management","DOI":"10.1016/j.im.2017.05.008","ISSN":"03787206","issue":"2","language":"en","page":"224-234","source":"Crossref","title":"Interpersonal knowledge exchange in China: The impact of guanxi and social media","title-short":"Interpersonal knowledge exchange in China","volume":"55","author":[{"family":"Davison","given":"Robert M."},{"family":"Ou","given":"Carol X.J."},{"family":"Martinsons","given":"Maris G."}],"issued":{"date-parts":[["2018",3]]}}}],"schema":"https://github.com/citation-style-language/schema/raw/master/csl-citation.json"} </w:instrText>
      </w:r>
      <w:r w:rsidR="00B54178" w:rsidRPr="00F153F6">
        <w:rPr>
          <w:rFonts w:ascii="Times New Roman" w:eastAsia="Times New Roman" w:hAnsi="Times New Roman" w:cs="Times New Roman"/>
          <w:iCs/>
          <w:color w:val="000000" w:themeColor="text1"/>
          <w:sz w:val="24"/>
          <w:szCs w:val="24"/>
        </w:rPr>
        <w:fldChar w:fldCharType="separate"/>
      </w:r>
      <w:r w:rsidR="00B54178" w:rsidRPr="00F153F6">
        <w:rPr>
          <w:rFonts w:ascii="Times New Roman" w:hAnsi="Times New Roman" w:cs="Times New Roman"/>
          <w:sz w:val="24"/>
          <w:szCs w:val="24"/>
        </w:rPr>
        <w:t>(Davison et al., 2018)</w:t>
      </w:r>
      <w:r w:rsidR="00B54178" w:rsidRPr="00F153F6">
        <w:rPr>
          <w:rFonts w:ascii="Times New Roman" w:eastAsia="Times New Roman" w:hAnsi="Times New Roman" w:cs="Times New Roman"/>
          <w:iCs/>
          <w:color w:val="000000" w:themeColor="text1"/>
          <w:sz w:val="24"/>
          <w:szCs w:val="24"/>
        </w:rPr>
        <w:fldChar w:fldCharType="end"/>
      </w:r>
      <w:r w:rsidR="00B54178" w:rsidRPr="00F153F6">
        <w:rPr>
          <w:rFonts w:ascii="Times New Roman" w:eastAsia="Times New Roman" w:hAnsi="Times New Roman" w:cs="Times New Roman"/>
          <w:iCs/>
          <w:color w:val="000000" w:themeColor="text1"/>
          <w:sz w:val="24"/>
          <w:szCs w:val="24"/>
        </w:rPr>
        <w:t>.</w:t>
      </w:r>
      <w:r w:rsidR="002C1A2F" w:rsidRPr="00F153F6">
        <w:rPr>
          <w:rFonts w:ascii="Times New Roman" w:eastAsia="Times New Roman" w:hAnsi="Times New Roman" w:cs="Times New Roman"/>
          <w:iCs/>
          <w:color w:val="000000" w:themeColor="text1"/>
          <w:sz w:val="24"/>
          <w:szCs w:val="24"/>
        </w:rPr>
        <w:t xml:space="preserve"> </w:t>
      </w:r>
      <w:r w:rsidR="00B54178" w:rsidRPr="00F153F6">
        <w:rPr>
          <w:rFonts w:ascii="Times New Roman" w:hAnsi="Times New Roman" w:cs="Times New Roman"/>
          <w:color w:val="000000" w:themeColor="text1"/>
          <w:sz w:val="24"/>
          <w:szCs w:val="24"/>
        </w:rPr>
        <w:t>Knowledge exploration thus represents an important process in knowledge exchange practice</w:t>
      </w:r>
      <w:r w:rsidR="002C1A2F" w:rsidRPr="00F153F6">
        <w:rPr>
          <w:rFonts w:ascii="Times New Roman" w:hAnsi="Times New Roman" w:cs="Times New Roman"/>
          <w:color w:val="000000" w:themeColor="text1"/>
          <w:sz w:val="24"/>
          <w:szCs w:val="24"/>
        </w:rPr>
        <w:t xml:space="preserve">. </w:t>
      </w:r>
    </w:p>
    <w:p w14:paraId="096D208D" w14:textId="070950CE"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b/>
          <w:bCs/>
          <w:iCs/>
          <w:color w:val="000000" w:themeColor="text1"/>
          <w:sz w:val="24"/>
          <w:szCs w:val="24"/>
        </w:rPr>
        <w:t xml:space="preserve">Extant knowledge exploitation </w:t>
      </w:r>
      <w:r w:rsidRPr="00F153F6">
        <w:rPr>
          <w:rFonts w:ascii="Times New Roman" w:eastAsia="Times New Roman" w:hAnsi="Times New Roman" w:cs="Times New Roman"/>
          <w:iCs/>
          <w:color w:val="000000" w:themeColor="text1"/>
          <w:sz w:val="24"/>
          <w:szCs w:val="24"/>
        </w:rPr>
        <w:t xml:space="preserve">refers to the </w:t>
      </w:r>
      <w:r w:rsidR="00DC241F" w:rsidRPr="00F153F6">
        <w:rPr>
          <w:rFonts w:ascii="Times New Roman" w:eastAsia="Times New Roman" w:hAnsi="Times New Roman" w:cs="Times New Roman"/>
          <w:iCs/>
          <w:color w:val="000000" w:themeColor="text1"/>
          <w:sz w:val="24"/>
          <w:szCs w:val="24"/>
        </w:rPr>
        <w:t>synthesis</w:t>
      </w:r>
      <w:r w:rsidRPr="00F153F6">
        <w:rPr>
          <w:rFonts w:ascii="Times New Roman" w:eastAsia="Times New Roman" w:hAnsi="Times New Roman" w:cs="Times New Roman"/>
          <w:iCs/>
          <w:color w:val="000000" w:themeColor="text1"/>
          <w:sz w:val="24"/>
          <w:szCs w:val="24"/>
        </w:rPr>
        <w:t xml:space="preserve"> and exploitation of existing evidence or knowledge. In order to </w:t>
      </w:r>
      <w:r w:rsidR="00DC241F" w:rsidRPr="00F153F6">
        <w:rPr>
          <w:rFonts w:ascii="Times New Roman" w:eastAsia="Times New Roman" w:hAnsi="Times New Roman" w:cs="Times New Roman"/>
          <w:iCs/>
          <w:color w:val="000000" w:themeColor="text1"/>
          <w:sz w:val="24"/>
          <w:szCs w:val="24"/>
        </w:rPr>
        <w:t>create new</w:t>
      </w:r>
      <w:r w:rsidRPr="00F153F6">
        <w:rPr>
          <w:rFonts w:ascii="Times New Roman" w:eastAsia="Times New Roman" w:hAnsi="Times New Roman" w:cs="Times New Roman"/>
          <w:iCs/>
          <w:color w:val="000000" w:themeColor="text1"/>
          <w:sz w:val="24"/>
          <w:szCs w:val="24"/>
        </w:rPr>
        <w:t xml:space="preserve"> knowledge, it is necessary to synthesise existing relevant </w:t>
      </w:r>
      <w:r w:rsidR="00DC241F" w:rsidRPr="00F153F6">
        <w:rPr>
          <w:rFonts w:ascii="Times New Roman" w:eastAsia="Times New Roman" w:hAnsi="Times New Roman" w:cs="Times New Roman"/>
          <w:iCs/>
          <w:color w:val="000000" w:themeColor="text1"/>
          <w:sz w:val="24"/>
          <w:szCs w:val="24"/>
        </w:rPr>
        <w:t>knowledge</w:t>
      </w:r>
      <w:r w:rsidRPr="00F153F6">
        <w:rPr>
          <w:rFonts w:ascii="Times New Roman" w:eastAsia="Times New Roman" w:hAnsi="Times New Roman" w:cs="Times New Roman"/>
          <w:iCs/>
          <w:color w:val="000000" w:themeColor="text1"/>
          <w:sz w:val="24"/>
          <w:szCs w:val="24"/>
        </w:rPr>
        <w:t xml:space="preserve"> and interpret why it fits into the specific context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b/>
          <w:bCs/>
          <w:color w:val="000000" w:themeColor="text1"/>
          <w:sz w:val="24"/>
          <w:szCs w:val="24"/>
        </w:rPr>
        <w:instrText xml:space="preserve"> ADDIN ZOTERO_ITEM CSL_CITATION {"citationID":"UMNPCdM8","properties":{"formattedCitation":"(Murnaghan et al., 2013)","plainCitation":"(Murnaghan et al., 2013)","noteIndex":0},"citationItems":[{"id":2098,"uris":["http://zotero.org/users/5709166/items/5XHIQZQD"],"itemData":{"id":2098,"type":"article-journal","abstract":"Introduction: The research teams undertook a case study design using a common analytical framework to investigate three provincial (Prince Edward Island, New Brunswick and Manitoba) knowledge exchange systems. These three knowledge exchange systems seek to generate and enhance the use of evidence in policy development, program planning and evaluation to improve youth health and chronic disease prevention.","container-title":"Chronic Diseases and Injuries in Canada","issue":"4","language":"en","page":"10","source":"Zotero","title":"Knowledge exchange systems for youth health and chronic disease prevention: a tri-provincial case study","volume":"33","author":[{"family":"Murnaghan","given":"D"},{"family":"Morrison","given":"W"},{"family":"Griffith","given":"E J"},{"family":"Bell","given":"B L"},{"family":"Duffley","given":"L A"},{"family":"McGarry","given":"K"},{"family":"Manske","given":"S"}],"issued":{"date-parts":[["2013"]]}}}],"schema":"https://github.com/citation-style-language/schema/raw/master/csl-citation.json"}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(Murnaghan et al., 2013)</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Ward et al.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{"citationID":"a202alc3fed","properties":{"formattedCitation":"(2009)","plainCitation":"(2009)","noteIndex":0},"citationItems":[{"id":1965,"uris":["http://zotero.org/users/5709166/items/H2XJPPCT"],"itemData":{"id":1965,"type":"article-journal","abstract":"Objectives: Although there is widespread agreement about the importance of transferring knowledge into action, we still lack high quality information about what works, in which settings and with whom. While there are a large number of models and theories for knowledge transfer interventions, the majority are untested, meaning that their applicability and relevance is largely unknown. This paper describes the development of a conceptual framework of translating knowledge into action and discusses how it can be used for developing a useful model of the knowledge transfer process.\nMethods: A narrative review of the knowledge transfer literature identiﬁed 28 different models which explained all or part of the knowledge transfer process. The models were subjected to a thematic analysis to identify individual components and the types of processes used when transferring knowledge into action. The results were used to build a conceptual framework of the process.\nResults: Five common components of the knowledge transfer process were identiﬁed: problem identiﬁcation and communication; knowledge/research development and selection; analysis of context; knowledge transfer activities or interventions; and knowledge/research utilization. We also identiﬁed three types of knowledge transfer processes: a linear process; a cyclical process; and a dynamic multidirectional process. From these results a conceptual framework of knowledge transfer was developed. The framework illustrates the ﬁve common components of the knowledge transfer process and shows that they are connected via a complex, multidirectional set of interactions. As such the framework allows for the individual components to occur simultaneously or in any given order and to occur more than once during the knowledge transfer process.\nConclusion: Our framework provides a foundation for gathering evidence from case studies of knowledge transfer interventions. We propose that future empirical work is designed to test and reﬁne the relevance, importance and applicability of each of the components in order to build a more useful model of knowledge transfer which can serve as a practical checklist for planning or evaluating knowledge transfer activities.","container-title":"Journal of Health Services Research &amp; Policy","DOI":"10.1258/jhsrp.2009.008120","ISSN":"1355-8196, 1758-1060","issue":"3","journalAbbreviation":"J Health Serv Res Policy","language":"en","page":"156-164","source":"DOI.org (Crossref)","title":"Developing a Framework for Transferring Knowledge Into Action: A Thematic Analysis of the Literature","title-short":"Developing a Framework for Transferring Knowledge Into Action","volume":"14","author":[{"family":"Ward","given":"Vicky"},{"family":"House","given":"Allan"},{"family":"Hamer","given":"Susan"}],"issued":{"date-parts":[["2009",7]]}},"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(2009)</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t>argue that knowledge exchange needs a research development process to analyse and select existing knowledge</w:t>
      </w:r>
      <w:r w:rsidR="00DC241F" w:rsidRPr="00F153F6">
        <w:rPr>
          <w:rFonts w:ascii="Times New Roman" w:hAnsi="Times New Roman" w:cs="Times New Roman"/>
          <w:color w:val="000000" w:themeColor="text1"/>
          <w:sz w:val="24"/>
          <w:szCs w:val="24"/>
        </w:rPr>
        <w:t xml:space="preserve"> through which new knowledge can be created</w:t>
      </w:r>
      <w:r w:rsidRPr="00F153F6">
        <w:rPr>
          <w:rFonts w:ascii="Times New Roman" w:hAnsi="Times New Roman" w:cs="Times New Roman"/>
          <w:color w:val="000000" w:themeColor="text1"/>
          <w:sz w:val="24"/>
          <w:szCs w:val="24"/>
        </w:rPr>
        <w:t xml:space="preserve">. Their later work also indicates that knowledge exploitation related activities, such as </w:t>
      </w:r>
      <w:r w:rsidR="00DC241F" w:rsidRPr="00F153F6">
        <w:rPr>
          <w:rFonts w:ascii="Times New Roman" w:hAnsi="Times New Roman" w:cs="Times New Roman"/>
          <w:color w:val="000000" w:themeColor="text1"/>
          <w:sz w:val="24"/>
          <w:szCs w:val="24"/>
        </w:rPr>
        <w:t>tailoring</w:t>
      </w:r>
      <w:r w:rsidRPr="00F153F6">
        <w:rPr>
          <w:rFonts w:ascii="Times New Roman" w:hAnsi="Times New Roman" w:cs="Times New Roman"/>
          <w:color w:val="000000" w:themeColor="text1"/>
          <w:sz w:val="24"/>
          <w:szCs w:val="24"/>
        </w:rPr>
        <w:t xml:space="preserve"> knowledge</w:t>
      </w:r>
      <w:r w:rsidR="00DC241F" w:rsidRPr="00F153F6">
        <w:rPr>
          <w:rFonts w:ascii="Times New Roman" w:hAnsi="Times New Roman" w:cs="Times New Roman"/>
          <w:color w:val="000000" w:themeColor="text1"/>
          <w:sz w:val="24"/>
          <w:szCs w:val="24"/>
        </w:rPr>
        <w:t xml:space="preserve"> and</w:t>
      </w:r>
      <w:r w:rsidRPr="00F153F6">
        <w:rPr>
          <w:rFonts w:ascii="Times New Roman" w:hAnsi="Times New Roman" w:cs="Times New Roman"/>
          <w:color w:val="000000" w:themeColor="text1"/>
          <w:sz w:val="24"/>
          <w:szCs w:val="24"/>
        </w:rPr>
        <w:t xml:space="preserve"> </w:t>
      </w:r>
      <w:r w:rsidR="00DC241F" w:rsidRPr="00F153F6">
        <w:rPr>
          <w:rFonts w:ascii="Times New Roman" w:hAnsi="Times New Roman" w:cs="Times New Roman"/>
          <w:color w:val="000000" w:themeColor="text1"/>
          <w:sz w:val="24"/>
          <w:szCs w:val="24"/>
        </w:rPr>
        <w:t>assessing</w:t>
      </w:r>
      <w:r w:rsidRPr="00F153F6">
        <w:rPr>
          <w:rFonts w:ascii="Times New Roman" w:hAnsi="Times New Roman" w:cs="Times New Roman"/>
          <w:color w:val="000000" w:themeColor="text1"/>
          <w:sz w:val="24"/>
          <w:szCs w:val="24"/>
        </w:rPr>
        <w:t xml:space="preserve"> knowledge, </w:t>
      </w:r>
      <w:r w:rsidR="00DC241F" w:rsidRPr="00F153F6">
        <w:rPr>
          <w:rFonts w:ascii="Times New Roman" w:hAnsi="Times New Roman" w:cs="Times New Roman"/>
          <w:color w:val="000000" w:themeColor="text1"/>
          <w:sz w:val="24"/>
          <w:szCs w:val="24"/>
        </w:rPr>
        <w:t>can enable</w:t>
      </w:r>
      <w:r w:rsidRPr="00F153F6">
        <w:rPr>
          <w:rFonts w:ascii="Times New Roman" w:hAnsi="Times New Roman" w:cs="Times New Roman"/>
          <w:color w:val="000000" w:themeColor="text1"/>
          <w:sz w:val="24"/>
          <w:szCs w:val="24"/>
        </w:rPr>
        <w:t xml:space="preserve"> </w:t>
      </w:r>
      <w:r w:rsidR="00DC241F" w:rsidRPr="00F153F6">
        <w:rPr>
          <w:rFonts w:ascii="Times New Roman" w:hAnsi="Times New Roman" w:cs="Times New Roman"/>
          <w:color w:val="000000" w:themeColor="text1"/>
          <w:sz w:val="24"/>
          <w:szCs w:val="24"/>
        </w:rPr>
        <w:t>a new</w:t>
      </w:r>
      <w:r w:rsidRPr="00F153F6">
        <w:rPr>
          <w:rFonts w:ascii="Times New Roman" w:hAnsi="Times New Roman" w:cs="Times New Roman"/>
          <w:color w:val="000000" w:themeColor="text1"/>
          <w:sz w:val="24"/>
          <w:szCs w:val="24"/>
        </w:rPr>
        <w:t xml:space="preserve"> understand</w:t>
      </w:r>
      <w:r w:rsidR="00DC241F" w:rsidRPr="00F153F6">
        <w:rPr>
          <w:rFonts w:ascii="Times New Roman" w:hAnsi="Times New Roman" w:cs="Times New Roman"/>
          <w:color w:val="000000" w:themeColor="text1"/>
          <w:sz w:val="24"/>
          <w:szCs w:val="24"/>
        </w:rPr>
        <w:t>ing on</w:t>
      </w:r>
      <w:r w:rsidRPr="00F153F6">
        <w:rPr>
          <w:rFonts w:ascii="Times New Roman" w:hAnsi="Times New Roman" w:cs="Times New Roman"/>
          <w:color w:val="000000" w:themeColor="text1"/>
          <w:sz w:val="24"/>
          <w:szCs w:val="24"/>
        </w:rPr>
        <w:t xml:space="preserve"> </w:t>
      </w:r>
      <w:r w:rsidR="00B54178" w:rsidRPr="00F153F6">
        <w:rPr>
          <w:rFonts w:ascii="Times New Roman" w:hAnsi="Times New Roman" w:cs="Times New Roman"/>
          <w:color w:val="000000" w:themeColor="text1"/>
          <w:sz w:val="24"/>
          <w:szCs w:val="24"/>
        </w:rPr>
        <w:t>the present</w:t>
      </w:r>
      <w:r w:rsidRPr="00F153F6">
        <w:rPr>
          <w:rFonts w:ascii="Times New Roman" w:hAnsi="Times New Roman" w:cs="Times New Roman"/>
          <w:color w:val="000000" w:themeColor="text1"/>
          <w:sz w:val="24"/>
          <w:szCs w:val="24"/>
        </w:rPr>
        <w:t xml:space="preserve"> knowledge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{"citationID":"EjAUuRbc","properties":{"formattedCitation":"(Ward et al., 2012)","plainCitation":"(Ward et al., 2012)","noteIndex":0},"citationItems":[{"id":989,"uris":["http://zotero.org/users/5709166/items/4UBMS5ZA"],"itemData":{"id":989,"type":"article-journal","abstract":"Knowledge translation is underpinned by a dynamic and social knowledge exchange process but there are few descriptions of how this unfolds in practice settings. This has hampered attempts to produce realistic and useful models to help policymakers and researchers understand how knowledge exchange works. This paper reports the results of research which investigated the nature of knowledge exchange. We aimed to understand whether dynamic and fluid definitions of knowledge exchange are valid and to produce a realistic, descriptive framework of knowledge exchange. Our research was informed by a realist approach. We embedded a knowledge broker within three service delivery teams across a mental health organisation in the UK, each of whom was grappling with specific challenges. The knowledge broker participated in the team’s problem-solving process and collected observational fieldnotes. We also interviewed the team members. Observational and interview data were analysed quantitatively and qualitatively in order to determine and describe the nature of the knowledge exchange process in more detail. This enabled us to refine our conceptual framework of knowledge exchange. We found that knowledge exchange can be understood as a dynamic and fluid process which incorporates distinct forms of knowledge from multiple sources. Quantitative analysis illustrated that five broadly-defined components of knowledge exchange (problem, context, knowledge, activities, use) can all be in play at any one time and do not occur in a set order. Qualitative analysis revealed a number of distinct themes which better described the nature of knowledge exchange. By shedding light on the nature of knowledge exchange, our findings problematise some of the linear, technicist approaches to knowledge translation. The revised model of knowledge exchange which we propose here could therefore help to reorient thinking about knowledge exchange and act as a starting point for further exploration and evaluation of the knowledge exchange process.","collection-title":"Part Special Issue: Organization studies and the analysis of health systems","container-title":"Social Science &amp; Medicine","DOI":"10.1016/j.socscimed.2011.09.021","ISSN":"0277-9536","issue":"3","journalAbbreviation":"Social Science &amp; Medicine","page":"297-304","source":"ScienceDirect","title":"Exploring knowledge exchange: A useful framework for practice and policy","title-short":"Exploring knowledge exchange","volume":"74","author":[{"family":"Ward","given":"Vicky"},{"family":"Smith","given":"Simon"},{"family":"House","given":"Allan"},{"family":"Hamer","given":"Susan"}],"issued":{"date-parts":[["2012",2,1]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eastAsia="Times New Roman" w:hAnsi="Times New Roman" w:cs="Times New Roman"/>
          <w:iCs/>
          <w:color w:val="000000" w:themeColor="text1"/>
          <w:sz w:val="24"/>
          <w:szCs w:val="24"/>
        </w:rPr>
        <w:t>(Ward et al., 2012)</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Therefore, existing knowledge exploitation plays a key role in the knowledge exchange process. </w:t>
      </w:r>
    </w:p>
    <w:p w14:paraId="3A86784C" w14:textId="3EDA5B76"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b/>
          <w:bCs/>
          <w:iCs/>
          <w:color w:val="000000" w:themeColor="text1"/>
          <w:sz w:val="24"/>
          <w:szCs w:val="24"/>
        </w:rPr>
        <w:t xml:space="preserve">Context </w:t>
      </w:r>
      <w:r w:rsidR="0010651F" w:rsidRPr="00F153F6">
        <w:rPr>
          <w:rFonts w:ascii="Times New Roman" w:eastAsia="Times New Roman" w:hAnsi="Times New Roman" w:cs="Times New Roman"/>
          <w:b/>
          <w:bCs/>
          <w:iCs/>
          <w:color w:val="000000" w:themeColor="text1"/>
          <w:sz w:val="24"/>
          <w:szCs w:val="24"/>
        </w:rPr>
        <w:t>construction</w:t>
      </w:r>
      <w:r w:rsidRPr="00F153F6">
        <w:rPr>
          <w:rFonts w:ascii="Times New Roman" w:eastAsia="Times New Roman" w:hAnsi="Times New Roman" w:cs="Times New Roman"/>
          <w:b/>
          <w:bCs/>
          <w:iCs/>
          <w:color w:val="000000" w:themeColor="text1"/>
          <w:sz w:val="24"/>
          <w:szCs w:val="24"/>
        </w:rPr>
        <w:t xml:space="preserve"> </w:t>
      </w:r>
      <w:r w:rsidR="0010651F" w:rsidRPr="00F153F6">
        <w:rPr>
          <w:rFonts w:ascii="Times New Roman" w:eastAsia="Times New Roman" w:hAnsi="Times New Roman" w:cs="Times New Roman"/>
          <w:iCs/>
          <w:color w:val="000000" w:themeColor="text1"/>
          <w:sz w:val="24"/>
          <w:szCs w:val="24"/>
        </w:rPr>
        <w:t>demonstrates</w:t>
      </w:r>
      <w:r w:rsidRPr="00F153F6">
        <w:rPr>
          <w:rFonts w:ascii="Times New Roman" w:eastAsia="Times New Roman" w:hAnsi="Times New Roman" w:cs="Times New Roman"/>
          <w:iCs/>
          <w:color w:val="000000" w:themeColor="text1"/>
          <w:sz w:val="24"/>
          <w:szCs w:val="24"/>
        </w:rPr>
        <w:t xml:space="preserve"> the environment of knowledge exchange. Macro environments such as economic contexts </w:t>
      </w:r>
      <w:r w:rsidR="0010651F" w:rsidRPr="00F153F6">
        <w:rPr>
          <w:rFonts w:ascii="Times New Roman" w:eastAsia="Times New Roman" w:hAnsi="Times New Roman" w:cs="Times New Roman"/>
          <w:iCs/>
          <w:color w:val="000000" w:themeColor="text1"/>
          <w:sz w:val="24"/>
          <w:szCs w:val="24"/>
        </w:rPr>
        <w:t>shows</w:t>
      </w:r>
      <w:r w:rsidRPr="00F153F6">
        <w:rPr>
          <w:rFonts w:ascii="Times New Roman" w:eastAsia="Times New Roman" w:hAnsi="Times New Roman" w:cs="Times New Roman"/>
          <w:iCs/>
          <w:color w:val="000000" w:themeColor="text1"/>
          <w:sz w:val="24"/>
          <w:szCs w:val="24"/>
        </w:rPr>
        <w:t xml:space="preserve"> the external environment of knowledge exchange, which </w:t>
      </w:r>
      <w:r w:rsidR="00DC241F" w:rsidRPr="00F153F6">
        <w:rPr>
          <w:rFonts w:ascii="Times New Roman" w:eastAsia="Times New Roman" w:hAnsi="Times New Roman" w:cs="Times New Roman"/>
          <w:iCs/>
          <w:color w:val="000000" w:themeColor="text1"/>
          <w:sz w:val="24"/>
          <w:szCs w:val="24"/>
        </w:rPr>
        <w:t>reflects the</w:t>
      </w:r>
      <w:r w:rsidRPr="00F153F6">
        <w:rPr>
          <w:rFonts w:ascii="Times New Roman" w:eastAsia="Times New Roman" w:hAnsi="Times New Roman" w:cs="Times New Roman"/>
          <w:iCs/>
          <w:color w:val="000000" w:themeColor="text1"/>
          <w:sz w:val="24"/>
          <w:szCs w:val="24"/>
        </w:rPr>
        <w:t xml:space="preserve"> understand</w:t>
      </w:r>
      <w:r w:rsidR="00DC241F" w:rsidRPr="00F153F6">
        <w:rPr>
          <w:rFonts w:ascii="Times New Roman" w:eastAsia="Times New Roman" w:hAnsi="Times New Roman" w:cs="Times New Roman"/>
          <w:iCs/>
          <w:color w:val="000000" w:themeColor="text1"/>
          <w:sz w:val="24"/>
          <w:szCs w:val="24"/>
        </w:rPr>
        <w:t>ing</w:t>
      </w:r>
      <w:r w:rsidRPr="00F153F6">
        <w:rPr>
          <w:rFonts w:ascii="Times New Roman" w:eastAsia="Times New Roman" w:hAnsi="Times New Roman" w:cs="Times New Roman"/>
          <w:iCs/>
          <w:color w:val="000000" w:themeColor="text1"/>
          <w:sz w:val="24"/>
          <w:szCs w:val="24"/>
        </w:rPr>
        <w:t xml:space="preserve"> </w:t>
      </w:r>
      <w:r w:rsidR="00DC241F" w:rsidRPr="00F153F6">
        <w:rPr>
          <w:rFonts w:ascii="Times New Roman" w:eastAsia="Times New Roman" w:hAnsi="Times New Roman" w:cs="Times New Roman"/>
          <w:iCs/>
          <w:color w:val="000000" w:themeColor="text1"/>
          <w:sz w:val="24"/>
          <w:szCs w:val="24"/>
        </w:rPr>
        <w:t>on</w:t>
      </w:r>
      <w:r w:rsidRPr="00F153F6">
        <w:rPr>
          <w:rFonts w:ascii="Times New Roman" w:eastAsia="Times New Roman" w:hAnsi="Times New Roman" w:cs="Times New Roman"/>
          <w:iCs/>
          <w:color w:val="000000" w:themeColor="text1"/>
          <w:sz w:val="24"/>
          <w:szCs w:val="24"/>
        </w:rPr>
        <w:t xml:space="preserve"> </w:t>
      </w:r>
      <w:r w:rsidR="00DC241F" w:rsidRPr="00F153F6">
        <w:rPr>
          <w:rFonts w:ascii="Times New Roman" w:eastAsia="Times New Roman" w:hAnsi="Times New Roman" w:cs="Times New Roman"/>
          <w:iCs/>
          <w:color w:val="000000" w:themeColor="text1"/>
          <w:sz w:val="24"/>
          <w:szCs w:val="24"/>
        </w:rPr>
        <w:t>the</w:t>
      </w:r>
      <w:r w:rsidRPr="00F153F6">
        <w:rPr>
          <w:rFonts w:ascii="Times New Roman" w:eastAsia="Times New Roman" w:hAnsi="Times New Roman" w:cs="Times New Roman"/>
          <w:iCs/>
          <w:color w:val="000000" w:themeColor="text1"/>
          <w:sz w:val="24"/>
          <w:szCs w:val="24"/>
        </w:rPr>
        <w:t xml:space="preserve"> </w:t>
      </w:r>
      <w:r w:rsidR="00DC241F" w:rsidRPr="00F153F6">
        <w:rPr>
          <w:rFonts w:ascii="Times New Roman" w:eastAsia="Times New Roman" w:hAnsi="Times New Roman" w:cs="Times New Roman"/>
          <w:iCs/>
          <w:color w:val="000000" w:themeColor="text1"/>
          <w:sz w:val="24"/>
          <w:szCs w:val="24"/>
        </w:rPr>
        <w:t xml:space="preserve">contextual </w:t>
      </w:r>
      <w:r w:rsidRPr="00F153F6">
        <w:rPr>
          <w:rFonts w:ascii="Times New Roman" w:eastAsia="Times New Roman" w:hAnsi="Times New Roman" w:cs="Times New Roman"/>
          <w:iCs/>
          <w:color w:val="000000" w:themeColor="text1"/>
          <w:sz w:val="24"/>
          <w:szCs w:val="24"/>
        </w:rPr>
        <w:t xml:space="preserve">conditions of knowledge exchange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b/>
          <w:bCs/>
          <w:iCs/>
          <w:color w:val="000000" w:themeColor="text1"/>
          <w:sz w:val="24"/>
          <w:szCs w:val="24"/>
        </w:rPr>
        <w:instrText xml:space="preserve"> ADDIN ZOTERO_ITEM CSL_CITATION {"citationID":"hcLuHNAC","properties":{"formattedCitation":"(Prihodova et al., 2019)","plainCitation":"(Prihodova et al., 2019)","noteIndex":0},"citationItems":[{"id":1966,"uris":["http://zotero.org/users/5709166/items/547NZWGK"],"itemData":{"id":1966,"type":"article-journal","abstract":"Aims To identify the key common components of knowledge transfer and exchange in existing models to facilitate practice developments in health services research. Background There are over 60 models of knowledge transfer and exchange designed for various areas of health care. Many of them remain untested and lack guidelines for scaling-up of successful implementation of research findings and of proven models ensuring that patients have access to optimal health care, guided by current research. Design A scoping review was conducted in line with PRISMA guidelines. Key components of knowledge transfer and exchange were identified using thematic analysis and frequency counts. Data Sources Six electronic databases were searched for papers published before January 2015 containing four key terms/variants: knowledge, transfer, framework, health care. Review Methods Double screening, extraction and coding of the data using thematic analysis were employed to ensure rigour. As further validation stakeholders’ consultation of the findings was performed to ensure accessibility. Results Of the 4,288 abstracts, 294 full-text articles were screened, with 79 articles analysed. Six key components emerged: knowledge transfer and exchange message, Stakeholders and Process components often appeared together, while from two contextual components Inner Context and the wider Social, Cultural and Economic Context, with the wider context less frequently considered. Finally, there was little consideration of the Evaluation of knowledge transfer and exchange activities. In addition, specific operational elements of each component were identified. Conclusions The six components offer the basis for knowledge transfer and exchange activities, enabling researchers to more effectively share their work. Further research exploring the potential contribution of the interactions of the components is recommended.","container-title":"Journal of Advanced Nursing","DOI":"10.1111/jan.13836","ISSN":"1365-2648","issue":"2","language":"en","page":"313-326","source":"Wiley Online Library","title":"Key components of knowledge transfer and exchange in health services research: Findings from a systematic scoping review","title-short":"Key components of knowledge transfer and exchange in health services research","volume":"75","author":[{"family":"Prihodova","given":"Lucia"},{"family":"Guerin","given":"Suzanne"},{"family":"Tunney","given":"Conall"},{"family":"Kernohan","given":"W. George"}],"issued":{"date-parts":[["2019"]]}}}],"schema":"https://github.com/citation-style-language/schema/raw/master/csl-citation.json"}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eastAsia="Times New Roman" w:hAnsi="Times New Roman" w:cs="Times New Roman"/>
          <w:iCs/>
          <w:color w:val="000000" w:themeColor="text1"/>
          <w:sz w:val="24"/>
          <w:szCs w:val="24"/>
        </w:rPr>
        <w:t>(Prihodova et al., 2019)</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r w:rsidR="0010651F" w:rsidRPr="00F153F6">
        <w:rPr>
          <w:rFonts w:ascii="Times New Roman" w:eastAsia="Times New Roman" w:hAnsi="Times New Roman" w:cs="Times New Roman"/>
          <w:iCs/>
          <w:color w:val="000000" w:themeColor="text1"/>
          <w:sz w:val="24"/>
          <w:szCs w:val="24"/>
        </w:rPr>
        <w:t>Micro c</w:t>
      </w:r>
      <w:r w:rsidRPr="00F153F6">
        <w:rPr>
          <w:rFonts w:ascii="Times New Roman" w:eastAsia="Times New Roman" w:hAnsi="Times New Roman" w:cs="Times New Roman"/>
          <w:iCs/>
          <w:color w:val="000000" w:themeColor="text1"/>
          <w:sz w:val="24"/>
          <w:szCs w:val="24"/>
        </w:rPr>
        <w:t xml:space="preserve">haracteristics, </w:t>
      </w:r>
      <w:r w:rsidR="0010651F" w:rsidRPr="00F153F6">
        <w:rPr>
          <w:rFonts w:ascii="Times New Roman" w:eastAsia="Times New Roman" w:hAnsi="Times New Roman" w:cs="Times New Roman"/>
          <w:iCs/>
          <w:color w:val="000000" w:themeColor="text1"/>
          <w:sz w:val="24"/>
          <w:szCs w:val="24"/>
        </w:rPr>
        <w:t>which may include</w:t>
      </w:r>
      <w:r w:rsidRPr="00F153F6">
        <w:rPr>
          <w:rFonts w:ascii="Times New Roman" w:eastAsia="Times New Roman" w:hAnsi="Times New Roman" w:cs="Times New Roman"/>
          <w:iCs/>
          <w:color w:val="000000" w:themeColor="text1"/>
          <w:sz w:val="24"/>
          <w:szCs w:val="24"/>
        </w:rPr>
        <w:t xml:space="preserve"> structure</w:t>
      </w:r>
      <w:r w:rsidR="0010651F" w:rsidRPr="00F153F6">
        <w:rPr>
          <w:rFonts w:ascii="Times New Roman" w:eastAsia="Times New Roman" w:hAnsi="Times New Roman" w:cs="Times New Roman"/>
          <w:iCs/>
          <w:color w:val="000000" w:themeColor="text1"/>
          <w:sz w:val="24"/>
          <w:szCs w:val="24"/>
        </w:rPr>
        <w:t xml:space="preserve"> and workplace leadership</w:t>
      </w:r>
      <w:r w:rsidRPr="00F153F6">
        <w:rPr>
          <w:rFonts w:ascii="Times New Roman" w:eastAsia="Times New Roman" w:hAnsi="Times New Roman" w:cs="Times New Roman"/>
          <w:iCs/>
          <w:color w:val="000000" w:themeColor="text1"/>
          <w:sz w:val="24"/>
          <w:szCs w:val="24"/>
        </w:rPr>
        <w:t xml:space="preserve">, can also </w:t>
      </w:r>
      <w:r w:rsidR="0010651F" w:rsidRPr="00F153F6">
        <w:rPr>
          <w:rFonts w:ascii="Times New Roman" w:eastAsia="Times New Roman" w:hAnsi="Times New Roman" w:cs="Times New Roman"/>
          <w:iCs/>
          <w:color w:val="000000" w:themeColor="text1"/>
          <w:sz w:val="24"/>
          <w:szCs w:val="24"/>
        </w:rPr>
        <w:t>affect</w:t>
      </w:r>
      <w:r w:rsidRPr="00F153F6">
        <w:rPr>
          <w:rFonts w:ascii="Times New Roman" w:eastAsia="Times New Roman" w:hAnsi="Times New Roman" w:cs="Times New Roman"/>
          <w:iCs/>
          <w:color w:val="000000" w:themeColor="text1"/>
          <w:sz w:val="24"/>
          <w:szCs w:val="24"/>
        </w:rPr>
        <w:t xml:space="preserve"> the </w:t>
      </w:r>
      <w:r w:rsidR="0010651F" w:rsidRPr="00F153F6">
        <w:rPr>
          <w:rFonts w:ascii="Times New Roman" w:eastAsia="Times New Roman" w:hAnsi="Times New Roman" w:cs="Times New Roman"/>
          <w:iCs/>
          <w:color w:val="000000" w:themeColor="text1"/>
          <w:sz w:val="24"/>
          <w:szCs w:val="24"/>
        </w:rPr>
        <w:t xml:space="preserve">people’s </w:t>
      </w:r>
      <w:r w:rsidRPr="00F153F6">
        <w:rPr>
          <w:rFonts w:ascii="Times New Roman" w:eastAsia="Times New Roman" w:hAnsi="Times New Roman" w:cs="Times New Roman"/>
          <w:iCs/>
          <w:color w:val="000000" w:themeColor="text1"/>
          <w:sz w:val="24"/>
          <w:szCs w:val="24"/>
        </w:rPr>
        <w:t xml:space="preserve">knowledge exchange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{"citationID":"a11pe5g7upb","properties":{"formattedCitation":"(Cannatelli et al., 2017)","plainCitation":"(Cannatelli et al., 2017)","noteIndex":0},"citationItems":[{"id":2156,"uris":["http://zotero.org/users/5709166/items/VYVKUWBZ"],"itemData":{"id":2156,"type":"article-journal","abstract":"Based on a three-year qualitative, longitudinal case study of a social venture partnership, we extend the understanding of distributed leadership in organizational knowledge creation. We develop an expanded model of distributed leadership that identifies the antecedents, different forms, and enablers of distributed leadership in knowledge creation. Our findings move beyond a static and monolithic understanding of distributed leadership to illustrate how an expanded model informs the situational leadership framework and spiral of knowledge creation across an organization's hierarchy and boundary in the context of social entrepreneurship.","container-title":"Long Range Planning","DOI":"10.1016/j.lrp.2016.10.002","ISSN":"0024-6301","issue":"5","journalAbbreviation":"Long Range Planning","language":"en","page":"582-602","source":"ScienceDirect","title":"An Expanded Model of Distributed Leadership in Organizational Knowledge Creation","volume":"50","author":[{"family":"Cannatelli","given":"Benedetto"},{"family":"Smith","given":"Brett"},{"family":"Giudici","given":"Alessandro"},{"family":"Jones","given":"Jessica"},{"family":"Conger","given":"Michael"}],"issued":{"date-parts":[["2017",10,1]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(Cannatelli et al., 2017)</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These contexts </w:t>
      </w:r>
      <w:r w:rsidR="0010651F" w:rsidRPr="00F153F6">
        <w:rPr>
          <w:rFonts w:ascii="Times New Roman" w:eastAsia="Times New Roman" w:hAnsi="Times New Roman" w:cs="Times New Roman"/>
          <w:iCs/>
          <w:color w:val="000000" w:themeColor="text1"/>
          <w:sz w:val="24"/>
          <w:szCs w:val="24"/>
        </w:rPr>
        <w:t xml:space="preserve">provide the </w:t>
      </w:r>
      <w:r w:rsidRPr="00F153F6">
        <w:rPr>
          <w:rFonts w:ascii="Times New Roman" w:eastAsia="Times New Roman" w:hAnsi="Times New Roman" w:cs="Times New Roman"/>
          <w:iCs/>
          <w:color w:val="000000" w:themeColor="text1"/>
          <w:sz w:val="24"/>
          <w:szCs w:val="24"/>
        </w:rPr>
        <w:t>circumstances</w:t>
      </w:r>
      <w:r w:rsidR="0010651F" w:rsidRPr="00F153F6">
        <w:rPr>
          <w:rFonts w:ascii="Times New Roman" w:eastAsia="Times New Roman" w:hAnsi="Times New Roman" w:cs="Times New Roman"/>
          <w:iCs/>
          <w:color w:val="000000" w:themeColor="text1"/>
          <w:sz w:val="24"/>
          <w:szCs w:val="24"/>
        </w:rPr>
        <w:t xml:space="preserve"> where</w:t>
      </w:r>
      <w:r w:rsidRPr="00F153F6">
        <w:rPr>
          <w:rFonts w:ascii="Times New Roman" w:eastAsia="Times New Roman" w:hAnsi="Times New Roman" w:cs="Times New Roman"/>
          <w:iCs/>
          <w:color w:val="000000" w:themeColor="text1"/>
          <w:sz w:val="24"/>
          <w:szCs w:val="24"/>
        </w:rPr>
        <w:t xml:space="preserve"> knowledge exchange is taking place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{"citationID":"pk4wCBuc","properties":{"formattedCitation":"(Ward et al., 2012)","plainCitation":"(Ward et al., 2012)","noteIndex":0},"citationItems":[{"id":989,"uris":["http://zotero.org/users/5709166/items/4UBMS5ZA"],"itemData":{"id":989,"type":"article-journal","abstract":"Knowledge translation is underpinned by a dynamic and social knowledge exchange process but there are few descriptions of how this unfolds in practice settings. This has hampered attempts to produce realistic and useful models to help policymakers and researchers understand how knowledge exchange works. This paper reports the results of research which investigated the nature of knowledge exchange. We aimed to understand whether dynamic and fluid definitions of knowledge exchange are valid and to produce a realistic, descriptive framework of knowledge exchange. Our research was informed by a realist approach. We embedded a knowledge broker within three service delivery teams across a mental health organisation in the UK, each of whom was grappling with specific challenges. The knowledge broker participated in the team’s problem-solving process and collected observational fieldnotes. We also interviewed the team members. Observational and interview data were analysed quantitatively and qualitatively in order to determine and describe the nature of the knowledge exchange process in more detail. This enabled us to refine our conceptual framework of knowledge exchange. We found that knowledge exchange can be understood as a dynamic and fluid process which incorporates distinct forms of knowledge from multiple sources. Quantitative analysis illustrated that five broadly-defined components of knowledge exchange (problem, context, knowledge, activities, use) can all be in play at any one time and do not occur in a set order. Qualitative analysis revealed a number of distinct themes which better described the nature of knowledge exchange. By shedding light on the nature of knowledge exchange, our findings problematise some of the linear, technicist approaches to knowledge translation. The revised model of knowledge exchange which we propose here could therefore help to reorient thinking about knowledge exchange and act as a starting point for further exploration and evaluation of the knowledge exchange process.","collection-title":"Part Special Issue: Organization studies and the analysis of health systems","container-title":"Social Science &amp; Medicine","DOI":"10.1016/j.socscimed.2011.09.021","ISSN":"0277-9536","issue":"3","journalAbbreviation":"Social Science &amp; Medicine","page":"297-304","source":"ScienceDirect","title":"Exploring knowledge exchange: A useful framework for practice and policy","title-short":"Exploring knowledge exchange","volume":"74","author":[{"family":"Ward","given":"Vicky"},{"family":"Smith","given":"Simon"},{"family":"House","given":"Allan"},{"family":"Hamer","given":"Susan"}],"issued":{"date-parts":[["2012",2,1]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eastAsia="Times New Roman" w:hAnsi="Times New Roman" w:cs="Times New Roman"/>
          <w:iCs/>
          <w:color w:val="000000" w:themeColor="text1"/>
          <w:sz w:val="24"/>
          <w:szCs w:val="24"/>
        </w:rPr>
        <w:t>(Ward et al., 2012)</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w:t>
      </w:r>
    </w:p>
    <w:p w14:paraId="53C1C27E" w14:textId="1FB078EA"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b/>
          <w:bCs/>
          <w:iCs/>
          <w:color w:val="000000" w:themeColor="text1"/>
          <w:sz w:val="24"/>
          <w:szCs w:val="24"/>
        </w:rPr>
        <w:t xml:space="preserve">Intervention </w:t>
      </w:r>
      <w:r w:rsidRPr="00F153F6">
        <w:rPr>
          <w:rFonts w:ascii="Times New Roman" w:eastAsia="Times New Roman" w:hAnsi="Times New Roman" w:cs="Times New Roman"/>
          <w:iCs/>
          <w:color w:val="000000" w:themeColor="text1"/>
          <w:sz w:val="24"/>
          <w:szCs w:val="24"/>
        </w:rPr>
        <w:t xml:space="preserve">is related to the </w:t>
      </w:r>
      <w:r w:rsidR="00DC241F" w:rsidRPr="00F153F6">
        <w:rPr>
          <w:rFonts w:ascii="Times New Roman" w:eastAsia="Times New Roman" w:hAnsi="Times New Roman" w:cs="Times New Roman"/>
          <w:iCs/>
          <w:color w:val="000000" w:themeColor="text1"/>
          <w:sz w:val="24"/>
          <w:szCs w:val="24"/>
        </w:rPr>
        <w:t xml:space="preserve">various activity patterns that intervene </w:t>
      </w:r>
      <w:r w:rsidRPr="00F153F6">
        <w:rPr>
          <w:rFonts w:ascii="Times New Roman" w:eastAsia="Times New Roman" w:hAnsi="Times New Roman" w:cs="Times New Roman"/>
          <w:iCs/>
          <w:color w:val="000000" w:themeColor="text1"/>
          <w:sz w:val="24"/>
          <w:szCs w:val="24"/>
        </w:rPr>
        <w:t>knowledge exchange</w:t>
      </w:r>
      <w:r w:rsidR="00DC241F" w:rsidRPr="00F153F6">
        <w:rPr>
          <w:rFonts w:ascii="Times New Roman" w:eastAsia="Times New Roman" w:hAnsi="Times New Roman" w:cs="Times New Roman"/>
          <w:iCs/>
          <w:color w:val="000000" w:themeColor="text1"/>
          <w:sz w:val="24"/>
          <w:szCs w:val="24"/>
        </w:rPr>
        <w:t xml:space="preserve"> process</w:t>
      </w:r>
      <w:r w:rsidRPr="00F153F6">
        <w:rPr>
          <w:rFonts w:ascii="Times New Roman" w:eastAsia="Times New Roman" w:hAnsi="Times New Roman" w:cs="Times New Roman"/>
          <w:iCs/>
          <w:color w:val="000000" w:themeColor="text1"/>
          <w:sz w:val="24"/>
          <w:szCs w:val="24"/>
        </w:rPr>
        <w:t xml:space="preserve">. During the knowledge exchange process, individuals develop their knowledge patterns through sharing, creating and tailoring new knowledge, discussing and negotiating their ideas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{"citationID":"a1v67v6ivuk","properties":{"formattedCitation":"(Prihodova et al., 2019; Ward et al., 2009)","plainCitation":"(Prihodova et al., 2019; Ward et al., 2009)","noteIndex":0},"citationItems":[{"id":1966,"uris":["http://zotero.org/users/5709166/items/547NZWGK"],"itemData":{"id":1966,"type":"article-journal","abstract":"Aims To identify the key common components of knowledge transfer and exchange in existing models to facilitate practice developments in health services research. Background There are over 60 models of knowledge transfer and exchange designed for various areas of health care. Many of them remain untested and lack guidelines for scaling-up of successful implementation of research findings and of proven models ensuring that patients have access to optimal health care, guided by current research. Design A scoping review was conducted in line with PRISMA guidelines. Key components of knowledge transfer and exchange were identified using thematic analysis and frequency counts. Data Sources Six electronic databases were searched for papers published before January 2015 containing four key terms/variants: knowledge, transfer, framework, health care. Review Methods Double screening, extraction and coding of the data using thematic analysis were employed to ensure rigour. As further validation stakeholders’ consultation of the findings was performed to ensure accessibility. Results Of the 4,288 abstracts, 294 full-text articles were screened, with 79 articles analysed. Six key components emerged: knowledge transfer and exchange message, Stakeholders and Process components often appeared together, while from two contextual components Inner Context and the wider Social, Cultural and Economic Context, with the wider context less frequently considered. Finally, there was little consideration of the Evaluation of knowledge transfer and exchange activities. In addition, specific operational elements of each component were identified. Conclusions The six components offer the basis for knowledge transfer and exchange activities, enabling researchers to more effectively share their work. Further research exploring the potential contribution of the interactions of the components is recommended.","container-title":"Journal of Advanced Nursing","DOI":"10.1111/jan.13836","ISSN":"1365-2648","issue":"2","language":"en","page":"313-326","source":"Wiley Online Library","title":"Key components of knowledge transfer and exchange in health services research: Findings from a systematic scoping review","title-short":"Key components of knowledge transfer and exchange in health services research","volume":"75","author":[{"family":"Prihodova","given":"Lucia"},{"family":"Guerin","given":"Suzanne"},{"family":"Tunney","given":"Conall"},{"family":"Kernohan","given":"W. George"}],"issued":{"date-parts":[["2019"]]}}},{"id":1965,"uris":["http://zotero.org/users/5709166/items/H2XJPPCT"],"itemData":{"id":1965,"type":"article-journal","abstract":"Objectives: Although there is widespread agreement about the importance of transferring knowledge into action, we still lack high quality information about what works, in which settings and with whom. While there are a large number of models and theories for knowledge transfer interventions, the majority are untested, meaning that their applicability and relevance is largely unknown. This paper describes the development of a conceptual framework of translating knowledge into action and discusses how it can be used for developing a useful model of the knowledge transfer process.\nMethods: A narrative review of the knowledge transfer literature identiﬁed 28 different models which explained all or part of the knowledge transfer process. The models were subjected to a thematic analysis to identify individual components and the types of processes used when transferring knowledge into action. The results were used to build a conceptual framework of the process.\nResults: Five common components of the knowledge transfer process were identiﬁed: problem identiﬁcation and communication; knowledge/research development and selection; analysis of context; knowledge transfer activities or interventions; and knowledge/research utilization. We also identiﬁed three types of knowledge transfer processes: a linear process; a cyclical process; and a dynamic multidirectional process. From these results a conceptual framework of knowledge transfer was developed. The framework illustrates the ﬁve common components of the knowledge transfer process and shows that they are connected via a complex, multidirectional set of interactions. As such the framework allows for the individual components to occur simultaneously or in any given order and to occur more than once during the knowledge transfer process.\nConclusion: Our framework provides a foundation for gathering evidence from case studies of knowledge transfer interventions. We propose that future empirical work is designed to test and reﬁne the relevance, importance and applicability of each of the components in order to build a more useful model of knowledge transfer which can serve as a practical checklist for planning or evaluating knowledge transfer activities.","container-title":"Journal of Health Services Research &amp; Policy","DOI":"10.1258/jhsrp.2009.008120","ISSN":"1355-8196, 1758-1060","issue":"3","journalAbbreviation":"J Health Serv Res Policy","language":"en","page":"156-164","source":"DOI.org (Crossref)","title":"Developing a Framework for Transferring Knowledge Into Action: A Thematic Analysis of the Literature","title-short":"Developing a Framework for Transferring Knowledge Into Action","volume":"14","author":[{"family":"Ward","given":"Vicky"},{"family":"House","given":"Allan"},{"family":"Hamer","given":"Susan"}],"issued":{"date-parts":[["2009",7]]}}}],"schema":"https://github.com/citation-style-language/schema/raw/master/csl-citation.json"}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(Prihodova et al., 2019; Ward et al., 2009)</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In this study, knowledge exchange is defined as a combined activities of knowledge sharing, creation, storage and application. Therefore, interventions refer to these activities and how they </w:t>
      </w:r>
      <w:r w:rsidR="00DC241F" w:rsidRPr="00F153F6">
        <w:rPr>
          <w:rFonts w:ascii="Times New Roman" w:eastAsia="Times New Roman" w:hAnsi="Times New Roman" w:cs="Times New Roman"/>
          <w:iCs/>
          <w:color w:val="000000" w:themeColor="text1"/>
          <w:sz w:val="24"/>
          <w:szCs w:val="24"/>
        </w:rPr>
        <w:t>evolve</w:t>
      </w:r>
      <w:r w:rsidRPr="00F153F6">
        <w:rPr>
          <w:rFonts w:ascii="Times New Roman" w:eastAsia="Times New Roman" w:hAnsi="Times New Roman" w:cs="Times New Roman"/>
          <w:iCs/>
          <w:color w:val="000000" w:themeColor="text1"/>
          <w:sz w:val="24"/>
          <w:szCs w:val="24"/>
        </w:rPr>
        <w:t xml:space="preserve"> human knowledgeable works. This is an iterative and dynamic process and is the way knowledge is accumulated over time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{"citationID":"qcDC00Ml","properties":{"formattedCitation":"(Ward et al., 2012)","plainCitation":"(Ward et al., 2012)","noteIndex":0},"citationItems":[{"id":989,"uris":["http://zotero.org/users/5709166/items/4UBMS5ZA"],"itemData":{"id":989,"type":"article-journal","abstract":"Knowledge translation is underpinned by a dynamic and social knowledge exchange process but there are few descriptions of how this unfolds in practice settings. This has hampered attempts to produce realistic and useful models to help policymakers and researchers understand how knowledge exchange works. This paper reports the results of research which investigated the nature of knowledge exchange. We aimed to understand whether dynamic and fluid definitions of knowledge exchange are valid and to produce a realistic, descriptive framework of knowledge exchange. Our research was informed by a realist approach. We embedded a knowledge broker within three service delivery teams across a mental health organisation in the UK, each of whom was grappling with specific challenges. The knowledge broker participated in the team’s problem-solving process and collected observational fieldnotes. We also interviewed the team members. Observational and interview data were analysed quantitatively and qualitatively in order to determine and describe the nature of the knowledge exchange process in more detail. This enabled us to refine our conceptual framework of knowledge exchange. We found that knowledge exchange can be understood as a dynamic and fluid process which incorporates distinct forms of knowledge from multiple sources. Quantitative analysis illustrated that five broadly-defined components of knowledge exchange (problem, context, knowledge, activities, use) can all be in play at any one time and do not occur in a set order. Qualitative analysis revealed a number of distinct themes which better described the nature of knowledge exchange. By shedding light on the nature of knowledge exchange, our findings problematise some of the linear, technicist approaches to knowledge translation. The revised model of knowledge exchange which we propose here could therefore help to reorient thinking about knowledge exchange and act as a starting point for further exploration and evaluation of the knowledge exchange process.","collection-title":"Part Special Issue: Organization studies and the analysis of health systems","container-title":"Social Science &amp; Medicine","DOI":"10.1016/j.socscimed.2011.09.021","ISSN":"0277-9536","issue":"3","journalAbbreviation":"Social Science &amp; Medicine","page":"297-304","source":"ScienceDirect","title":"Exploring knowledge exchange: A useful framework for practice and policy","title-short":"Exploring knowledge exchange","volume":"74","author":[{"family":"Ward","given":"Vicky"},{"family":"Smith","given":"Simon"},{"family":"House","given":"Allan"},{"family":"Hamer","given":"Susan"}],"issued":{"date-parts":[["2012",2,1]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eastAsia="Times New Roman" w:hAnsi="Times New Roman" w:cs="Times New Roman"/>
          <w:iCs/>
          <w:color w:val="000000" w:themeColor="text1"/>
          <w:sz w:val="24"/>
          <w:szCs w:val="24"/>
        </w:rPr>
        <w:t>(Ward et al., 2012)</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w:t>
      </w:r>
    </w:p>
    <w:p w14:paraId="4B4F2F2B" w14:textId="0CF7F376"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b/>
          <w:bCs/>
          <w:iCs/>
          <w:color w:val="000000" w:themeColor="text1"/>
          <w:sz w:val="24"/>
          <w:szCs w:val="24"/>
        </w:rPr>
        <w:lastRenderedPageBreak/>
        <w:t xml:space="preserve">Knowledge utilisation </w:t>
      </w:r>
      <w:r w:rsidRPr="00F153F6">
        <w:rPr>
          <w:rFonts w:ascii="Times New Roman" w:eastAsia="Times New Roman" w:hAnsi="Times New Roman" w:cs="Times New Roman"/>
          <w:iCs/>
          <w:color w:val="000000" w:themeColor="text1"/>
          <w:sz w:val="24"/>
          <w:szCs w:val="24"/>
        </w:rPr>
        <w:t xml:space="preserve">refers to the use of knowledge. </w:t>
      </w:r>
      <w:r w:rsidRPr="00F153F6">
        <w:rPr>
          <w:rFonts w:ascii="Times New Roman" w:hAnsi="Times New Roman" w:cs="Times New Roman"/>
          <w:color w:val="000000" w:themeColor="text1"/>
          <w:sz w:val="24"/>
          <w:szCs w:val="24"/>
        </w:rPr>
        <w:t xml:space="preserve">Murnaghan et al.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b/>
          <w:bCs/>
          <w:color w:val="000000" w:themeColor="text1"/>
          <w:sz w:val="24"/>
          <w:szCs w:val="24"/>
        </w:rPr>
        <w:instrText xml:space="preserve"> ADDIN ZOTERO_ITEM CSL_CITATION {"citationID":"abi0lb7fid","properties":{"formattedCitation":"(2013)","plainCitation":"(2013)","noteIndex":0},"citationItems":[{"id":2098,"uris":["http://zotero.org/users/5709166/items/5XHIQZQD"],"itemData":{"id":2098,"type":"article-journal","abstract":"Introduction: The research teams undertook a case study design using a common analytical framework to investigate three provincial (Prince Edward Island, New Brunswick and Manitoba) knowledge exchange systems. These three knowledge exchange systems seek to generate and enhance the use of evidence in policy development, program planning and evaluation to improve youth health and chronic disease prevention.","container-title":"Chronic Diseases and Injuries in Canada","issue":"4","language":"en","page":"10","source":"Zotero","title":"Knowledge exchange systems for youth health and chronic disease prevention: a tri-provincial case study","volume":"33","author":[{"family":"Murnaghan","given":"D"},{"family":"Morrison","given":"W"},{"family":"Griffith","given":"E J"},{"family":"Bell","given":"B L"},{"family":"Duffley","given":"L A"},{"family":"McGarry","given":"K"},{"family":"Manske","given":"S"}],"issued":{"date-parts":[["2013"]]}},"suppress-author":true}],"schema":"https://github.com/citation-style-language/schema/raw/master/csl-citation.json"}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(2013)</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argue that organisations need to develop their capability to mobilise their knowledge in action. This is because applying knowledge is the </w:t>
      </w:r>
      <w:r w:rsidR="00C6084B" w:rsidRPr="00F153F6">
        <w:rPr>
          <w:rFonts w:ascii="Times New Roman" w:hAnsi="Times New Roman" w:cs="Times New Roman"/>
          <w:color w:val="000000" w:themeColor="text1"/>
          <w:sz w:val="24"/>
          <w:szCs w:val="24"/>
        </w:rPr>
        <w:t xml:space="preserve">key </w:t>
      </w:r>
      <w:r w:rsidRPr="00F153F6">
        <w:rPr>
          <w:rFonts w:ascii="Times New Roman" w:hAnsi="Times New Roman" w:cs="Times New Roman"/>
          <w:color w:val="000000" w:themeColor="text1"/>
          <w:sz w:val="24"/>
          <w:szCs w:val="24"/>
        </w:rPr>
        <w:t xml:space="preserve">purpose of knowledge management and </w:t>
      </w:r>
      <w:r w:rsidR="00C6084B" w:rsidRPr="00F153F6">
        <w:rPr>
          <w:rFonts w:ascii="Times New Roman" w:hAnsi="Times New Roman" w:cs="Times New Roman"/>
          <w:color w:val="000000" w:themeColor="text1"/>
          <w:sz w:val="24"/>
          <w:szCs w:val="24"/>
        </w:rPr>
        <w:t>significant for promoting</w:t>
      </w:r>
      <w:r w:rsidRPr="00F153F6">
        <w:rPr>
          <w:rFonts w:ascii="Times New Roman" w:hAnsi="Times New Roman" w:cs="Times New Roman"/>
          <w:color w:val="000000" w:themeColor="text1"/>
          <w:sz w:val="24"/>
          <w:szCs w:val="24"/>
        </w:rPr>
        <w:t xml:space="preserve"> competitive advantage of organisations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{"citationID":"a300rhno1u","properties":{"formattedCitation":"(Alavi &amp; Leidner, 2001)","plainCitation":"(Alavi &amp; Leidner, 2001)","noteIndex":0},"citationItems":[{"id":495,"uris":["http://zotero.org/users/5709166/items/WI8WHJPC"],"itemData":{"id":495,"type":"article-journal","abstract":"Knowledge is a broad and abstract notion that has defined epistemological debate in western philosophy since the classical Greek era. In the past few years, however, there has been a growing interest in treating knowledge as a significant organizational resource. Consistent with the interest in organizational knowledge and knowledge management (KM), IS researchers have begun promoting a class of information systems, referred to as knowledge management systems (KMS). The objective of KMS is to support creation, transfer, and application of knowledge in organizations. Knowledge and knowledge management are complex and multi-faceted concepts. Thus, effective development and implementation of KMS requires a foundation in several rich literatures. To be credible, KMS research and development should preserve and build upon the significant literature that exists in different but rzelated fields. This paper provides a review and interpretation of knowledge management literatures in different fields with an eye toward identifying the important areas for research. We present a detailed process view of organizational knowledge management with a focus on the potential role of information technology in this process. Drawing upon the literature review and analysis of knowledge management processes, we discuss several important research issues surrounding the knowledge management processes and the role of IT in support of these processes.","archive":"JSTOR","container-title":"MIS Quarterly","DOI":"10.2307/3250961","ISSN":"0276-7783","issue":"1","page":"107-136","source":"JSTOR","title":"Review: Knowledge Management and Knowledge Management Systems: Conceptual Foundations and Research Issues","title-short":"Review","volume":"25","author":[{"family":"Alavi","given":"Maryam"},{"family":"Leidner","given":"Dorothy E."}],"issued":{"date-parts":[["2001"]]}}}],"schema":"https://github.com/citation-style-language/schema/raw/master/csl-citation.json"}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(Alavi &amp; Leidner, 2001)</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Evaluation is also included in this phase because this helps to understand how effective the knowledge exchange process is and how useful the knowledge exchanged is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b/>
          <w:bCs/>
          <w:color w:val="000000" w:themeColor="text1"/>
          <w:sz w:val="24"/>
          <w:szCs w:val="24"/>
        </w:rPr>
        <w:instrText xml:space="preserve"> ADDIN ZOTERO_ITEM CSL_CITATION {"citationID":"a1v9f07r41k","properties":{"formattedCitation":"(Prihodova et al., 2019)","plainCitation":"(Prihodova et al., 2019)","noteIndex":0},"citationItems":[{"id":1966,"uris":["http://zotero.org/users/5709166/items/547NZWGK"],"itemData":{"id":1966,"type":"article-journal","abstract":"Aims To identify the key common components of knowledge transfer and exchange in existing models to facilitate practice developments in health services research. Background There are over 60 models of knowledge transfer and exchange designed for various areas of health care. Many of them remain untested and lack guidelines for scaling-up of successful implementation of research findings and of proven models ensuring that patients have access to optimal health care, guided by current research. Design A scoping review was conducted in line with PRISMA guidelines. Key components of knowledge transfer and exchange were identified using thematic analysis and frequency counts. Data Sources Six electronic databases were searched for papers published before January 2015 containing four key terms/variants: knowledge, transfer, framework, health care. Review Methods Double screening, extraction and coding of the data using thematic analysis were employed to ensure rigour. As further validation stakeholders’ consultation of the findings was performed to ensure accessibility. Results Of the 4,288 abstracts, 294 full-text articles were screened, with 79 articles analysed. Six key components emerged: knowledge transfer and exchange message, Stakeholders and Process components often appeared together, while from two contextual components Inner Context and the wider Social, Cultural and Economic Context, with the wider context less frequently considered. Finally, there was little consideration of the Evaluation of knowledge transfer and exchange activities. In addition, specific operational elements of each component were identified. Conclusions The six components offer the basis for knowledge transfer and exchange activities, enabling researchers to more effectively share their work. Further research exploring the potential contribution of the interactions of the components is recommended.","container-title":"Journal of Advanced Nursing","DOI":"10.1111/jan.13836","ISSN":"1365-2648","issue":"2","language":"en","page":"313-326","source":"Wiley Online Library","title":"Key components of knowledge transfer and exchange in health services research: Findings from a systematic scoping review","title-short":"Key components of knowledge transfer and exchange in health services research","volume":"75","author":[{"family":"Prihodova","given":"Lucia"},{"family":"Guerin","given":"Suzanne"},{"family":"Tunney","given":"Conall"},{"family":"Kernohan","given":"W. George"}],"issued":{"date-parts":[["2019"]]}}}],"schema":"https://github.com/citation-style-language/schema/raw/master/csl-citation.json"}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(Prihodova et al., 2019)</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w:t>
      </w:r>
      <w:r w:rsidRPr="00F153F6">
        <w:rPr>
          <w:rFonts w:ascii="Times New Roman" w:eastAsia="Times New Roman" w:hAnsi="Times New Roman" w:cs="Times New Roman"/>
          <w:b/>
          <w:bCs/>
          <w:color w:val="000000" w:themeColor="text1"/>
          <w:sz w:val="24"/>
          <w:szCs w:val="24"/>
        </w:rPr>
        <w:t xml:space="preserve"> </w:t>
      </w:r>
      <w:r w:rsidRPr="00F153F6">
        <w:rPr>
          <w:rFonts w:ascii="Times New Roman" w:hAnsi="Times New Roman" w:cs="Times New Roman"/>
          <w:color w:val="000000" w:themeColor="text1"/>
          <w:sz w:val="24"/>
          <w:szCs w:val="24"/>
        </w:rPr>
        <w:t xml:space="preserve">This phase thereby is </w:t>
      </w:r>
      <w:r w:rsidR="00C6084B" w:rsidRPr="00F153F6">
        <w:rPr>
          <w:rFonts w:ascii="Times New Roman" w:hAnsi="Times New Roman" w:cs="Times New Roman"/>
          <w:color w:val="000000" w:themeColor="text1"/>
          <w:sz w:val="24"/>
          <w:szCs w:val="24"/>
        </w:rPr>
        <w:t>vital</w:t>
      </w:r>
      <w:r w:rsidRPr="00F153F6">
        <w:rPr>
          <w:rFonts w:ascii="Times New Roman" w:hAnsi="Times New Roman" w:cs="Times New Roman"/>
          <w:color w:val="000000" w:themeColor="text1"/>
          <w:sz w:val="24"/>
          <w:szCs w:val="24"/>
        </w:rPr>
        <w:t xml:space="preserve"> in the knowledge exchange </w:t>
      </w:r>
      <w:r w:rsidR="00B54178" w:rsidRPr="00F153F6">
        <w:rPr>
          <w:rFonts w:ascii="Times New Roman" w:hAnsi="Times New Roman" w:cs="Times New Roman"/>
          <w:color w:val="000000" w:themeColor="text1"/>
          <w:sz w:val="24"/>
          <w:szCs w:val="24"/>
        </w:rPr>
        <w:t>practice</w:t>
      </w:r>
      <w:r w:rsidR="00C6084B" w:rsidRPr="00F153F6">
        <w:rPr>
          <w:rFonts w:ascii="Times New Roman" w:hAnsi="Times New Roman" w:cs="Times New Roman"/>
          <w:color w:val="000000" w:themeColor="text1"/>
          <w:sz w:val="24"/>
          <w:szCs w:val="24"/>
        </w:rPr>
        <w:t>, which</w:t>
      </w:r>
      <w:r w:rsidRPr="00F153F6">
        <w:rPr>
          <w:rFonts w:ascii="Times New Roman" w:hAnsi="Times New Roman" w:cs="Times New Roman"/>
          <w:color w:val="000000" w:themeColor="text1"/>
          <w:sz w:val="24"/>
          <w:szCs w:val="24"/>
        </w:rPr>
        <w:t xml:space="preserve"> also </w:t>
      </w:r>
      <w:r w:rsidR="00B54178" w:rsidRPr="00F153F6">
        <w:rPr>
          <w:rFonts w:ascii="Times New Roman" w:hAnsi="Times New Roman" w:cs="Times New Roman"/>
          <w:color w:val="000000" w:themeColor="text1"/>
          <w:sz w:val="24"/>
          <w:szCs w:val="24"/>
        </w:rPr>
        <w:t>demonstrates the</w:t>
      </w:r>
      <w:r w:rsidRPr="00F153F6">
        <w:rPr>
          <w:rFonts w:ascii="Times New Roman" w:hAnsi="Times New Roman" w:cs="Times New Roman"/>
          <w:color w:val="000000" w:themeColor="text1"/>
          <w:sz w:val="24"/>
          <w:szCs w:val="24"/>
        </w:rPr>
        <w:t xml:space="preserve"> </w:t>
      </w:r>
      <w:r w:rsidR="00B54178" w:rsidRPr="00F153F6">
        <w:rPr>
          <w:rFonts w:ascii="Times New Roman" w:hAnsi="Times New Roman" w:cs="Times New Roman"/>
          <w:color w:val="000000" w:themeColor="text1"/>
          <w:sz w:val="24"/>
          <w:szCs w:val="24"/>
        </w:rPr>
        <w:t>‘know-do’ nature of</w:t>
      </w:r>
      <w:r w:rsidRPr="00F153F6">
        <w:rPr>
          <w:rFonts w:ascii="Times New Roman" w:hAnsi="Times New Roman" w:cs="Times New Roman"/>
          <w:color w:val="000000" w:themeColor="text1"/>
          <w:sz w:val="24"/>
          <w:szCs w:val="24"/>
        </w:rPr>
        <w:t xml:space="preserve"> knowledge </w:t>
      </w:r>
      <w:r w:rsidR="00C6084B" w:rsidRPr="00F153F6">
        <w:rPr>
          <w:rFonts w:ascii="Times New Roman" w:hAnsi="Times New Roman" w:cs="Times New Roman"/>
          <w:color w:val="000000" w:themeColor="text1"/>
          <w:sz w:val="24"/>
          <w:szCs w:val="24"/>
        </w:rPr>
        <w:t>exchange</w:t>
      </w:r>
      <w:r w:rsidRPr="00F153F6">
        <w:rPr>
          <w:rFonts w:ascii="Times New Roman" w:hAnsi="Times New Roman" w:cs="Times New Roman"/>
          <w:color w:val="000000" w:themeColor="text1"/>
          <w:sz w:val="24"/>
          <w:szCs w:val="24"/>
        </w:rPr>
        <w:t>.</w:t>
      </w:r>
      <w:bookmarkEnd w:id="130"/>
      <w:bookmarkEnd w:id="131"/>
    </w:p>
    <w:p w14:paraId="37D164D4" w14:textId="5A7E73F1"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The stages described above provide the foundation for this research to explore knowledge exchange process in inter-organisational settings, which will be discussed in Chapter 2.</w:t>
      </w:r>
      <w:r w:rsidR="00C6084B" w:rsidRPr="00F153F6">
        <w:rPr>
          <w:rFonts w:ascii="Times New Roman" w:eastAsia="Times New Roman" w:hAnsi="Times New Roman" w:cs="Times New Roman"/>
          <w:iCs/>
          <w:color w:val="000000" w:themeColor="text1"/>
          <w:sz w:val="24"/>
          <w:szCs w:val="24"/>
        </w:rPr>
        <w:t>4</w:t>
      </w:r>
      <w:r w:rsidRPr="00F153F6">
        <w:rPr>
          <w:rFonts w:ascii="Times New Roman" w:eastAsia="Times New Roman" w:hAnsi="Times New Roman" w:cs="Times New Roman"/>
          <w:iCs/>
          <w:color w:val="000000" w:themeColor="text1"/>
          <w:sz w:val="24"/>
          <w:szCs w:val="24"/>
        </w:rPr>
        <w:t xml:space="preserve">. </w:t>
      </w:r>
    </w:p>
    <w:p w14:paraId="7715FB8B" w14:textId="77777777"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p>
    <w:p w14:paraId="215FFE3B" w14:textId="77777777" w:rsidR="002C1A2F" w:rsidRPr="00F153F6" w:rsidRDefault="002C1A2F" w:rsidP="004424B4">
      <w:pPr>
        <w:pStyle w:val="Heading2"/>
        <w:spacing w:line="360" w:lineRule="auto"/>
        <w:rPr>
          <w:rFonts w:ascii="Times New Roman" w:hAnsi="Times New Roman" w:cs="Times New Roman"/>
          <w:color w:val="000000" w:themeColor="text1"/>
          <w:sz w:val="32"/>
          <w:szCs w:val="32"/>
        </w:rPr>
      </w:pPr>
      <w:bookmarkStart w:id="132" w:name="_Toc50065932"/>
      <w:bookmarkStart w:id="133" w:name="_Toc118371092"/>
      <w:bookmarkStart w:id="134" w:name="_Toc133252115"/>
      <w:r w:rsidRPr="00F153F6">
        <w:rPr>
          <w:rFonts w:ascii="Times New Roman" w:hAnsi="Times New Roman" w:cs="Times New Roman"/>
          <w:color w:val="000000" w:themeColor="text1"/>
          <w:sz w:val="32"/>
          <w:szCs w:val="32"/>
        </w:rPr>
        <w:t>2.4 Inter-organisational Knowledge Exchange</w:t>
      </w:r>
      <w:bookmarkEnd w:id="132"/>
      <w:r w:rsidRPr="00F153F6">
        <w:rPr>
          <w:rFonts w:ascii="Times New Roman" w:hAnsi="Times New Roman" w:cs="Times New Roman"/>
          <w:color w:val="000000" w:themeColor="text1"/>
          <w:sz w:val="32"/>
          <w:szCs w:val="32"/>
        </w:rPr>
        <w:t xml:space="preserve"> (IOKE)</w:t>
      </w:r>
      <w:bookmarkEnd w:id="133"/>
      <w:bookmarkEnd w:id="134"/>
    </w:p>
    <w:p w14:paraId="2EE21AE1" w14:textId="0209BF27" w:rsidR="000543CB"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This section discusses different inter-organisational relationships (IORs) and the role of inter-organisational collaboration, in order to understand IOKE. </w:t>
      </w:r>
      <w:r w:rsidRPr="00F153F6">
        <w:rPr>
          <w:rFonts w:ascii="Times New Roman" w:hAnsi="Times New Roman" w:cs="Times New Roman"/>
          <w:color w:val="000000" w:themeColor="text1"/>
          <w:sz w:val="24"/>
          <w:szCs w:val="24"/>
        </w:rPr>
        <w:t xml:space="preserve">This is because </w:t>
      </w:r>
      <w:r w:rsidRPr="00F153F6">
        <w:rPr>
          <w:rFonts w:ascii="Times New Roman" w:eastAsia="Times New Roman" w:hAnsi="Times New Roman" w:cs="Times New Roman"/>
          <w:iCs/>
          <w:color w:val="000000" w:themeColor="text1"/>
          <w:sz w:val="24"/>
          <w:szCs w:val="24"/>
        </w:rPr>
        <w:t>organisations have started to seek opportunities in developing IORs in order to find new solutions for their needs from collaborative knowledge exchange processes.</w:t>
      </w:r>
    </w:p>
    <w:p w14:paraId="3C712924" w14:textId="42A21E79" w:rsidR="002C1A2F" w:rsidRPr="00F153F6" w:rsidRDefault="002C1A2F" w:rsidP="004424B4">
      <w:pPr>
        <w:pStyle w:val="Heading3"/>
        <w:spacing w:line="360" w:lineRule="auto"/>
        <w:jc w:val="both"/>
        <w:rPr>
          <w:rFonts w:ascii="Times New Roman" w:hAnsi="Times New Roman" w:cs="Times New Roman"/>
          <w:b/>
          <w:color w:val="000000" w:themeColor="text1"/>
          <w:sz w:val="28"/>
          <w:szCs w:val="28"/>
        </w:rPr>
      </w:pPr>
      <w:r w:rsidRPr="00F153F6">
        <w:rPr>
          <w:rFonts w:ascii="Times New Roman" w:hAnsi="Times New Roman" w:cs="Times New Roman"/>
          <w:b/>
          <w:color w:val="000000" w:themeColor="text1"/>
          <w:sz w:val="28"/>
          <w:szCs w:val="28"/>
        </w:rPr>
        <w:tab/>
      </w:r>
      <w:bookmarkStart w:id="135" w:name="_Toc50065933"/>
      <w:bookmarkStart w:id="136" w:name="_Toc118371093"/>
      <w:bookmarkStart w:id="137" w:name="_Toc133252116"/>
      <w:r w:rsidRPr="00F153F6">
        <w:rPr>
          <w:rFonts w:ascii="Times New Roman" w:hAnsi="Times New Roman" w:cs="Times New Roman"/>
          <w:b/>
          <w:color w:val="000000" w:themeColor="text1"/>
          <w:sz w:val="28"/>
          <w:szCs w:val="28"/>
        </w:rPr>
        <w:t xml:space="preserve">2.4.1 Inter-organisational </w:t>
      </w:r>
      <w:r w:rsidR="00475BD5" w:rsidRPr="00F153F6">
        <w:rPr>
          <w:rFonts w:ascii="Times New Roman" w:hAnsi="Times New Roman" w:cs="Times New Roman"/>
          <w:b/>
          <w:color w:val="000000" w:themeColor="text1"/>
          <w:sz w:val="28"/>
          <w:szCs w:val="28"/>
        </w:rPr>
        <w:t>R</w:t>
      </w:r>
      <w:r w:rsidRPr="00F153F6">
        <w:rPr>
          <w:rFonts w:ascii="Times New Roman" w:hAnsi="Times New Roman" w:cs="Times New Roman"/>
          <w:b/>
          <w:color w:val="000000" w:themeColor="text1"/>
          <w:sz w:val="28"/>
          <w:szCs w:val="28"/>
        </w:rPr>
        <w:t xml:space="preserve">elationships and </w:t>
      </w:r>
      <w:r w:rsidR="00475BD5" w:rsidRPr="00F153F6">
        <w:rPr>
          <w:rFonts w:ascii="Times New Roman" w:hAnsi="Times New Roman" w:cs="Times New Roman"/>
          <w:b/>
          <w:color w:val="000000" w:themeColor="text1"/>
          <w:sz w:val="28"/>
          <w:szCs w:val="28"/>
        </w:rPr>
        <w:t>C</w:t>
      </w:r>
      <w:r w:rsidRPr="00F153F6">
        <w:rPr>
          <w:rFonts w:ascii="Times New Roman" w:hAnsi="Times New Roman" w:cs="Times New Roman"/>
          <w:b/>
          <w:color w:val="000000" w:themeColor="text1"/>
          <w:sz w:val="28"/>
          <w:szCs w:val="28"/>
        </w:rPr>
        <w:t>ollaboration</w:t>
      </w:r>
      <w:bookmarkEnd w:id="135"/>
      <w:bookmarkEnd w:id="136"/>
      <w:bookmarkEnd w:id="137"/>
    </w:p>
    <w:p w14:paraId="5C441B39" w14:textId="77777777"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IORs refer to the “relationships between and among organisations that are pursuing a mutual interest while also remaining independent and autonomous, thus retaining separate interests”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{"citationID":"a11bb695eqe","properties":{"formattedCitation":"(Ebers, 2015, p. 622)","plainCitation":"(Ebers, 2015, p. 622)","noteIndex":0},"citationItems":[{"id":1919,"uris":["http://zotero.org/users/5709166/items/E9KZWZ2F"],"itemData":{"id":1919,"type":"webpage","title":"Interorganizational Relationships and Networks - ScienceDirect","URL":"https://www.sciencedirect.com/science/article/pii/B9780080970868731254","author":[{"family":"Ebers","given":"Mark"}],"accessed":{"date-parts":[["2019",12,8]]},"issued":{"date-parts":[["2015"]]}},"locator":"622"}],"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(Ebers, 2015, p. 622)</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Organisations, relationships, context, and processes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{"citationID":"aiuc8j4378","properties":{"formattedCitation":"(Cropper et al., 2008)","plainCitation":"(Cropper et al., 2008)","noteIndex":0},"citationItems":[{"id":1927,"uris":["http://zotero.org/users/5709166/items/SL4563ZZ"],"itemData":{"id":1927,"type":"book","language":"en","note":"DOI: 10.1093/oxfordhb/9780199282944.003.0001","publisher":"Oxford University Press","source":"Crossref","title":"Introducing Inter‐organizational Relations","URL":"http://oxfordhandbooks.com/view/10.1093/oxfordhb/9780199282944.001.0001/oxfordhb-9780199282944-e-1","author":[{"family":"Cropper","given":"Steve"},{"family":"Ebers","given":"Mark"},{"family":"Huxham","given":"Chris"},{"family":"Ring","given":"Peter Smith"}],"accessed":{"date-parts":[["2019",12,8]]},"issued":{"date-parts":[["2008",6,19]]}}}],"schema":"https://github.com/citation-style-language/schema/raw/master/csl-citation.json"}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(Cropper et al., 2008)</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are constituent parts of the concept that requires analysis. Organisations have attributes from an individual perspective including their sector, size, specific investments.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{"citationID":"a189713tocs","properties":{"formattedCitation":"(Griffith et al., 2006; Gulati, 1995)","plainCitation":"(Griffith et al., 2006; Gulati, 1995)","noteIndex":0},"citationItems":[{"id":1917,"uris":["http://zotero.org/users/5709166/items/LFEI2WPS"],"itemData":{"id":1917,"type":"article-journal","container-title":"Journal of International Marketing","DOI":"10.1509/jimk.14.3.1","ISSN":"1069-031X, 1547-7215","issue":"3","language":"en","page":"1-32","source":"Crossref","title":"An Investigation of National Culture's Influence on Relationship and Knowledge Resources in Interorganizational Relationships between Japan and the United States","volume":"14","author":[{"family":"Griffith","given":"David A."},{"family":"Myers","given":"Matthew B."},{"family":"Harvey","given":"Michael G."}],"issued":{"date-parts":[["2006",9]]}}},{"id":1918,"uris":["http://zotero.org/users/5709166/items/E2M99I2P"],"itemData":{"id":1918,"type":"article-journal","container-title":"Administrative Science Quarterly","DOI":"10.2307/2393756","ISSN":"00018392","issue":"4","language":"en","page":"619","source":"Crossref","title":"Social Structure and Alliance Formation Patterns: A Longitudinal Analysis","title-short":"Social Structure and Alliance Formation Patterns","volume":"40","author":[{"family":"Gulati","given":"Ranjay"}],"issued":{"date-parts":[["1995",12]]}}}],"schema":"https://github.com/citation-style-language/schema/raw/master/csl-citation.json"}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(Griffith et al., 2006; Gulati, 1995)</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and from a collective perspective such as the density of relationships among organisations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{"citationID":"a2drjeacg0g","properties":{"formattedCitation":"(Lomi, 2002)","plainCitation":"(Lomi, 2002)","noteIndex":0},"citationItems":[{"id":1915,"uris":["http://zotero.org/users/5709166/items/TUTHGC3J"],"itemData":{"id":1915,"type":"article-journal","title":"Density Dependence and Spatial Duality in Organizational Founding Rates: Danish Commercial Banks, 1846–1989","URL":"https://journals.sagepub.com/doi/pdf/10.1177/0170840600212006","author":[{"family":"Lomi","given":"Alessandro"}],"accessed":{"date-parts":[["2019",12,8]]},"issued":{"date-parts":[["2002"]]}}}],"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(Lomi, 2002)</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and the number of partners involved in inter-organisational relations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{"citationID":"a2443uuntef","properties":{"formattedCitation":"(Rao, 2017)","plainCitation":"(Rao, 2017)","noteIndex":0},"citationItems":[{"id":1916,"uris":["http://zotero.org/users/5709166/items/3Y3ATCWT"],"itemData":{"id":1916,"type":"webpage","title":"Interorganizational Ecology - The Blackwell Companion to Organizations - Wiley Online Library","URL":"https://onlinelibrary.wiley.com/doi/abs/10.1002/9781405164061.ch23","author":[{"family":"Rao","given":"Hayagreeva"}],"accessed":{"date-parts":[["2019",12,8]]},"issued":{"date-parts":[["2017"]]}}}],"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(Rao, 2017)</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p>
    <w:p w14:paraId="3BD54F0C" w14:textId="259E4761"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For the relationship element, most studies focus on an interactive perspective to study relations between or among organisations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{"citationID":"Yp3nPlvO","properties":{"formattedCitation":"(Rajala, 2018)","plainCitation":"(Rajala, 2018)","noteIndex":0},"citationItems":[{"id":1912,"uris":["http://zotero.org/users/5709166/items/6PB9H3ZI"],"itemData":{"id":1912,"type":"article-journal","abstract":"Industrial customer–supplier relationships are recognized as critical success factors for a company in today’s global markets as the dependence between companies has increased along with companies’ focus on their core business. Therefore, the interest in interorganizational interaction has increased, because interaction is seen as a central process through which companies create and implement effective arrangements. This thesis explores interorganizational interaction through three different lenses: interorganizational learning, persuasion, and coopetition.","language":"en","page":"173","source":"Zotero","title":"Exploring interorganizational interaction in customer–supplier relationships: Learning, persuasion, and coopetition","author":[{"family":"Rajala","given":"Anni"}],"issued":{"date-parts":[["2018"]]}}}],"schema":"https://github.com/citation-style-language/schema/raw/master/csl-citation.json"}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(Rajala, 2018)</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Interactive IORs help organisations implement three important features of relationships: content, governance mechanism and structure. Content refers to flows of some specific information or resources transferred among organisations such as tangible/intangible resources, or tacit/explicit knowledge etc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{"citationID":"a81o4qaomg","properties":{"formattedCitation":"(Cropper et al., 2008)","plainCitation":"(Cropper et al., 2008)","noteIndex":0},"citationItems":[{"id":1927,"uris":["http://zotero.org/users/5709166/items/SL4563ZZ"],"itemData":{"id":1927,"type":"book","language":"en","note":"DOI: 10.1093/oxfordhb/9780199282944.003.0001","publisher":"Oxford University Press","source":"Crossref","title":"Introducing Inter‐organizational Relations","URL":"http://oxfordhandbooks.com/view/10.1093/oxfordhb/9780199282944.001.0001/oxfordhb-9780199282944-e-1","author":[{"family":"Cropper","given":"Steve"},{"family":"Ebers","given":"Mark"},{"family":"Huxham","given":"Chris"},{"family":"Ring","given":"Peter Smith"}],"accessed":{"date-parts":[["2019",12,8]]},"issued":{"date-parts":[["2008",6,19]]}}}],"schema":"https://github.com/citation-style-language/schema/raw/master/csl-citation.json"}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 xml:space="preserve">(Cropper et </w:t>
      </w:r>
      <w:r w:rsidRPr="00F153F6">
        <w:rPr>
          <w:rFonts w:ascii="Times New Roman" w:hAnsi="Times New Roman" w:cs="Times New Roman"/>
          <w:color w:val="000000" w:themeColor="text1"/>
          <w:sz w:val="24"/>
          <w:szCs w:val="24"/>
        </w:rPr>
        <w:lastRenderedPageBreak/>
        <w:t>al., 2008)</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Governance mechanisms are the means through which actors manage the content of relationships such as trust, reciprocity, equity etc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{"citationID":"ZqJjqmtk","properties":{"formattedCitation":"(Iriyama et al., 2014; Sepp\\uc0\\u228{}nen, 2008)","plainCitation":"(Iriyama et al., 2014; Seppänen, 2008)","noteIndex":0},"citationItems":[{"id":1910,"uris":["http://zotero.org/users/5709166/items/WIXKH962"],"itemData":{"id":1910,"type":"article-journal","abstract":"Changes in equity ownership between international joint venture (IJV) partners over an IJV life-course represent an important behavioral manifestation of relational dynamics. We examine each occurrence of equity ownership change for two salient temporal properties: frequency (how often ownership change occurs) and directional reversal (when a partner buys and then sells, or vice versa, equity shares from another partner). Building on social exchange theory, we propose that initial partner equity imbalance and partners’ country’s individualism-collectivist culture has an imprinting effect on the likelihood of ownership change for both temporal properties. We developed a data set consisting of all equity changes in 200 Japanese automotive suppliers’ IJVs and found support for our hypotheses while controlling for transaction cost explanations. Our findings contribute to IJV research by shedding light on temporal aspects of equity ownership change over an IJV’s life course as well as the underlying exchange dynamics and the stability of IJV equity ownership distribution among partners.","container-title":"Asia Pacific Journal of Management","DOI":"10.1007/s10490-013-9344-x","ISSN":"1572-9958","issue":"1","journalAbbreviation":"Asia Pac J Manag","language":"en","page":"215-243","source":"Springer Link","title":"Frequency and directional reversal of equity ownership change in international joint ventures","volume":"31","author":[{"family":"Iriyama","given":"Akie"},{"family":"Shi","given":"Weilei (Stone)"},{"family":"Prescott","given":"John E."}],"issued":{"date-parts":[["2014",3,1]]}}},{"id":1911,"uris":["http://zotero.org/users/5709166/items/3BA2IDQG"],"itemData":{"id":1911,"type":"book","collection-number":"328","collection-title":"Acta Universitatis Lappeenrantaensis","event-place":"Lappeenranta","ISBN":"978-952-214-660-1","language":"en","note":"OCLC: 552642644","number-of-pages":"205","publisher":"Lappeenrannan Teknillinen Yliopisto","publisher-place":"Lappeenranta","source":"Gemeinsamer Bibliotheksverbund ISBN","title":"Trust in inter-organizational relationships","author":[{"family":"Seppänen","given":"Risto"}],"issued":{"date-parts":[["2008"]]}}}],"schema":"https://github.com/citation-style-language/schema/raw/master/csl-citation.json"}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(Iriyama et al., 2014; Seppänen, 2008)</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Finally, the structure of relationships defines the associated actors for specific actions, such as the diversity of relational types, strength of relations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{"citationID":"7zlSuABh","properties":{"formattedCitation":"(Hemmert, 2019; Popp et al., 2015)","plainCitation":"(Hemmert, 2019; Popp et al., 2015)","noteIndex":0},"citationItems":[{"id":1909,"uris":["http://zotero.org/users/5709166/items/XSBRWT5E"],"itemData":{"id":1909,"type":"article-journal","abstract":"Inter-personal ties have long been recognized as relevant not only for interaction between individuals, but also for knowledge transfer and other important outcomes of business activities. This applies in particular to East Asian countries such as South Korea where informal social networks are widely prevalent in business and society. However, less is known about their role in inter-organizational collaboration efforts, such as research collaborations. This exploratory study examines the relevance of inter-personal ties and inter-organizational tie strength for interaction quality and outcomes of research collaborations in South Korea. Two types of research collaborations are studied: new product development (NPD) collaborations between companies and university-industry research collaborations (UICs). Inter-personal ties are found in a majority of both types of collaborations being studied. However, whereas inter-organizational tie strength is positively related to outcomes of these research collaborations, inter-personal ties are not. Managers should thus not primarily rely on inter-personal ties for partner selection and the management of research collaborations.","container-title":"Asia Pacific Journal of Management","DOI":"10.1007/s10490-017-9556-6","ISSN":"1572-9958","issue":"2","journalAbbreviation":"Asia Pac J Manag","language":"en","page":"373-393","source":"Springer Link","title":"The relevance of inter-personal ties and inter-organizational tie strength for outcomes of research collaborations in South Korea","volume":"36","author":[{"family":"Hemmert","given":"Martin"}],"issued":{"date-parts":[["2019",6,1]]}}},{"id":1908,"uris":["http://zotero.org/users/5709166/items/XWF5NK3M"],"itemData":{"id":1908,"type":"article-journal","language":"en","page":"4","source":"Zotero","title":"Inter-Organizational Networks: A Review of the Literature to Inform Practice","author":[{"family":"Popp","given":"Janice K"},{"family":"Milward","given":"H Brinton"},{"family":"MacKean","given":"Gail"},{"family":"Casebeer","given":"Ann"},{"family":"Lindstrom","given":"Ronald"}],"issued":{"date-parts":[["2015"]]}}}],"schema":"https://github.com/citation-style-language/schema/raw/master/csl-citation.json"}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(Hemmert, 2019; Popp et al., 2015)</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w:t>
      </w:r>
    </w:p>
    <w:p w14:paraId="01464413" w14:textId="77777777"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The concept of context relates to the conditions that facilitate or </w:t>
      </w:r>
      <w:r w:rsidRPr="00F153F6">
        <w:rPr>
          <w:rFonts w:ascii="Times New Roman" w:eastAsiaTheme="minorEastAsia" w:hAnsi="Times New Roman" w:cs="Times New Roman"/>
          <w:iCs/>
          <w:color w:val="000000" w:themeColor="text1"/>
          <w:sz w:val="24"/>
          <w:szCs w:val="24"/>
        </w:rPr>
        <w:t xml:space="preserve">challenge the development of IORs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{"citationID":"R2CWGVbT","properties":{"formattedCitation":"(Schermerhorn, 1975)","plainCitation":"(Schermerhorn, 1975)","noteIndex":0},"citationItems":[{"id":1906,"uris":["http://zotero.org/users/5709166/items/2DJE7CMA"],"itemData":{"id":1906,"type":"article-journal","abstract":"The literature on interorganizational cooperation is examined for theoretical overlap and commonly discussed variables. These variables are organized according to their importance as potential motivators, their associated costs, and the major correlates of cooperation. The results are summarized in a model offering researchable propositions on the determinants of interorganizational cooperation.","container-title":"The Academy of Management Journal","DOI":"10.2307/255382","ISSN":"0001-4273","issue":"4","page":"846-856","source":"JSTOR","title":"Determinants of Interorganizational Cooperation","volume":"18","author":[{"family":"Schermerhorn","given":"John R."}],"issued":{"date-parts":[["1975"]]}}}],"schema":"https://github.com/citation-style-language/schema/raw/master/csl-citation.json"}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(Schermerhorn, 1975)</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From a micro perspective, individuals influence the results of inter-organisational relations. Key attributes such as nature of ties among individuals or their social capital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{"citationID":"EMrlccC6","properties":{"formattedCitation":"(Hemmert, 2019; Ko &amp; Sienkiewicz, 2016)","plainCitation":"(Hemmert, 2019; Ko &amp; Sienkiewicz, 2016)","noteIndex":0},"citationItems":[{"id":1909,"uris":["http://zotero.org/users/5709166/items/XSBRWT5E"],"itemData":{"id":1909,"type":"article-journal","abstract":"Inter-personal ties have long been recognized as relevant not only for interaction between individuals, but also for knowledge transfer and other important outcomes of business activities. This applies in particular to East Asian countries such as South Korea where informal social networks are widely prevalent in business and society. However, less is known about their role in inter-organizational collaboration efforts, such as research collaborations. This exploratory study examines the relevance of inter-personal ties and inter-organizational tie strength for interaction quality and outcomes of research collaborations in South Korea. Two types of research collaborations are studied: new product development (NPD) collaborations between companies and university-industry research collaborations (UICs). Inter-personal ties are found in a majority of both types of collaborations being studied. However, whereas inter-organizational tie strength is positively related to outcomes of these research collaborations, inter-personal ties are not. Managers should thus not primarily rely on inter-personal ties for partner selection and the management of research collaborations.","container-title":"Asia Pacific Journal of Management","DOI":"10.1007/s10490-017-9556-6","ISSN":"1572-9958","issue":"2","journalAbbreviation":"Asia Pac J Manag","language":"en","page":"373-393","source":"Springer Link","title":"The relevance of inter-personal ties and inter-organizational tie strength for outcomes of research collaborations in South Korea","volume":"36","author":[{"family":"Hemmert","given":"Martin"}],"issued":{"date-parts":[["2019",6,1]]}}},{"id":1905,"uris":["http://zotero.org/users/5709166/items/KNYHUV38"],"itemData":{"id":1905,"type":"article-journal","abstract":"The purpose of the paper is to identify factors driving effective inter-organizational collaboration, investigate the impact of these factors on efforts launched in public management and systematize them. To accomplish the aim of the paper, a systematic literature review and a hermeneutic process based on a focus group with scholars were used. The studies conducted enabled recognition of key publications analyzing drivers behind effective inter-organizational collaboration, to formulate the typology of these drivers as well as to divide them into those with strong, medium or weak inﬂuence on collaborative public management. It was stated that all drivers identiﬁed affect the effectiveness of inter-organizational collaboration in the public sector, though by varying degrees. These factors are mutually complementary, and thus bolstering or mitigating their effects on effective collaboration. They jointly determine the effectiveness of inter-organizational collaboration in public management.","language":"en","page":"19","source":"Zotero","title":"FACTORS OF EFFECTIVE INTER-ORGANIZATIONAL COLLABORATION: A FRAMEWORK FOR PUBLIC MANAGEMENT*","author":[{"family":"Ko","given":"Barbara"},{"family":"Sienkiewicz","given":"Katarzyna"}],"issued":{"date-parts":[["2016"]]}}}],"schema":"https://github.com/citation-style-language/schema/raw/master/csl-citation.json"}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(Hemmert, 2019; Ko &amp; Sienkiewicz, 2016)</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are influential. From a macro perspective, high-level environment aspects such as legal, political, or economic context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{"citationID":"0WcYiEbA","properties":{"formattedCitation":"(Cui et al., 2018)","plainCitation":"(Cui et al., 2018)","noteIndex":0},"citationItems":[{"id":1904,"uris":["http://zotero.org/users/5709166/items/KTPC39Y3"],"itemData":{"id":1904,"type":"article-journal","abstract":"Public–private partnership (PPP) is an approach adopted to enhance the economic value of infrastructure outputs, and it encompasses a broad spectrum of public sector infrastructure. Many researchers have explored the application of PPP to improve the efficiency of infrastructure delivery. This study aims to review the existing PPP research to explore the status quo, trends, and gaps in research for PPP infrastructure projects. A systematic process involving a three-phase word frequency analysis, cluster analysis, and a search on potential research topics helps to provide enough potential articles related to PPP research and reduce arbitrariness and subjectivity involved in the research topic analysis. As a result, six main research topics aligned with the infrastructure PPP projects were derived. The research gaps and research directions can serve as a motivation for researchers and practitioners to work on the next generation of PPP studies to support the development of infrastructure.","container-title":"International Journal of Project Management","DOI":"10.1016/j.ijproman.2018.03.004","ISSN":"0263-7863","issue":"5","journalAbbreviation":"International Journal of Project Management","language":"en","page":"773-794","source":"ScienceDirect","title":"Review of studies on the public–private partnerships (PPP) for infrastructure projects","volume":"36","author":[{"family":"Cui","given":"Caiyun"},{"family":"Liu","given":"Yong"},{"family":"Hope","given":"Alex"},{"family":"Wang","given":"Jianping"}],"issued":{"date-parts":[["2018",7,1]]}}}],"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(Cui et al., 2018)</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influence inter-organisational relations.</w:t>
      </w:r>
    </w:p>
    <w:p w14:paraId="7FAE2FAA" w14:textId="5DF02EC5"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Concerning processes, micro-scale process reveals activities that are embedded in organisational members’ daily lives and vary over time, such as how inter-organisational trust unfolds or the dimensions of leadership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{"citationID":"a2ne3gehu16","properties":{"formattedCitation":"(Smith et al., 2018; Villena et al., 2019)","plainCitation":"(Smith et al., 2018; Villena et al., 2019)","noteIndex":0},"citationItems":[{"id":1901,"uris":["http://zotero.org/users/5709166/items/PJX6BHEP"],"itemData":{"id":1901,"type":"article-journal","abstract":"Recent trends in the leadership literature have advanced a relational and processual perspective that sheds light on the way leadership emerges and evolves in dynamic and flexible organizations. However, very few empirical studies have explored these processes over an extended period. To address this lacuna, we report findings from a three-year ethnographic study that explored the emergence and development of leadership in a self-managed interorganizational R&amp;D team. Findings show that in the context of various events that impacted on the team, leadership emerged through interactions, processes and practices that were perceived by team members to develop and advance shared goals and shared identity. Leadership responses to uncertainty surrounding the project were generally legitimated by team members’ background and expertise in relation to this shared identity, while a lack of perceived legitimacy also compromised leadership. These observations are consistent with arguments that leadership revolves around the creation and enactment of shared social identity. However, they also suggest that the form and nature of leadership is hard to predict because it is heavily structured by specific identity-relevant practices and perceptions that arise in the context of unforeseeable events.","container-title":"Organization Studies","DOI":"10.1177/0170840617727781","ISSN":"0170-8406, 1741-3044","issue":"10","language":"en","page":"1425-1447","source":"Crossref","title":"In Search of Identity Leadership: An ethnographic study of emergent influence in an interorganizational R&amp;D team","title-short":"In Search of Identity Leadership","volume":"39","author":[{"family":"Smith","given":"Pernille"},{"family":"Haslam","given":"S. Alexander"},{"family":"Nielsen","given":"Jørn F."}],"issued":{"date-parts":[["2018",10]]}}},{"id":1902,"uris":["http://zotero.org/users/5709166/items/9W7QRBQC"],"itemData":{"id":1902,"type":"article-journal","container-title":"Journal of Management","DOI":"10.1177/0149206316680031","ISSN":"0149-2063, 1557-1211","issue":"2","language":"en","page":"752-785","source":"Crossref","title":"Revisiting Interorganizational Trust: Is More Always Better or Could More Be Worse?","title-short":"Revisiting Interorganizational Trust","volume":"45","author":[{"family":"Villena","given":"Verónica H."},{"family":"Choi","given":"Thomas Y."},{"family":"Revilla","given":"Elena"}],"issued":{"date-parts":[["2019",2]]}}}],"schema":"https://github.com/citation-style-language/schema/raw/master/csl-citation.json"}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(Smith et al., 2018; Villena et al., 2019)</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Macro-scale processes reveal the evolution in inter-organisational relations, and include different phases of IOR lifecycles, including its dissolution.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{"citationID":"L8DbCLqZ","properties":{"formattedCitation":"(Sullivan et al., 2007; Takimura et al., 2017)","plainCitation":"(Sullivan et al., 2007; Takimura et al., 2017)","noteIndex":0},"citationItems":[{"id":1899,"uris":["http://zotero.org/users/5709166/items/9QAZX477"],"itemData":{"id":1899,"type":"article-journal","container-title":"Organization Science","DOI":"10.1287/orsc.1060.0229","ISSN":"1047-7039, 1526-5455","issue":"1","language":"en","page":"55-70","source":"Crossref","title":"Organizations Non Gratae? The Impact of Unethical Corporate Acts on Interorganizational Networks","title-short":"Organizations Non Gratae?","volume":"18","author":[{"family":"Sullivan","given":"Bilian Ni"},{"family":"Haunschild","given":"Pamela"},{"family":"Page","given":"Karen"}],"issued":{"date-parts":[["2007",2]]}}},{"id":1898,"uris":["http://zotero.org/users/5709166/items/AAX2YAYY"],"itemData":{"id":1898,"type":"article-journal","abstract":"Most of the supply chain literature supports the idea that interorganizational relationships evolve in an increasing linear way, considering the life cycle of relationships, but usually without considering all the complexity present. Based on the idea of analyzing the dynamics of several relationships occurring at the same time, with several organizations supplying a single organization, this research aims at understanding how the interactions arising from relationships outside the buyer- supplier dyad influence the life cycle of interorganizational relationships. In order to accomplish the research objectives, we developed a literature review and case study at a wholesaler. The studied suppliers were from different product categories: hygiene and beauty; technology and computing industry; and products for small constructions. The content analysis of the interviews’ transcripts was performed with the help of QDA Miner. The results suggest that simultaneous relations can influence the various dyads by changing the life cycle dynamics. The interaction favors the learning of behavioral and cultural norms. Due to the relationship model proposed by the wholesaler to its main suppliers, the development of the relationship occurs without a gradual evolution in the initial stages of the life cycle, with the exploration and the buildup stages abbreviated.","container-title":"Academy of Management Proceedings","DOI":"10.5465/AMBPP.2017.14154abstract","ISSN":"0065-0668","issue":"1","journalAbbreviation":"Proceedings","page":"14154","source":"journals.aom.org (Atypon)","title":"The Life Cycle of Interorganizational Relationships: A Study of a Wholesaler and Its Suppliers","title-short":"The Life Cycle of Interorganizational Relationships","volume":"2017","author":[{"family":"Takimura","given":"Miriam"},{"family":"Da Silva","given":"Andrea Lago"},{"family":"Freitas De Paula","given":"Veronica Angelica"}],"issued":{"date-parts":[["2017",8,1]]}}}],"schema":"https://github.com/citation-style-language/schema/raw/master/csl-citation.json"}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(Sullivan et al., 2007; Takimura et al., 2017)</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The attributes analysed above provide a holistic view of inter-organisational settings. </w:t>
      </w:r>
    </w:p>
    <w:p w14:paraId="0A40A982" w14:textId="633DB588" w:rsidR="003516B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There are different types of IORs, for example, social networks, alliance networks and organisational networks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{"citationID":"a2i0bn46tf1","properties":{"formattedCitation":"(Wijk et al., 2015)","plainCitation":"(Wijk et al., 2015)","noteIndex":0},"citationItems":[{"id":326,"uris":["http://zotero.org/users/5709166/items/PGVKA847"],"itemData":{"id":326,"type":"chapter","abstract":"The study of how various types of networks foster the management and organization of knowledge has been conducted under three banners: social networks, alliance networks, and organizational networks. Mainly used as an analytical tool, a social network perspective considers every organization or set of organizations as a network regard less of governance mode and structure. Alliance networks and organizational networks, on the other hand, have emerged as discrete modes of governance. This chapter reviews the facilitatory role of the three types of networks in seeking, transferring, integrating, and creating knowledge. The main conclusions drawn from research on the manifestation of knowledge in social, alliance, and organizational networks are presented and the performance implications of networks and knowledge are discussed. The current understanding of knowledge and networks is discussed and future research directions are suggested.","container-title":"Handbook of Organizational Learning and Knowledge Management","ISBN":"978-1-119-20724-5","language":"en","note":"DOI: 10.1002/9781119207245.ch22","page":"477-504","publisher":"John Wiley &amp; Sons, Ltd","source":"Wiley Online Library","title":"Organizing Knowledge in Social, Alliance, and Organizational Networks","URL":"https://onlinelibrary.wiley.com/doi/abs/10.1002/9781119207245.ch22","author":[{"family":"Wijk","given":"Raymond Van"},{"family":"Bosch","given":"Frans A. J. Van Den"},{"family":"Volberda","given":"Henk W."}],"accessed":{"date-parts":[["2020",1,15]]},"issued":{"date-parts":[["2015"]]}}}],"schema":"https://github.com/citation-style-language/schema/raw/master/csl-citation.json"}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(Wijk et al., 2015)</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Social networking is a way to examine relations between organisations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{"citationID":"fD8Na8en","properties":{"formattedCitation":"(Garc\\uc0\\u237{}a S\\uc0\\u225{}nchez et al., 2017)","plainCitation":"(García Sánchez et al., 2017)","noteIndex":0},"citationItems":[{"id":324,"uris":["http://zotero.org/users/5709166/items/ZT2ME633"],"itemData":{"id":324,"type":"article-journal","container-title":"Journal of technology management &amp;amp; innovation","DOI":"10.4067/S0718-27242017000400007","ISSN":"0718-2724","issue":"4","page":"65-69","source":"SciELO","title":"Do social networks and technological capabilities help knowledge management?","volume":"12","author":[{"family":"García Sánchez","given":"Encarnación"},{"family":"García Morales","given":"Víctor Jesús"},{"family":"Martín-Rojas","given":"Rodrigo"}],"issued":{"date-parts":[["2017"]]}}}],"schema":"https://github.com/citation-style-language/schema/raw/master/csl-citation.json"}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(García Sánchez et al., 2017)</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Alliance network is a governance mode through which organisations obtain access to complementary resources and knowledge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{"citationID":"6Z3eicpl","properties":{"formattedCitation":"(Walter et al., 2007)","plainCitation":"(Walter et al., 2007)","noteIndex":0},"citationItems":[{"id":325,"uris":["http://zotero.org/users/5709166/items/7XQNBPNY"],"itemData":{"id":325,"type":"article-journal","abstract":"This article examines the process through which multilevel network structures translate into knowledge acquisition from alliance partners. The degree of knowledge transfer a multidivisional company achieves from its network of alliance partners is determined not only by the organization's external network structure, but also by the structure of relationships among its business units. By distinguishing two perspectives on the distribution of social capital's benefits – private versus collective – this article's approach reconciles the competing views on what types of network structures create social capital, that is, the brokerage and closure views of the social network literature. Private benefits of brokerage and centrality are more beneficial in interfirm networks, whereas collective benefits provided by network closure and low levels of centralization are more beneficial in intrafirm networks.","container-title":"Journal of Business Research","DOI":"10.1016/j.jbusres.2007.01.026","ISSN":"01482963","issue":"7","journalAbbreviation":"Journal of Business Research","language":"en","page":"698-710","source":"DOI.org (Crossref)","title":"Knowledge transfer between and within alliance partners: Private versus collective benefits of social capital","title-short":"Knowledge transfer between and within alliance partners","volume":"60","author":[{"family":"Walter","given":"Jorge"},{"family":"Lechner","given":"Christoph"},{"family":"Kellermanns","given":"Franz W."}],"issued":{"date-parts":[["2007",7]]}}}],"schema":"https://github.com/citation-style-language/schema/raw/master/csl-citation.json"}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(Walter et al., 2007)</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Organisational networks are a form of organising different organisations. There are three important </w:t>
      </w:r>
      <w:r w:rsidR="003516BF" w:rsidRPr="00F153F6">
        <w:rPr>
          <w:rFonts w:ascii="Times New Roman" w:eastAsia="Times New Roman" w:hAnsi="Times New Roman" w:cs="Times New Roman"/>
          <w:iCs/>
          <w:color w:val="000000" w:themeColor="text1"/>
          <w:sz w:val="24"/>
          <w:szCs w:val="24"/>
        </w:rPr>
        <w:t>organising modes</w:t>
      </w:r>
      <w:r w:rsidRPr="00F153F6">
        <w:rPr>
          <w:rFonts w:ascii="Times New Roman" w:eastAsia="Times New Roman" w:hAnsi="Times New Roman" w:cs="Times New Roman"/>
          <w:iCs/>
          <w:color w:val="000000" w:themeColor="text1"/>
          <w:sz w:val="24"/>
          <w:szCs w:val="24"/>
        </w:rPr>
        <w:t xml:space="preserve"> </w:t>
      </w:r>
      <w:r w:rsidR="003516BF" w:rsidRPr="00F153F6">
        <w:rPr>
          <w:rFonts w:ascii="Times New Roman" w:eastAsia="Times New Roman" w:hAnsi="Times New Roman" w:cs="Times New Roman"/>
          <w:iCs/>
          <w:color w:val="000000" w:themeColor="text1"/>
          <w:sz w:val="24"/>
          <w:szCs w:val="24"/>
        </w:rPr>
        <w:t>within</w:t>
      </w:r>
      <w:r w:rsidRPr="00F153F6">
        <w:rPr>
          <w:rFonts w:ascii="Times New Roman" w:eastAsia="Times New Roman" w:hAnsi="Times New Roman" w:cs="Times New Roman"/>
          <w:iCs/>
          <w:color w:val="000000" w:themeColor="text1"/>
          <w:sz w:val="24"/>
          <w:szCs w:val="24"/>
        </w:rPr>
        <w:t xml:space="preserve"> inter-organisational networks: inter-organisational collaboration, coordination and cooperation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{"citationID":"a12ru9o73i7","properties":{"formattedCitation":"(R. G. Heath &amp; Isbell, 2017)","plainCitation":"(R. G. Heath &amp; Isbell, 2017)","dontUpdate":true,"noteIndex":0},"citationItems":[{"id":2101,"uris":["http://zotero.org/users/5709166/items/5CAJYBT5"],"itemData":{"id":2101,"type":"book","abstract":"Interorganizational Collaboration: Complexity, Ethics, and Communication  centers around three key assertions: (1) interorganizational  collaboration is complex and warrants study as a specific type of  leadership and communication; (2) successful collaborative relationships  are grounded in a principled ethic of democratic and egalitarian  participation; and (3) interorganizational collaboration requires a  specific communication language of practice. Interorganizational  collaboration is influenced by increased interconnectedness, shifting  organizational needs, and a changing workforce. Collaboration invokes  ethical questions and ethical responsibilities that must be considered  in communication practices and structures.  Although there are many popular books and practitioner materials on  collaboration, most are not focused on introducing foundational concepts  to a novice audience. In addition, the subject of communication in  collaboration has been somewhat underdeveloped. The authors focus on  communication from a social constructionist stance. One of their primary  goals is to develop a collaboration pedagogy based on existing  communication scholarship. The authors present communicative practices  vital to interorganizational participation, and they view collaboration  as something beyond an exchange of resources and knowledge. Unlike group  and organizational texts that approach collaboration from a functional  or strategic perspective, this text anchors collaboration in the  assumption that democratic and principled communication will foster  creative and accountable outcomes for participants in collaborative  problem solving. The authors articulate a collaborative ethic useful in  all communicative contexts. Micropractices of communication are  fundamental not only to collaborating across organizations but also to  fostering just and trusting relationships.  The book discusses the cornerstone assumptions and principled practices  necessary for stakeholders to address problems—for example, recognizing  and validating the needs of fellow stakeholders; separating people’s  positions from underlying interests; listening for things that are never  quite said; identifying overlapping commonalities; building trust while  respecting difference; and constructively navigating conflict. The book  also focuses on building collaborative praxis based on the assumption  of contingency. Praxis cultivates knowledge and ethical understanding of  a situation so participants in collaborations can make the best  decision based on specific circumstances.","ISBN":"978-1-4786-3516-1","language":"en","note":"Google-Books-ID: TAduDgAAQBAJ","number-of-pages":"366","publisher":"Waveland Press","source":"Google Books","title":"Interorganizational Collaboration: Complexity, Ethics, and Communication","title-short":"Interorganizational Collaboration","author":[{"family":"Heath","given":"Renee Guarriello"},{"family":"Isbell","given":"Matthew G."}],"issued":{"date-parts":[["2017",3,8]]}}}],"schema":"https://github.com/citation-style-language/schema/raw/master/csl-citation.json"}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(Heath &amp; Isbell, 2017)</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Inter-organisational cooperation is based more on reciprocity and thereby relationships could be more informal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{"citationID":"8Diee0ic","properties":{"formattedCitation":"(Westra et al., 2016)","plainCitation":"(Westra et al., 2016)","noteIndex":0},"citationItems":[{"id":322,"uris":["http://zotero.org/users/5709166/items/92LAIKVM"],"itemData":{"id":322,"type":"article-journal","abstract":"Although market-based reforms have introduced incentives for healthcare organizations to compete in many countries, cooperative inter-organizational arrangements remain salient to the delivery of health care. This paper investigates shared medical specialists as a novel form of cooperation between healthcare organizations. We construct a two-level logistic random intercept model to explore how the characteristics of medical specialists and healthcare organizations influence the probability of a specialist to be shared across specialized care organizations. Our analysis is based on a sample of 616 healthcare organizations and 18,142 medical specialists in the price competitive specialized care sector of the Netherlands. It reveals that male and more experienced specialists, as well as those who are affiliated to larger organizations are more likely to be shared. While this could suggests that specialized care organizations share complementary resources, specialists affiliated to tertiary centers are significantly less likely to be shared. We furthermore find that the likelihood of a specialist to be shared differs significant across medical specialties, warranting further research at the specialty level. The potential implications of specialist sharing for inter-organizational learning and effective managed competition are discussed, as well as its use as an indicator of inter-organizational cooperation in healthcare.","container-title":"Academy of Management Proceedings","DOI":"10.5465/ambpp.2016.12224abstract","ISSN":"0065-0668","issue":"1","journalAbbreviation":"Proceedings","page":"12224","source":"journals.aom.org (Atypon)","title":"Individual and Organizational Characteristics of Inter-Organizational Cooperation in Health Care","volume":"2016","author":[{"family":"Westra","given":"Daan"},{"family":"Ruwaard","given":"Dirk"},{"family":"Carree","given":"Martin"},{"family":"Angeli","given":"Federica"}],"issued":{"date-parts":[["2016",1,1]]}}}],"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(Westra et al., 2016)</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Inter-organisational coordination indicates a formalised relationship among organisations with a very formal agreement about detailed tasks and processes. Inter-organisational collaboration refers to a more indeterminate role between cooperation and coordination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{"citationID":"a2abvng7fp7","properties":{"formattedCitation":"(R. G. Heath &amp; Isbell, 2017)","plainCitation":"(R. G. Heath &amp; Isbell, 2017)","dontUpdate":true,"noteIndex":0},"citationItems":[{"id":2101,"uris":["http://zotero.org/users/5709166/items/5CAJYBT5"],"itemData":{"id":2101,"type":"book","abstract":"Interorganizational Collaboration: Complexity, Ethics, and Communication  centers around three key assertions: (1) interorganizational  collaboration is complex and warrants study as a specific type of  leadership and communication; (2) successful collaborative relationships  are grounded in a principled ethic of democratic and egalitarian  participation; and (3) interorganizational collaboration requires a  specific communication language of practice. Interorganizational  collaboration is influenced by increased interconnectedness, shifting  organizational needs, and a changing workforce. Collaboration invokes  ethical questions and ethical responsibilities that must be considered  in communication practices and structures.  Although there are many popular books and practitioner materials on  collaboration, most are not focused on introducing foundational concepts  to a novice audience. In addition, the subject of communication in  collaboration has been somewhat underdeveloped. The authors focus on  communication from a social constructionist stance. One of their primary  goals is to develop a collaboration pedagogy based on existing  communication scholarship. The authors present communicative practices  vital to interorganizational participation, and they view collaboration  as something beyond an exchange of resources and knowledge. Unlike group  and organizational texts that approach collaboration from a functional  or strategic perspective, this text anchors collaboration in the  assumption that democratic and principled communication will foster  creative and accountable outcomes for participants in collaborative  problem solving. The authors articulate a collaborative ethic useful in  all communicative contexts. Micropractices of communication are  fundamental not only to collaborating across organizations but also to  fostering just and trusting relationships.  The book discusses the cornerstone assumptions and principled practices  necessary for stakeholders to address problems—for example, recognizing  and validating the needs of fellow stakeholders; separating people’s  positions from underlying interests; listening for things that are never  quite said; identifying overlapping commonalities; building trust while  respecting difference; and constructively navigating conflict. The book  also focuses on building collaborative praxis based on the assumption  of contingency. Praxis cultivates knowledge and ethical understanding of  a situation so participants in collaborations can make the best  decision based on specific circumstances.","ISBN":"978-1-4786-3516-1","language":"en","note":"Google-Books-ID: TAduDgAAQBAJ","number-of-pages":"366","publisher":"Waveland Press","source":"Google Books","title":"Interorganizational Collaboration: Complexity, Ethics, and Communication","title-short":"Interorganizational Collaboration","author":[{"family":"Heath","given":"Renee Guarriello"},{"family":"Isbell","given":"Matthew G."}],"issued":{"date-parts":[["2017",3,8]]}}}],"schema":"https://github.com/citation-style-language/schema/raw/master/csl-citation.json"}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(Heath &amp; Isbell, 2017)</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The agreement or arrangements will not have been decided yet but are typically discussed later among collaborative partners. This relationship helps to capitalise the differences among stakeholders in order to facilitate creative ideas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{"citationID":"QKFOeCS0","properties":{"formattedCitation":"(Lalic et al., 2016)","plainCitation":"(Lalic et al., 2016)","noteIndex":0},"citationItems":[{"id":321,"uris":["http://zotero.org/users/5709166/items/XW92HK93"],"itemData":{"id":321,"type":"chapter","abstract":"From day to day, taking part in the collaboration process in different business aspects, especially in the innovation process continues to gain in importance. Innovation enables companies to strive for a more powerful market position, while inter-organizational cooperation is perceived as an efficient means of enhancement of firm innovativeness.","container-title":"DAAAM Proceedings","edition":"1","ISBN":"978-3-902734-08-2","language":"en","note":"DOI: 10.2507/27th.daaam.proceedings.104","page":"0721-0729","publisher":"DAAAM International Vienna","source":"DOI.org (Crossref)","title":"Inter-Organizational Collaboration for Innovation in Manufacturing Firms","URL":"http://www.daaam.info/Downloads/Pdfs/proceedings/proceedings_2016/104.pdf","volume":"1","editor":[{"family":"Katalinic","given":"Branko"}],"author":[{"family":"Lalic","given":"Bojan"},{"family":"Tasic","given":"Nemanja"},{"family":"Marjanovic","given":"Ugljesa"},{"family":"Delic","given":"Milan"},{"family":"Cvetkovic","given":"Nela"}],"accessed":{"date-parts":[["2020",1,15]]},"issued":{"date-parts":[["2016"]]}}}],"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(Lalic et al., 2016)</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bookmarkStart w:id="138" w:name="OLE_LINK225"/>
      <w:bookmarkStart w:id="139" w:name="OLE_LINK224"/>
      <w:r w:rsidRPr="00F153F6">
        <w:rPr>
          <w:rFonts w:ascii="Times New Roman" w:eastAsia="Times New Roman" w:hAnsi="Times New Roman" w:cs="Times New Roman"/>
          <w:iCs/>
          <w:color w:val="000000" w:themeColor="text1"/>
          <w:sz w:val="24"/>
          <w:szCs w:val="24"/>
        </w:rPr>
        <w:t xml:space="preserve">Compared to cooperation that focuses more on a strategic joint effort against competition, collaboration entails a more tactical interactive process. In cooperation, </w:t>
      </w:r>
      <w:r w:rsidRPr="00F153F6">
        <w:rPr>
          <w:rFonts w:ascii="Times New Roman" w:eastAsia="Times New Roman" w:hAnsi="Times New Roman" w:cs="Times New Roman"/>
          <w:iCs/>
          <w:color w:val="000000" w:themeColor="text1"/>
          <w:sz w:val="24"/>
          <w:szCs w:val="24"/>
        </w:rPr>
        <w:lastRenderedPageBreak/>
        <w:t xml:space="preserve">organisations reach a mutual agreement and activities are mutually agreed but not necessarily for mutual benefit. However, in collaboration, the mode of joint planning, joint implementation, and joint evaluation among organisations are developed in order to achieve a mutual goal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{"citationID":"a247jteuh7r","properties":{"formattedCitation":"(Hord, 1981)","plainCitation":"(Hord, 1981)","noteIndex":0},"citationItems":[{"id":2330,"uris":["http://zotero.org/users/5709166/items/9PMCGZHK"],"itemData":{"id":2330,"type":"article-journal","abstract":"The words cooperation and collaboration are often used interchangeably in describing the efforts of two institutions working together. When used to describe methods of organizational interaction, however, each word represents a distinct mode of operation. Organizations usually embark upon joint ventures out of mutual need. Cooperative and collaborative modes each offer a unique approach by which the institutions might work together successfully, but which one is chosen depends on the expected rewards. A clearly explicated model of each interactive process is necessary. The preferred model would depend on the needs of the institutions, of jurse, but also on each one's expectations of the results that working together would produce. Conflict may appear when expectations do not concur. Each model requires a different kind of input and a different level of commitment, and understanding these helps make the interaction more explicit, bringing results which best match the expectations of the individuals involved in the organizations' interchange.","language":"en","page":"21","source":"Zotero","title":"Working Together: Cooperation or Collaboration?","author":[{"family":"Hord","given":"Shirley M"}],"issued":{"date-parts":[["1981"]]}}}],"schema":"https://github.com/citation-style-language/schema/raw/master/csl-citation.json"}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(Hord, 1981)</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Such distinction between collaboration and cooperation makes studying knowledge exchange more useful in inter-organisational collaboration settings. In more recent studies, Lindenfors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{"citationID":"a1hrs85jh0i","properties":{"formattedCitation":"(2017)","plainCitation":"(2017)","dontUpdate":true,"noteIndex":0},"citationItems":[{"id":296,"uris":["http://zotero.org/users/5709166/items/N8XWTLWL"],"itemData":{"id":296,"type":"book","abstract":"This book takes the reader on a journey, navigating the enigmatic aspects of cooperation; a journey that starts inside the body and continues via our thoughts to the human super-organism.Cooperation is one of life’s fundamental principles. We are all made of parts – genes, cells, organs, neurons, but also of ideas, or ‘memes’. Our societies too are made of parts – us humans. Is all this cooperation fundamentally the same process?From the smallest component parts of our bodies and minds to our complicated societies, everywhere cooperation is the organizing principle. Often this cooperation has emerged because the constituting parts have benefited from the interactions, but not seldom the cooperating units appear to lose on the interaction. How then to explain cooperation? How can we understand our intricate societies where we regularly provide small and large favors for people we are unrelated to, know, or even never expect to meet again? Where does the idea come from that it is right to risk one’s life for country, religion or freedom? The answers seem to reside in the two processes that have shaped humanity: biological and cultural evolution.","ISBN":"978-3-319-50874-0","language":"en","note":"Google-Books-ID: 6yGKDgAAQBAJ","number-of-pages":"173","publisher":"Springer","source":"Google Books","title":"For Whose Benefit?: The Biological and Cultural Evolution of Human Cooperation","title-short":"For Whose Benefit?","author":[{"family":"Lindenfors","given":"Patrik"}],"issued":{"date-parts":[["2017",3,27]]}},"suppress-author":true}],"schema":"https://github.com/citation-style-language/schema/raw/master/csl-citation.json"}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(2017, p. 5)</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states that cooperation is the “collective functioning of some kind of units for the benefit of themselves and/or their component parts”. Tuomela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{"citationID":"a7on09kq1k","properties":{"formattedCitation":"(2013)","plainCitation":"(2013)","noteIndex":0},"citationItems":[{"id":295,"uris":["http://zotero.org/users/5709166/items/52RQXH28"],"itemData":{"id":295,"type":"book","abstract":"In Cooperation, A Philosophical Study, Tuomela offers the first comprehensive philosophical theory of cooperation. He builds on such notions a collective and joint goals, mutual beliefs, collective commitments, acting together and acting collectively. The book analyzes the varieties of cooperation, making use of the crucial distinction between group-mode and individual-mode cooperation. The former is based on collective goals and collective commitments, the latter on private goals and commitments. The book discusses the attitudes and the kinds of practical reasoning that cooperation requires and investigate some of the conditions under which cooperation is likely, rationally, to occur. It also shows some of the drawbacks of the standard game-theoretical treatments of cooperation and presents a survey of cooperation research in neighbouring fields.  Readership: Essential reading for researchers and graduate students in philosophy. Also of interest to researchers int he social sciences and AI.","ISBN":"978-94-015-9594-0","language":"en","note":"Google-Books-ID: GyIyBwAAQBAJ","number-of-pages":"447","publisher":"Springer Science &amp; Business Media","source":"Google Books","title":"Cooperation: A Philosophical Study","title-short":"Cooperation","author":[{"family":"Tuomela","given":"R."}],"issued":{"date-parts":[["2013",6,29]]}},"suppress-author":true}],"schema":"https://github.com/citation-style-language/schema/raw/master/csl-citation.json"}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(2013)</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considers cooperation as a collective activity of two or more agents cooperating to achieve a shared end, and such may include an individual or common goal, a maximum reward, a labour division, conflict avoidance, or a system integration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{"citationID":"a1vbl9pt14h","properties":{"formattedCitation":"(Khamis et al., 2006)","plainCitation":"(Khamis et al., 2006)","noteIndex":0},"citationItems":[{"id":293,"uris":["http://zotero.org/users/5709166/items/YJGYIEKL"],"itemData":{"id":293,"type":"paper-conference","abstract":"Life on this planet is full of astonishing examples of cooperation. Individual species depend upon one another for sustenance, often forming surprising alliances to achieve a common goal: continuance of the species. The majority of living things also display amazing altruism in order to protect and provide the best care for their offspring, incomparable to any form of sacrifice shown by human beings. Studying the cooperation patterns between living things and their intelligent behaviors has been source of inspiration for many new algorithms, theories and systems. This paper addresses the concept of cooperation and why it is important. It highlights the available biologically-inspired models and algorithms, and their potential applications. The paper also presents a general typology of cooperation patterns, which can help to understand how systems could work cooperatively in an intelligent manner.","container-title":"2006 IEEE International Conference on Systems, Man and Cybernetics","DOI":"10.1109/ICSMC.2006.384929","event-place":"Taipei, Taiwan","event-title":"2006 IEEE International Conference on Systems, Man and Cybernetics","ISBN":"978-1-4244-0099-7","language":"en","page":"1499-1505","publisher":"IEEE","publisher-place":"Taipei, Taiwan","source":"DOI.org (Crossref)","title":"Cooperation: Concepts and General Typology","title-short":"Cooperation","URL":"http://ieeexplore.ieee.org/document/4274063/","author":[{"family":"Khamis","given":"Alaa M."},{"family":"Kamel","given":"Mohamed S."},{"family":"Salichs","given":"Miguel A."}],"accessed":{"date-parts":[["2020",4,22]]},"issued":{"date-parts":[["2006",10]]}}}],"schema":"https://github.com/citation-style-language/schema/raw/master/csl-citation.json"}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(Khamis et al., 2006)</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These definitions reflect that cooperation is more focused on the achievement of a final goal through collective work. In cooperation, participants can do these collective works separately by being responsible for their assigned parts and finally bringing them to the table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{"citationID":"aqa8cno98m","properties":{"formattedCitation":"(Kozar, 2010)","plainCitation":"(Kozar, 2010)","noteIndex":0},"citationItems":[{"id":292,"uris":["http://zotero.org/users/5709166/items/H4B9NKKY"],"itemData":{"id":292,"type":"article-journal","title":"Towards Better Group Work: Seeing the Difference between Cooperation and Collaboration","URL":"https://files.eric.ed.gov/fulltext/EJ914888.pdf","author":[{"family":"Kozar","given":"Olga"}],"accessed":{"date-parts":[["2020",4,22]]},"issued":{"date-parts":[["2010"]]}}}],"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(Kozar, 2010)</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However, when collaborating, people work together for a mutual goal as well, but hold an emphasis on respecting each participant’s contribution to the whole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{"citationID":"a26h0uo5vmp","properties":{"formattedCitation":"(Roberts, 2004)","plainCitation":"(Roberts, 2004)","noteIndex":0},"citationItems":[{"id":290,"uris":["http://zotero.org/users/5709166/items/G6ZYDYU7"],"itemData":{"id":290,"type":"book","call-number":"LB1032 .O55 2004","event-place":"Hershey Pa","ISBN":"978-1-59140-174-2","language":"en","number-of-pages":"321","publisher":"Information Science Pub","publisher-place":"Hershey Pa","source":"Library of Congress ISBN","title":"Online collaborative learning: theory and practice","title-short":"Online collaborative learning","editor":[{"family":"Roberts","given":"Tim S."}],"issued":{"date-parts":[["2004"]]}}}],"schema":"https://github.com/citation-style-language/schema/raw/master/csl-citation.json"}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(Roberts, 2004)</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Nelson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{"citationID":"aet3sp6n2r","properties":{"formattedCitation":"(2008)","plainCitation":"(2008)","noteIndex":0},"citationItems":[{"id":291,"uris":["http://zotero.org/users/5709166/items/VALH5HJI"],"itemData":{"id":291,"type":"motion_picture","abstract":"Pixar University's former dean Randy Nelson explains what schools must do to prepare students for jobs in new media.","language":"en","source":"www.edutopia.org","title":"Learning and Working in the Collaborative Age","URL":"https://www.edutopia.org/video/randy-nelson-learning-and-working-collaborative-age","director":[{"family":"Nelson","given":"Randy"}],"accessed":{"date-parts":[["2020",4,22]]},"issued":{"date-parts":[["2008"]]}},"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(2008)</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distinguishes collaboration from cooperation as collaboration implies more direct interaction among participants through discussion and negotiations. Such a ‘working together’ process thereby requires more knowledge creation and sharing activities in the process of knowledge exchange </w:t>
      </w:r>
      <w:r w:rsidRPr="00F153F6">
        <w:rPr>
          <w:rFonts w:ascii="Times New Roman" w:hAnsi="Times New Roman" w:cs="Times New Roman"/>
          <w:color w:val="000000" w:themeColor="text1"/>
          <w:sz w:val="24"/>
          <w:szCs w:val="24"/>
        </w:rPr>
        <w:fldChar w:fldCharType="begin"/>
      </w:r>
      <w:r w:rsidR="0043432B" w:rsidRPr="00F153F6">
        <w:rPr>
          <w:rFonts w:ascii="Times New Roman" w:eastAsia="Times New Roman" w:hAnsi="Times New Roman" w:cs="Times New Roman"/>
          <w:iCs/>
          <w:color w:val="000000" w:themeColor="text1"/>
          <w:sz w:val="24"/>
          <w:szCs w:val="24"/>
        </w:rPr>
        <w:instrText xml:space="preserve"> ADDIN ZOTERO_ITEM CSL_CITATION {"citationID":"a2j6112noqo","properties":{"formattedCitation":"(Dillenbourg et al., 1996; R. Nelson, 2008)","plainCitation":"(Dillenbourg et al., 1996; R. Nelson, 2008)","dontUpdate":true,"noteIndex":0},"citationItems":[{"id":289,"uris":["http://zotero.org/users/5709166/items/SX96VFI8"],"itemData":{"id":289,"type":"article-journal","abstract":"For many years, theories of collaborative learning tended to focus on how individuals function in a group. More recently, the focus has shifted so that the group itself has become the unit of analysis. In terms of empirical research, the initial goal was to establish whether and under what circumstances collaborative learning was more effective than learning alone. Researchers controlled several independent variables (size of the group, composition of the group, nature of the task, communication media, and so on). However, these variables interacted with one another in a way that made it almost impossible to establish causal links between the conditions and the effects of collaboration. Hence, empirical studies have more recently started to focus less on establishing parameters for effective collaboration and more on trying to understand the role which such variables play in mediating interaction. In this chapter, we argue that this shift to a more process-oriented account requires new tools for analysing and modelling interactions.","language":"en","page":"28","source":"Zotero","title":"The evolution of research on collaborative learning","author":[{"family":"Dillenbourg","given":"Pierre"},{"family":"Baker","given":"Michael J"},{"family":"Blaye","given":"Agnès"},{"family":"O'Malley","given":"Claire"}],"issued":{"date-parts":[["1996"]]}}},{"id":291,"uris":["http://zotero.org/users/5709166/items/VALH5HJI"],"itemData":{"id":291,"type":"motion_picture","abstract":"Pixar University's former dean Randy Nelson explains what schools must do to prepare students for jobs in new media.","language":"en","source":"www.edutopia.org","title":"Learning and Working in the Collaborative Age","URL":"https://www.edutopia.org/video/randy-nelson-learning-and-working-collaborative-age","director":[{"family":"Nelson","given":"Randy"}],"accessed":{"date-parts":[["2020",4,22]]},"issued":{"date-parts":[["2008"]]}}}],"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(Dillenbourg et al., 1996; Nelson, 2008)</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bookmarkEnd w:id="138"/>
      <w:bookmarkEnd w:id="139"/>
      <w:r w:rsidRPr="00F153F6">
        <w:rPr>
          <w:rFonts w:ascii="Times New Roman" w:eastAsia="Times New Roman" w:hAnsi="Times New Roman" w:cs="Times New Roman"/>
          <w:iCs/>
          <w:color w:val="000000" w:themeColor="text1"/>
          <w:sz w:val="24"/>
          <w:szCs w:val="24"/>
        </w:rPr>
        <w:t xml:space="preserve">Therefore, inter-organisational collaboration tends to be an increasingly important approach that many organisations pursue towards knowledge exchange and innovation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{"citationID":"ZBqyixGC","properties":{"formattedCitation":"(Gustafsson &amp; Magnusson, 2016)","plainCitation":"(Gustafsson &amp; Magnusson, 2016)","noteIndex":0},"citationItems":[{"id":2194,"uris":["http://zotero.org/users/5709166/items/CJAPQ82A"],"itemData":{"id":2194,"type":"paper-conference","source":"Semantic Scholar","title":"INTER-ORGANIZATIONAL COLLABORATION - IN THEORY AND PRACTICE: Based on a multiple-case study in the automotive industry","title-short":"INTER-ORGANIZATIONAL COLLABORATION - IN THEORY AND PRACTICE","author":[{"family":"Gustafsson","given":"Olof"},{"family":"Magnusson","given":"Johan"}],"issued":{"date-parts":[["2016"]]}}}],"schema":"https://github.com/citation-style-language/schema/raw/master/csl-citation.json"}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(Gustafsson &amp; Magnusson, 2016)</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These various definitions and foci of inter-organisational collaboration encountered in the literature are summarised below in Table 2.</w:t>
      </w:r>
      <w:r w:rsidR="00643D53" w:rsidRPr="00F153F6">
        <w:rPr>
          <w:rFonts w:ascii="Times New Roman" w:eastAsia="Times New Roman" w:hAnsi="Times New Roman" w:cs="Times New Roman"/>
          <w:iCs/>
          <w:color w:val="000000" w:themeColor="text1"/>
          <w:sz w:val="24"/>
          <w:szCs w:val="24"/>
        </w:rPr>
        <w:t>3</w:t>
      </w:r>
      <w:r w:rsidRPr="00F153F6">
        <w:rPr>
          <w:rFonts w:ascii="Times New Roman" w:eastAsia="Times New Roman" w:hAnsi="Times New Roman" w:cs="Times New Roman"/>
          <w:iCs/>
          <w:color w:val="000000" w:themeColor="text1"/>
          <w:sz w:val="24"/>
          <w:szCs w:val="24"/>
        </w:rPr>
        <w:t>.</w:t>
      </w:r>
    </w:p>
    <w:p w14:paraId="7D23C05F" w14:textId="77777777" w:rsidR="00475BD5" w:rsidRPr="00F153F6" w:rsidRDefault="00475BD5" w:rsidP="004424B4">
      <w:pPr>
        <w:spacing w:line="360" w:lineRule="auto"/>
        <w:jc w:val="both"/>
        <w:rPr>
          <w:rFonts w:ascii="Times New Roman" w:eastAsia="Times New Roman" w:hAnsi="Times New Roman" w:cs="Times New Roman"/>
          <w:iCs/>
          <w:color w:val="000000" w:themeColor="text1"/>
          <w:sz w:val="24"/>
          <w:szCs w:val="24"/>
        </w:rPr>
      </w:pPr>
    </w:p>
    <w:p w14:paraId="6D93AE9E" w14:textId="377740A1" w:rsidR="00D345CD" w:rsidRPr="00F153F6" w:rsidRDefault="00D345CD" w:rsidP="00D345CD">
      <w:pPr>
        <w:pStyle w:val="Caption"/>
        <w:keepNext/>
        <w:rPr>
          <w:rFonts w:ascii="Times New Roman" w:hAnsi="Times New Roman" w:cs="Times New Roman"/>
          <w:i w:val="0"/>
          <w:iCs w:val="0"/>
          <w:color w:val="auto"/>
          <w:sz w:val="22"/>
          <w:szCs w:val="22"/>
        </w:rPr>
      </w:pPr>
      <w:bookmarkStart w:id="140" w:name="_Toc119448004"/>
      <w:r w:rsidRPr="00F153F6">
        <w:rPr>
          <w:rFonts w:ascii="Times New Roman" w:hAnsi="Times New Roman" w:cs="Times New Roman"/>
          <w:i w:val="0"/>
          <w:iCs w:val="0"/>
          <w:color w:val="auto"/>
          <w:sz w:val="22"/>
          <w:szCs w:val="22"/>
        </w:rPr>
        <w:t xml:space="preserve">Table 2.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Table_2.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3</w:t>
      </w:r>
      <w:r w:rsidRPr="00F153F6">
        <w:rPr>
          <w:rFonts w:ascii="Times New Roman" w:hAnsi="Times New Roman" w:cs="Times New Roman"/>
          <w:i w:val="0"/>
          <w:iCs w:val="0"/>
          <w:color w:val="auto"/>
          <w:sz w:val="22"/>
          <w:szCs w:val="22"/>
        </w:rPr>
        <w:fldChar w:fldCharType="end"/>
      </w:r>
      <w:r w:rsidRPr="00F153F6">
        <w:rPr>
          <w:rFonts w:ascii="Times New Roman" w:eastAsia="Times New Roman" w:hAnsi="Times New Roman" w:cs="Times New Roman"/>
          <w:i w:val="0"/>
          <w:iCs w:val="0"/>
          <w:color w:val="auto"/>
          <w:sz w:val="22"/>
          <w:szCs w:val="22"/>
        </w:rPr>
        <w:t xml:space="preserve"> Inter-organisational collaboration definitions</w:t>
      </w:r>
      <w:bookmarkEnd w:id="140"/>
    </w:p>
    <w:tbl>
      <w:tblPr>
        <w:tblStyle w:val="PlainTable2"/>
        <w:tblW w:w="9351" w:type="dxa"/>
        <w:tblLook w:val="04A0" w:firstRow="1" w:lastRow="0" w:firstColumn="1" w:lastColumn="0" w:noHBand="0" w:noVBand="1"/>
      </w:tblPr>
      <w:tblGrid>
        <w:gridCol w:w="2268"/>
        <w:gridCol w:w="7083"/>
      </w:tblGrid>
      <w:tr w:rsidR="002C1A2F" w:rsidRPr="00F153F6" w14:paraId="45DC4502" w14:textId="77777777" w:rsidTr="002C1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7F7F7F" w:themeColor="text1" w:themeTint="80"/>
              <w:left w:val="nil"/>
              <w:right w:val="nil"/>
            </w:tcBorders>
            <w:hideMark/>
          </w:tcPr>
          <w:p w14:paraId="4CA466A8" w14:textId="77777777" w:rsidR="002C1A2F" w:rsidRPr="00F153F6" w:rsidRDefault="002C1A2F" w:rsidP="004424B4">
            <w:pPr>
              <w:spacing w:line="360" w:lineRule="auto"/>
              <w:rPr>
                <w:rFonts w:ascii="Times New Roman" w:eastAsia="Times New Roman" w:hAnsi="Times New Roman" w:cs="Times New Roman"/>
                <w:b w:val="0"/>
                <w:bCs w:val="0"/>
                <w:iCs/>
                <w:color w:val="000000" w:themeColor="text1"/>
              </w:rPr>
            </w:pPr>
            <w:r w:rsidRPr="00F153F6">
              <w:rPr>
                <w:rFonts w:ascii="Times New Roman" w:eastAsia="Times New Roman" w:hAnsi="Times New Roman" w:cs="Times New Roman"/>
                <w:iCs/>
                <w:color w:val="000000" w:themeColor="text1"/>
              </w:rPr>
              <w:t>Emphasis</w:t>
            </w:r>
          </w:p>
          <w:p w14:paraId="5A031219" w14:textId="77777777" w:rsidR="002C1A2F" w:rsidRPr="00F153F6" w:rsidRDefault="002C1A2F" w:rsidP="004424B4">
            <w:pPr>
              <w:spacing w:line="360" w:lineRule="auto"/>
              <w:rPr>
                <w:rFonts w:ascii="Times New Roman" w:eastAsia="Times New Roman" w:hAnsi="Times New Roman" w:cs="Times New Roman"/>
                <w:b w:val="0"/>
                <w:bCs w:val="0"/>
                <w:iCs/>
                <w:color w:val="000000" w:themeColor="text1"/>
              </w:rPr>
            </w:pPr>
            <w:r w:rsidRPr="00F153F6">
              <w:rPr>
                <w:rFonts w:ascii="Times New Roman" w:eastAsia="Times New Roman" w:hAnsi="Times New Roman" w:cs="Times New Roman"/>
                <w:iCs/>
                <w:color w:val="000000" w:themeColor="text1"/>
              </w:rPr>
              <w:t>and orientation</w:t>
            </w:r>
          </w:p>
        </w:tc>
        <w:tc>
          <w:tcPr>
            <w:tcW w:w="7083" w:type="dxa"/>
            <w:tcBorders>
              <w:top w:val="single" w:sz="4" w:space="0" w:color="7F7F7F" w:themeColor="text1" w:themeTint="80"/>
              <w:left w:val="nil"/>
              <w:right w:val="nil"/>
            </w:tcBorders>
            <w:hideMark/>
          </w:tcPr>
          <w:p w14:paraId="42DA2578" w14:textId="77777777" w:rsidR="002C1A2F" w:rsidRPr="00F153F6" w:rsidRDefault="002C1A2F"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themeColor="text1"/>
              </w:rPr>
            </w:pPr>
            <w:r w:rsidRPr="00F153F6">
              <w:rPr>
                <w:rFonts w:ascii="Times New Roman" w:eastAsia="Times New Roman" w:hAnsi="Times New Roman" w:cs="Times New Roman"/>
                <w:iCs/>
                <w:color w:val="000000" w:themeColor="text1"/>
              </w:rPr>
              <w:t>Definitions</w:t>
            </w:r>
          </w:p>
        </w:tc>
      </w:tr>
      <w:tr w:rsidR="002C1A2F" w:rsidRPr="00F153F6" w14:paraId="4D545FEA" w14:textId="77777777" w:rsidTr="002C1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il"/>
              <w:right w:val="nil"/>
            </w:tcBorders>
            <w:hideMark/>
          </w:tcPr>
          <w:p w14:paraId="2E504474" w14:textId="77777777" w:rsidR="002C1A2F" w:rsidRPr="00F153F6" w:rsidRDefault="002C1A2F" w:rsidP="004424B4">
            <w:pPr>
              <w:spacing w:line="360" w:lineRule="auto"/>
              <w:rPr>
                <w:rFonts w:ascii="Times New Roman" w:eastAsia="Times New Roman" w:hAnsi="Times New Roman" w:cs="Times New Roman"/>
                <w:b w:val="0"/>
                <w:bCs w:val="0"/>
                <w:i/>
                <w:color w:val="000000" w:themeColor="text1"/>
              </w:rPr>
            </w:pPr>
            <w:r w:rsidRPr="00F153F6">
              <w:rPr>
                <w:rFonts w:ascii="Times New Roman" w:eastAsia="Times New Roman" w:hAnsi="Times New Roman" w:cs="Times New Roman"/>
                <w:i/>
                <w:color w:val="000000" w:themeColor="text1"/>
              </w:rPr>
              <w:t xml:space="preserve">Innovation outputs </w:t>
            </w:r>
          </w:p>
        </w:tc>
        <w:tc>
          <w:tcPr>
            <w:tcW w:w="7083" w:type="dxa"/>
            <w:tcBorders>
              <w:left w:val="nil"/>
              <w:right w:val="nil"/>
            </w:tcBorders>
            <w:hideMark/>
          </w:tcPr>
          <w:p w14:paraId="585EF11A" w14:textId="77777777" w:rsidR="002C1A2F" w:rsidRPr="00F153F6" w:rsidRDefault="002C1A2F"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000000" w:themeColor="text1"/>
              </w:rPr>
            </w:pPr>
            <w:r w:rsidRPr="00F153F6">
              <w:rPr>
                <w:rFonts w:ascii="Times New Roman" w:eastAsia="Times New Roman" w:hAnsi="Times New Roman" w:cs="Times New Roman"/>
                <w:iCs/>
                <w:color w:val="000000" w:themeColor="text1"/>
              </w:rPr>
              <w:t xml:space="preserve">“Inter-organisational collaboration is conceptualized as a feature of the innovation process related to the extent to which other organisations—firms or institutions—take an important part in the innovation process” </w:t>
            </w:r>
            <w:bookmarkStart w:id="141" w:name="OLE_LINK379"/>
            <w:bookmarkStart w:id="142" w:name="OLE_LINK378"/>
            <w:r w:rsidRPr="00F153F6">
              <w:rPr>
                <w:rFonts w:ascii="Times New Roman" w:hAnsi="Times New Roman" w:cs="Times New Roman"/>
                <w:color w:val="000000" w:themeColor="text1"/>
              </w:rPr>
              <w:fldChar w:fldCharType="begin"/>
            </w:r>
            <w:r w:rsidRPr="00F153F6">
              <w:rPr>
                <w:rFonts w:ascii="Times New Roman" w:eastAsia="Times New Roman" w:hAnsi="Times New Roman" w:cs="Times New Roman"/>
                <w:iCs/>
                <w:color w:val="000000" w:themeColor="text1"/>
              </w:rPr>
              <w:instrText xml:space="preserve"> ADDIN ZOTERO_ITEM CSL_CITATION {"citationID":"a273kvkqa09","properties":{"formattedCitation":"(Alexiev et al., 2016, p. 975)","plainCitation":"(Alexiev et al., 2016, p. 975)","noteIndex":0},"citationItems":[{"id":2191,"uris":["http://zotero.org/users/5709166/items/VBGRI27A"],"itemData":{"id":2191,"type":"article-journal","abstract":"In firm decisions to engage in interorganizational collaboration in the context of innovation, conceptions of the organizational environment play an essential role. In this paper, we develop a multidimensional model of how managers use interorganizational collaboration as an organizational response to particular environmental conditions and an important instrument to boost firm innovativeness. Based on a literature review on the subject, we investigated the role of environmental turbulence, market heterogeneity and competitive intensity as such conditions. The analysis of firm data from a broad range of industries showed that environmental turbulence and market heterogeneity have an indirect association with firm innovativeness through interorganizational collaboration. The relationship of market heterogeneity was fully mediated suggesting that collaboration is unavoidable for firms in heterogeneous markets. Contrary to arguments in the literature, the findings demonstrated that although competitive intensity is associated with less interorganizational collaboration and lower firm innovativeness, the mediation relationship was not significant.","container-title":"Journal of Business Research","DOI":"10.1016/j.jbusres.2015.09.002","ISSN":"0148-2963","issue":"2","journalAbbreviation":"Journal of Business Research","language":"en","page":"974-984","source":"ScienceDirect","title":"Interorganizational collaboration and firm innovativeness: Unpacking the role of the organizational environment","title-short":"Interorganizational collaboration and firm innovativeness","volume":"69","author":[{"family":"Alexiev","given":"Alexander S."},{"family":"Volberda","given":"Henk W."},{"family":"Van den Bosch","given":"Frans A. J."}],"issued":{"date-parts":[["2016",2,1]]}},"locator":"975"}],"schema":"https://github.com/citation-style-language/schema/raw/master/csl-citation.json"} </w:instrText>
            </w:r>
            <w:r w:rsidRPr="00F153F6">
              <w:rPr>
                <w:rFonts w:ascii="Times New Roman" w:hAnsi="Times New Roman" w:cs="Times New Roman"/>
                <w:color w:val="000000" w:themeColor="text1"/>
              </w:rPr>
              <w:fldChar w:fldCharType="separate"/>
            </w:r>
            <w:r w:rsidRPr="00F153F6">
              <w:rPr>
                <w:rFonts w:ascii="Times New Roman" w:hAnsi="Times New Roman" w:cs="Times New Roman"/>
                <w:color w:val="000000" w:themeColor="text1"/>
              </w:rPr>
              <w:t>(Alexiev et al., 2016, p. 975)</w:t>
            </w:r>
            <w:r w:rsidRPr="00F153F6">
              <w:rPr>
                <w:rFonts w:ascii="Times New Roman" w:hAnsi="Times New Roman" w:cs="Times New Roman"/>
                <w:color w:val="000000" w:themeColor="text1"/>
              </w:rPr>
              <w:fldChar w:fldCharType="end"/>
            </w:r>
            <w:bookmarkEnd w:id="141"/>
            <w:bookmarkEnd w:id="142"/>
          </w:p>
        </w:tc>
      </w:tr>
      <w:tr w:rsidR="002C1A2F" w:rsidRPr="00F153F6" w14:paraId="60B0D626" w14:textId="77777777" w:rsidTr="002C1A2F">
        <w:tc>
          <w:tcPr>
            <w:cnfStyle w:val="001000000000" w:firstRow="0" w:lastRow="0" w:firstColumn="1" w:lastColumn="0" w:oddVBand="0" w:evenVBand="0" w:oddHBand="0" w:evenHBand="0" w:firstRowFirstColumn="0" w:firstRowLastColumn="0" w:lastRowFirstColumn="0" w:lastRowLastColumn="0"/>
            <w:tcW w:w="2268" w:type="dxa"/>
            <w:tcBorders>
              <w:top w:val="nil"/>
              <w:left w:val="nil"/>
              <w:bottom w:val="nil"/>
              <w:right w:val="nil"/>
            </w:tcBorders>
            <w:hideMark/>
          </w:tcPr>
          <w:p w14:paraId="38F07C4F" w14:textId="77777777" w:rsidR="002C1A2F" w:rsidRPr="00F153F6" w:rsidRDefault="002C1A2F" w:rsidP="004424B4">
            <w:pPr>
              <w:spacing w:line="360" w:lineRule="auto"/>
              <w:rPr>
                <w:rFonts w:ascii="Times New Roman" w:eastAsia="Times New Roman" w:hAnsi="Times New Roman" w:cs="Times New Roman"/>
                <w:b w:val="0"/>
                <w:bCs w:val="0"/>
                <w:i/>
                <w:color w:val="000000" w:themeColor="text1"/>
              </w:rPr>
            </w:pPr>
            <w:r w:rsidRPr="00F153F6">
              <w:rPr>
                <w:rFonts w:ascii="Times New Roman" w:eastAsia="Times New Roman" w:hAnsi="Times New Roman" w:cs="Times New Roman"/>
                <w:i/>
                <w:color w:val="000000" w:themeColor="text1"/>
              </w:rPr>
              <w:lastRenderedPageBreak/>
              <w:t xml:space="preserve">Problem-solving </w:t>
            </w:r>
          </w:p>
        </w:tc>
        <w:tc>
          <w:tcPr>
            <w:tcW w:w="7083" w:type="dxa"/>
            <w:tcBorders>
              <w:top w:val="nil"/>
              <w:left w:val="nil"/>
              <w:bottom w:val="nil"/>
              <w:right w:val="nil"/>
            </w:tcBorders>
            <w:hideMark/>
          </w:tcPr>
          <w:p w14:paraId="7CDDB68A" w14:textId="77777777" w:rsidR="002C1A2F" w:rsidRPr="00F153F6" w:rsidRDefault="002C1A2F"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themeColor="text1"/>
              </w:rPr>
            </w:pPr>
            <w:r w:rsidRPr="00F153F6">
              <w:rPr>
                <w:rFonts w:ascii="Times New Roman" w:eastAsia="Times New Roman" w:hAnsi="Times New Roman" w:cs="Times New Roman"/>
                <w:iCs/>
                <w:color w:val="000000" w:themeColor="text1"/>
              </w:rPr>
              <w:t xml:space="preserve">“Social problem-solving mechanisms among organisations” </w:t>
            </w:r>
            <w:r w:rsidRPr="00F153F6">
              <w:rPr>
                <w:rFonts w:ascii="Times New Roman" w:eastAsia="Times New Roman" w:hAnsi="Times New Roman" w:cs="Times New Roman"/>
                <w:iCs/>
                <w:color w:val="000000" w:themeColor="text1"/>
              </w:rPr>
              <w:fldChar w:fldCharType="begin"/>
            </w:r>
            <w:r w:rsidRPr="00F153F6">
              <w:rPr>
                <w:rFonts w:ascii="Times New Roman" w:eastAsia="Times New Roman" w:hAnsi="Times New Roman" w:cs="Times New Roman"/>
                <w:iCs/>
                <w:color w:val="000000" w:themeColor="text1"/>
              </w:rPr>
              <w:instrText xml:space="preserve"> ADDIN ZOTERO_ITEM CSL_CITATION {"citationID":"a3ej8odrtf","properties":{"formattedCitation":"(Waddock, 1989, p. 79)","plainCitation":"(Waddock, 1989, p. 79)","noteIndex":0},"citationItems":[{"id":302,"uris":["http://zotero.org/users/5709166/items/6UZCKS95"],"itemData":{"id":302,"type":"article-journal","container-title":"Administration &amp; Society","DOI":"10.1177/009539978902100105","ISSN":"0095-3997, 1552-3039","issue":"1","journalAbbreviation":"Administration &amp; Society","language":"en","page":"78-100","source":"DOI.org (Crossref)","title":"Understanding Social Partnerships: An Evolutionary Model of Partnership Organizations","title-short":"Understanding Social Partnerships","volume":"21","author":[{"family":"Waddock","given":"Sandra A."}],"issued":{"date-parts":[["1989",5]]}},"locator":"79"}],"schema":"https://github.com/citation-style-language/schema/raw/master/csl-citation.json"} </w:instrText>
            </w:r>
            <w:r w:rsidRPr="00F153F6">
              <w:rPr>
                <w:rFonts w:ascii="Times New Roman" w:eastAsia="Times New Roman" w:hAnsi="Times New Roman" w:cs="Times New Roman"/>
                <w:iCs/>
                <w:color w:val="000000" w:themeColor="text1"/>
              </w:rPr>
              <w:fldChar w:fldCharType="separate"/>
            </w:r>
            <w:r w:rsidRPr="00F153F6">
              <w:rPr>
                <w:rFonts w:ascii="Times New Roman" w:hAnsi="Times New Roman" w:cs="Times New Roman"/>
                <w:color w:val="000000" w:themeColor="text1"/>
              </w:rPr>
              <w:t>(Waddock, 1989, p. 79)</w:t>
            </w:r>
            <w:r w:rsidRPr="00F153F6">
              <w:rPr>
                <w:rFonts w:ascii="Times New Roman" w:eastAsia="Times New Roman" w:hAnsi="Times New Roman" w:cs="Times New Roman"/>
                <w:iCs/>
                <w:color w:val="000000" w:themeColor="text1"/>
              </w:rPr>
              <w:fldChar w:fldCharType="end"/>
            </w:r>
          </w:p>
        </w:tc>
      </w:tr>
      <w:tr w:rsidR="002C1A2F" w:rsidRPr="00F153F6" w14:paraId="638E5064" w14:textId="77777777" w:rsidTr="002C1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il"/>
              <w:right w:val="nil"/>
            </w:tcBorders>
          </w:tcPr>
          <w:p w14:paraId="7B14601E" w14:textId="77777777" w:rsidR="002C1A2F" w:rsidRPr="00F153F6" w:rsidRDefault="002C1A2F" w:rsidP="004424B4">
            <w:pPr>
              <w:spacing w:line="360" w:lineRule="auto"/>
              <w:rPr>
                <w:rFonts w:ascii="Times New Roman" w:eastAsia="Times New Roman" w:hAnsi="Times New Roman" w:cs="Times New Roman"/>
                <w:b w:val="0"/>
                <w:bCs w:val="0"/>
                <w:i/>
                <w:color w:val="000000" w:themeColor="text1"/>
              </w:rPr>
            </w:pPr>
            <w:r w:rsidRPr="00F153F6">
              <w:rPr>
                <w:rFonts w:ascii="Times New Roman" w:eastAsia="Times New Roman" w:hAnsi="Times New Roman" w:cs="Times New Roman"/>
                <w:i/>
                <w:color w:val="000000" w:themeColor="text1"/>
              </w:rPr>
              <w:t>Achieving unique outcomes</w:t>
            </w:r>
          </w:p>
          <w:p w14:paraId="57B869D0" w14:textId="77777777" w:rsidR="002C1A2F" w:rsidRPr="00F153F6" w:rsidRDefault="002C1A2F" w:rsidP="004424B4">
            <w:pPr>
              <w:spacing w:line="360" w:lineRule="auto"/>
              <w:rPr>
                <w:rFonts w:ascii="Times New Roman" w:eastAsia="Times New Roman" w:hAnsi="Times New Roman" w:cs="Times New Roman"/>
                <w:b w:val="0"/>
                <w:bCs w:val="0"/>
                <w:i/>
                <w:color w:val="000000" w:themeColor="text1"/>
              </w:rPr>
            </w:pPr>
          </w:p>
        </w:tc>
        <w:tc>
          <w:tcPr>
            <w:tcW w:w="7083" w:type="dxa"/>
            <w:tcBorders>
              <w:left w:val="nil"/>
              <w:right w:val="nil"/>
            </w:tcBorders>
            <w:hideMark/>
          </w:tcPr>
          <w:p w14:paraId="58C047C6" w14:textId="77777777" w:rsidR="002C1A2F" w:rsidRPr="00F153F6" w:rsidRDefault="002C1A2F"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000000" w:themeColor="text1"/>
              </w:rPr>
            </w:pPr>
            <w:r w:rsidRPr="00F153F6">
              <w:rPr>
                <w:rFonts w:ascii="Times New Roman" w:eastAsia="Times New Roman" w:hAnsi="Times New Roman" w:cs="Times New Roman"/>
                <w:iCs/>
                <w:color w:val="000000" w:themeColor="text1"/>
              </w:rPr>
              <w:t xml:space="preserve">“The linking or sharing of information, resources, activities, and capabilities by organisations to achieve an outcome that could not be achieved by the organisations separately” </w:t>
            </w:r>
            <w:r w:rsidRPr="00F153F6">
              <w:rPr>
                <w:rFonts w:ascii="Times New Roman" w:eastAsia="Times New Roman" w:hAnsi="Times New Roman" w:cs="Times New Roman"/>
                <w:iCs/>
                <w:color w:val="000000" w:themeColor="text1"/>
              </w:rPr>
              <w:fldChar w:fldCharType="begin"/>
            </w:r>
            <w:r w:rsidRPr="00F153F6">
              <w:rPr>
                <w:rFonts w:ascii="Times New Roman" w:eastAsia="Times New Roman" w:hAnsi="Times New Roman" w:cs="Times New Roman"/>
                <w:iCs/>
                <w:color w:val="000000" w:themeColor="text1"/>
              </w:rPr>
              <w:instrText xml:space="preserve"> ADDIN ZOTERO_ITEM CSL_CITATION {"citationID":"a1uhj8qov8q","properties":{"formattedCitation":"(Bryson et al., 2006, p. 44)","plainCitation":"(Bryson et al., 2006, p. 44)","noteIndex":0},"citationItems":[{"id":301,"uris":["http://zotero.org/users/5709166/items/HZA6NLVD"],"itemData":{"id":301,"type":"article-journal","container-title":"Public Administration Review","DOI":"10.1111/j.1540-6210.2006.00665.x","ISSN":"0033-3352, 1540-6210","issue":"s1","journalAbbreviation":"Public Administration Review","language":"en","page":"44-55","source":"DOI.org (Crossref)","title":"The Design and Implementation of Cross-Sector Collaborations: Propositions from the Literature","title-short":"The Design and Implementation of Cross-Sector Collaborations","volume":"66","author":[{"family":"Bryson","given":"John M."},{"family":"Crosby","given":"Barbara C."},{"family":"Stone","given":"Melissa Middleton"}],"issued":{"date-parts":[["2006",12]]}},"locator":"44"}],"schema":"https://github.com/citation-style-language/schema/raw/master/csl-citation.json"} </w:instrText>
            </w:r>
            <w:r w:rsidRPr="00F153F6">
              <w:rPr>
                <w:rFonts w:ascii="Times New Roman" w:eastAsia="Times New Roman" w:hAnsi="Times New Roman" w:cs="Times New Roman"/>
                <w:iCs/>
                <w:color w:val="000000" w:themeColor="text1"/>
              </w:rPr>
              <w:fldChar w:fldCharType="separate"/>
            </w:r>
            <w:r w:rsidRPr="00F153F6">
              <w:rPr>
                <w:rFonts w:ascii="Times New Roman" w:hAnsi="Times New Roman" w:cs="Times New Roman"/>
                <w:color w:val="000000" w:themeColor="text1"/>
              </w:rPr>
              <w:t>(Bryson et al., 2006, p. 44)</w:t>
            </w:r>
            <w:r w:rsidRPr="00F153F6">
              <w:rPr>
                <w:rFonts w:ascii="Times New Roman" w:eastAsia="Times New Roman" w:hAnsi="Times New Roman" w:cs="Times New Roman"/>
                <w:iCs/>
                <w:color w:val="000000" w:themeColor="text1"/>
              </w:rPr>
              <w:fldChar w:fldCharType="end"/>
            </w:r>
          </w:p>
        </w:tc>
      </w:tr>
      <w:tr w:rsidR="002C1A2F" w:rsidRPr="00F153F6" w14:paraId="7BFF4DAE" w14:textId="77777777" w:rsidTr="002C1A2F">
        <w:tc>
          <w:tcPr>
            <w:cnfStyle w:val="001000000000" w:firstRow="0" w:lastRow="0" w:firstColumn="1" w:lastColumn="0" w:oddVBand="0" w:evenVBand="0" w:oddHBand="0" w:evenHBand="0" w:firstRowFirstColumn="0" w:firstRowLastColumn="0" w:lastRowFirstColumn="0" w:lastRowLastColumn="0"/>
            <w:tcW w:w="2268" w:type="dxa"/>
            <w:tcBorders>
              <w:top w:val="nil"/>
              <w:left w:val="nil"/>
              <w:bottom w:val="nil"/>
              <w:right w:val="nil"/>
            </w:tcBorders>
          </w:tcPr>
          <w:p w14:paraId="65AF07E2" w14:textId="77777777" w:rsidR="002C1A2F" w:rsidRPr="00F153F6" w:rsidRDefault="002C1A2F" w:rsidP="004424B4">
            <w:pPr>
              <w:spacing w:line="360" w:lineRule="auto"/>
              <w:rPr>
                <w:rFonts w:ascii="Times New Roman" w:eastAsia="Times New Roman" w:hAnsi="Times New Roman" w:cs="Times New Roman"/>
                <w:b w:val="0"/>
                <w:bCs w:val="0"/>
                <w:i/>
                <w:color w:val="000000" w:themeColor="text1"/>
              </w:rPr>
            </w:pPr>
            <w:r w:rsidRPr="00F153F6">
              <w:rPr>
                <w:rFonts w:ascii="Times New Roman" w:eastAsia="Times New Roman" w:hAnsi="Times New Roman" w:cs="Times New Roman"/>
                <w:i/>
                <w:color w:val="000000" w:themeColor="text1"/>
              </w:rPr>
              <w:t>Acquiring necessary resources</w:t>
            </w:r>
          </w:p>
          <w:p w14:paraId="06CE571A" w14:textId="77777777" w:rsidR="002C1A2F" w:rsidRPr="00F153F6" w:rsidRDefault="002C1A2F" w:rsidP="004424B4">
            <w:pPr>
              <w:spacing w:line="360" w:lineRule="auto"/>
              <w:rPr>
                <w:rFonts w:ascii="Times New Roman" w:eastAsia="Times New Roman" w:hAnsi="Times New Roman" w:cs="Times New Roman"/>
                <w:b w:val="0"/>
                <w:bCs w:val="0"/>
                <w:i/>
                <w:color w:val="000000" w:themeColor="text1"/>
              </w:rPr>
            </w:pPr>
          </w:p>
        </w:tc>
        <w:tc>
          <w:tcPr>
            <w:tcW w:w="7083" w:type="dxa"/>
            <w:tcBorders>
              <w:top w:val="nil"/>
              <w:left w:val="nil"/>
              <w:bottom w:val="nil"/>
              <w:right w:val="nil"/>
            </w:tcBorders>
            <w:hideMark/>
          </w:tcPr>
          <w:p w14:paraId="34F0266F" w14:textId="77777777" w:rsidR="002C1A2F" w:rsidRPr="00F153F6" w:rsidRDefault="002C1A2F"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themeColor="text1"/>
              </w:rPr>
            </w:pPr>
            <w:r w:rsidRPr="00F153F6">
              <w:rPr>
                <w:rFonts w:ascii="Times New Roman" w:eastAsia="Times New Roman" w:hAnsi="Times New Roman" w:cs="Times New Roman"/>
                <w:iCs/>
                <w:color w:val="000000" w:themeColor="text1"/>
              </w:rPr>
              <w:t xml:space="preserve">“In a situation where industry forces propel firms into internationalisation, firms are prepared to collaborate with competitors to acquire resources” </w:t>
            </w:r>
            <w:r w:rsidRPr="00F153F6">
              <w:rPr>
                <w:rFonts w:ascii="Times New Roman" w:eastAsia="Times New Roman" w:hAnsi="Times New Roman" w:cs="Times New Roman"/>
                <w:iCs/>
                <w:color w:val="000000" w:themeColor="text1"/>
              </w:rPr>
              <w:fldChar w:fldCharType="begin"/>
            </w:r>
            <w:r w:rsidRPr="00F153F6">
              <w:rPr>
                <w:rFonts w:ascii="Times New Roman" w:eastAsia="Times New Roman" w:hAnsi="Times New Roman" w:cs="Times New Roman"/>
                <w:iCs/>
                <w:color w:val="000000" w:themeColor="text1"/>
              </w:rPr>
              <w:instrText xml:space="preserve"> ADDIN ZOTERO_ITEM CSL_CITATION {"citationID":"a1v8mqgp7in","properties":{"formattedCitation":"(Chetty &amp; Wilson, 2003, p. 77)","plainCitation":"(Chetty &amp; Wilson, 2003, p. 77)","noteIndex":0},"citationItems":[{"id":2192,"uris":["http://zotero.org/users/5709166/items/43S8I6KB"],"itemData":{"id":2192,"type":"article-journal","abstract":"This paper uses both a survey and a case study from New Zealand to explore the role of network relationships in the internationalisation of small and medium-sized enterprises. These networks can take various forms so we explore whether one type of network supports internationalisation more than the other, and whether the type of networks created will determine the type of resources the firm acquires. We further explore these issues by categorising respondents as domestic, early international or late international firms, which we term the internationalisation strategy of the firm. The findings from the survey show that the willingness to access external resources, especially from horizontal or competitor-based networks, may be a defining aspect of the international firm. For international firms, horizontal networks represented the principal source of external physical, organisation, technical and reputation resources while, for domestic firms, the more critical network for these resources was socially/vertically related to the firm. The case study confirms and expands on the critical role of horizontal networks for enhancing physical, organisational, technical and reputation resources. In addition, international firms emphasised different resources, with late international firms focusing on external human resources and early international firms focusing on external reputation and organisational resources.","container-title":"International Business Review","DOI":"10.1016/S0969-5931(02)00088-4","ISSN":"0969-5931","issue":"1","journalAbbreviation":"International Business Review","language":"en","page":"61-81","source":"ScienceDirect","title":"Collaborating with competitors to acquire resources","volume":"12","author":[{"family":"Chetty","given":"Sylvie K."},{"family":"Wilson","given":"Heather I. M."}],"issued":{"date-parts":[["2003",2,1]]}},"locator":"77"}],"schema":"https://github.com/citation-style-language/schema/raw/master/csl-citation.json"} </w:instrText>
            </w:r>
            <w:r w:rsidRPr="00F153F6">
              <w:rPr>
                <w:rFonts w:ascii="Times New Roman" w:eastAsia="Times New Roman" w:hAnsi="Times New Roman" w:cs="Times New Roman"/>
                <w:iCs/>
                <w:color w:val="000000" w:themeColor="text1"/>
              </w:rPr>
              <w:fldChar w:fldCharType="separate"/>
            </w:r>
            <w:r w:rsidRPr="00F153F6">
              <w:rPr>
                <w:rFonts w:ascii="Times New Roman" w:hAnsi="Times New Roman" w:cs="Times New Roman"/>
                <w:color w:val="000000" w:themeColor="text1"/>
              </w:rPr>
              <w:t>(Chetty &amp; Wilson, 2003, p. 77)</w:t>
            </w:r>
            <w:r w:rsidRPr="00F153F6">
              <w:rPr>
                <w:rFonts w:ascii="Times New Roman" w:eastAsia="Times New Roman" w:hAnsi="Times New Roman" w:cs="Times New Roman"/>
                <w:iCs/>
                <w:color w:val="000000" w:themeColor="text1"/>
              </w:rPr>
              <w:fldChar w:fldCharType="end"/>
            </w:r>
          </w:p>
        </w:tc>
      </w:tr>
      <w:tr w:rsidR="002C1A2F" w:rsidRPr="00F153F6" w14:paraId="02A4B539" w14:textId="77777777" w:rsidTr="00F85358">
        <w:trPr>
          <w:cnfStyle w:val="000000100000" w:firstRow="0" w:lastRow="0" w:firstColumn="0" w:lastColumn="0" w:oddVBand="0" w:evenVBand="0" w:oddHBand="1" w:evenHBand="0" w:firstRowFirstColumn="0" w:firstRowLastColumn="0" w:lastRowFirstColumn="0" w:lastRowLastColumn="0"/>
          <w:trHeight w:val="1674"/>
        </w:trPr>
        <w:tc>
          <w:tcPr>
            <w:cnfStyle w:val="001000000000" w:firstRow="0" w:lastRow="0" w:firstColumn="1" w:lastColumn="0" w:oddVBand="0" w:evenVBand="0" w:oddHBand="0" w:evenHBand="0" w:firstRowFirstColumn="0" w:firstRowLastColumn="0" w:lastRowFirstColumn="0" w:lastRowLastColumn="0"/>
            <w:tcW w:w="2268" w:type="dxa"/>
            <w:tcBorders>
              <w:left w:val="nil"/>
              <w:right w:val="nil"/>
            </w:tcBorders>
          </w:tcPr>
          <w:p w14:paraId="114A3ACA" w14:textId="3C0A0034" w:rsidR="002C1A2F" w:rsidRPr="00F153F6" w:rsidRDefault="002C1A2F" w:rsidP="004424B4">
            <w:pPr>
              <w:spacing w:line="360" w:lineRule="auto"/>
              <w:rPr>
                <w:rFonts w:ascii="Times New Roman" w:eastAsia="Times New Roman" w:hAnsi="Times New Roman" w:cs="Times New Roman"/>
                <w:b w:val="0"/>
                <w:bCs w:val="0"/>
                <w:i/>
                <w:color w:val="000000" w:themeColor="text1"/>
              </w:rPr>
            </w:pPr>
            <w:r w:rsidRPr="00F153F6">
              <w:rPr>
                <w:rFonts w:ascii="Times New Roman" w:eastAsia="Times New Roman" w:hAnsi="Times New Roman" w:cs="Times New Roman"/>
                <w:i/>
                <w:color w:val="000000" w:themeColor="text1"/>
              </w:rPr>
              <w:t xml:space="preserve">Working across organisational boundaries </w:t>
            </w:r>
          </w:p>
        </w:tc>
        <w:tc>
          <w:tcPr>
            <w:tcW w:w="7083" w:type="dxa"/>
            <w:tcBorders>
              <w:left w:val="nil"/>
              <w:right w:val="nil"/>
            </w:tcBorders>
            <w:hideMark/>
          </w:tcPr>
          <w:p w14:paraId="67BE17D2" w14:textId="77777777" w:rsidR="002C1A2F" w:rsidRPr="00F153F6" w:rsidRDefault="002C1A2F"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000000" w:themeColor="text1"/>
              </w:rPr>
            </w:pPr>
            <w:r w:rsidRPr="00F153F6">
              <w:rPr>
                <w:rFonts w:ascii="Times New Roman" w:eastAsia="Times New Roman" w:hAnsi="Times New Roman" w:cs="Times New Roman"/>
                <w:iCs/>
                <w:color w:val="000000" w:themeColor="text1"/>
              </w:rPr>
              <w:t xml:space="preserve">“Any situation in which people are working across organisational boundaries towards some positive end” </w:t>
            </w:r>
            <w:r w:rsidRPr="00F153F6">
              <w:rPr>
                <w:rFonts w:ascii="Times New Roman" w:eastAsia="Times New Roman" w:hAnsi="Times New Roman" w:cs="Times New Roman"/>
                <w:iCs/>
                <w:color w:val="000000" w:themeColor="text1"/>
              </w:rPr>
              <w:fldChar w:fldCharType="begin"/>
            </w:r>
            <w:r w:rsidRPr="00F153F6">
              <w:rPr>
                <w:rFonts w:ascii="Times New Roman" w:eastAsia="Times New Roman" w:hAnsi="Times New Roman" w:cs="Times New Roman"/>
                <w:iCs/>
                <w:color w:val="000000" w:themeColor="text1"/>
              </w:rPr>
              <w:instrText xml:space="preserve"> ADDIN ZOTERO_ITEM CSL_CITATION {"citationID":"a1potb8sp1f","properties":{"formattedCitation":"(Huxham &amp; Vangen, 2005, p. 4)","plainCitation":"(Huxham &amp; Vangen, 2005, p. 4)","noteIndex":0},"citationItems":[{"id":2189,"uris":["http://zotero.org/users/5709166/items/K6HMLUCN"],"itemData":{"id":2189,"type":"book","call-number":"HD69.S8 H89 2005","event-place":"London ; New York","ISBN":"978-0-415-33919-3","language":"en","note":"OCLC: ocm55633634","number-of-pages":"271","publisher":"Routledge","publisher-place":"London ; New York","source":"Library of Congress ISBN","title":"Managing to collaborate: the theory and practice of collaborative advantage","title-short":"Managing to collaborate","author":[{"family":"Huxham","given":"Chris"},{"family":"Vangen","given":"Siv"}],"issued":{"date-parts":[["2005"]]}},"locator":"4"}],"schema":"https://github.com/citation-style-language/schema/raw/master/csl-citation.json"} </w:instrText>
            </w:r>
            <w:r w:rsidRPr="00F153F6">
              <w:rPr>
                <w:rFonts w:ascii="Times New Roman" w:eastAsia="Times New Roman" w:hAnsi="Times New Roman" w:cs="Times New Roman"/>
                <w:iCs/>
                <w:color w:val="000000" w:themeColor="text1"/>
              </w:rPr>
              <w:fldChar w:fldCharType="separate"/>
            </w:r>
            <w:r w:rsidRPr="00F153F6">
              <w:rPr>
                <w:rFonts w:ascii="Times New Roman" w:hAnsi="Times New Roman" w:cs="Times New Roman"/>
                <w:color w:val="000000" w:themeColor="text1"/>
              </w:rPr>
              <w:t>(Huxham &amp; Vangen, 2005, p. 4)</w:t>
            </w:r>
            <w:r w:rsidRPr="00F153F6">
              <w:rPr>
                <w:rFonts w:ascii="Times New Roman" w:eastAsia="Times New Roman" w:hAnsi="Times New Roman" w:cs="Times New Roman"/>
                <w:iCs/>
                <w:color w:val="000000" w:themeColor="text1"/>
              </w:rPr>
              <w:fldChar w:fldCharType="end"/>
            </w:r>
          </w:p>
        </w:tc>
      </w:tr>
      <w:tr w:rsidR="002C1A2F" w:rsidRPr="00F153F6" w14:paraId="265AE5C7" w14:textId="77777777" w:rsidTr="00F85358">
        <w:trPr>
          <w:trHeight w:val="1483"/>
        </w:trPr>
        <w:tc>
          <w:tcPr>
            <w:cnfStyle w:val="001000000000" w:firstRow="0" w:lastRow="0" w:firstColumn="1" w:lastColumn="0" w:oddVBand="0" w:evenVBand="0" w:oddHBand="0" w:evenHBand="0" w:firstRowFirstColumn="0" w:firstRowLastColumn="0" w:lastRowFirstColumn="0" w:lastRowLastColumn="0"/>
            <w:tcW w:w="2268" w:type="dxa"/>
            <w:tcBorders>
              <w:top w:val="nil"/>
              <w:left w:val="nil"/>
              <w:bottom w:val="single" w:sz="4" w:space="0" w:color="7F7F7F" w:themeColor="text1" w:themeTint="80"/>
              <w:right w:val="nil"/>
            </w:tcBorders>
          </w:tcPr>
          <w:p w14:paraId="534584FA" w14:textId="786B00C8" w:rsidR="002C1A2F" w:rsidRPr="00F153F6" w:rsidRDefault="002C1A2F" w:rsidP="004424B4">
            <w:pPr>
              <w:spacing w:line="360" w:lineRule="auto"/>
              <w:rPr>
                <w:rFonts w:ascii="Times New Roman" w:eastAsia="Times New Roman" w:hAnsi="Times New Roman" w:cs="Times New Roman"/>
                <w:b w:val="0"/>
                <w:bCs w:val="0"/>
                <w:i/>
                <w:color w:val="000000" w:themeColor="text1"/>
              </w:rPr>
            </w:pPr>
            <w:r w:rsidRPr="00F153F6">
              <w:rPr>
                <w:rFonts w:ascii="Times New Roman" w:eastAsia="Times New Roman" w:hAnsi="Times New Roman" w:cs="Times New Roman"/>
                <w:i/>
                <w:color w:val="000000" w:themeColor="text1"/>
              </w:rPr>
              <w:t>Using information and communication technologies</w:t>
            </w:r>
          </w:p>
        </w:tc>
        <w:tc>
          <w:tcPr>
            <w:tcW w:w="7083" w:type="dxa"/>
            <w:tcBorders>
              <w:top w:val="nil"/>
              <w:left w:val="nil"/>
              <w:bottom w:val="single" w:sz="4" w:space="0" w:color="7F7F7F" w:themeColor="text1" w:themeTint="80"/>
              <w:right w:val="nil"/>
            </w:tcBorders>
            <w:hideMark/>
          </w:tcPr>
          <w:p w14:paraId="2D0B5223" w14:textId="77777777" w:rsidR="002C1A2F" w:rsidRPr="00F153F6" w:rsidRDefault="002C1A2F"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themeColor="text1"/>
              </w:rPr>
            </w:pPr>
            <w:r w:rsidRPr="00F153F6">
              <w:rPr>
                <w:rFonts w:ascii="Times New Roman" w:eastAsia="Times New Roman" w:hAnsi="Times New Roman" w:cs="Times New Roman"/>
                <w:iCs/>
                <w:color w:val="000000" w:themeColor="text1"/>
              </w:rPr>
              <w:t xml:space="preserve">“The use of information and communication technologies to support sharing of information among business partners to attain predetermined objectives” </w:t>
            </w:r>
            <w:r w:rsidRPr="00F153F6">
              <w:rPr>
                <w:rFonts w:ascii="Times New Roman" w:eastAsia="Times New Roman" w:hAnsi="Times New Roman" w:cs="Times New Roman"/>
                <w:iCs/>
                <w:color w:val="000000" w:themeColor="text1"/>
              </w:rPr>
              <w:fldChar w:fldCharType="begin"/>
            </w:r>
            <w:r w:rsidRPr="00F153F6">
              <w:rPr>
                <w:rFonts w:ascii="Times New Roman" w:eastAsia="Times New Roman" w:hAnsi="Times New Roman" w:cs="Times New Roman"/>
                <w:iCs/>
                <w:color w:val="000000" w:themeColor="text1"/>
              </w:rPr>
              <w:instrText xml:space="preserve"> ADDIN ZOTERO_ITEM CSL_CITATION {"citationID":"ajiks6iamn","properties":{"formattedCitation":"(Ned, 2007, p. 319)","plainCitation":"(Ned, 2007, p. 319)","noteIndex":0},"citationItems":[{"id":2216,"uris":["http://zotero.org/users/5709166/items/52ZTDLW6"],"itemData":{"id":2216,"type":"book","abstract":"E-collaboration, while having its roots in electronic technology such as telephones and other rudimentary electronicdevices, has expanded dramatically with today&amp;#39;s plethora of computer-supported cooperation and computer-mediatedcommunication.The Encyclopedia of E-Collaboration includes 109 authoritative contributions on information on the design andimplementation of e-collaboration technologies, the behavioral impacts of e-collaboration technologies on individuals andgroups, and theoretical considerations on links between the use of e-collaboration technology and behavioral patterns.With more than 2,600 references to existing literature and over 850 key terms this cutting-edge encyclopedia deliversindispensable content to libraries and researchers looking to develop programs of investigation into the use of electroniccollaboration.","ISBN":"978-1-59904-001-1","language":"en","number-of-pages":"749","publisher":"IGI Global","source":"Google Books","title":"Encyclopedia of E-Collaboration","author":[{"family":"Ned","given":"Kock"}],"issued":{"date-parts":[["2007",12,31]]}},"locator":"319"}],"schema":"https://github.com/citation-style-language/schema/raw/master/csl-citation.json"} </w:instrText>
            </w:r>
            <w:r w:rsidRPr="00F153F6">
              <w:rPr>
                <w:rFonts w:ascii="Times New Roman" w:eastAsia="Times New Roman" w:hAnsi="Times New Roman" w:cs="Times New Roman"/>
                <w:iCs/>
                <w:color w:val="000000" w:themeColor="text1"/>
              </w:rPr>
              <w:fldChar w:fldCharType="separate"/>
            </w:r>
            <w:r w:rsidRPr="00F153F6">
              <w:rPr>
                <w:rFonts w:ascii="Times New Roman" w:hAnsi="Times New Roman" w:cs="Times New Roman"/>
                <w:color w:val="000000" w:themeColor="text1"/>
              </w:rPr>
              <w:t>(Ned, 2007, p. 319)</w:t>
            </w:r>
            <w:r w:rsidRPr="00F153F6">
              <w:rPr>
                <w:rFonts w:ascii="Times New Roman" w:eastAsia="Times New Roman" w:hAnsi="Times New Roman" w:cs="Times New Roman"/>
                <w:iCs/>
                <w:color w:val="000000" w:themeColor="text1"/>
              </w:rPr>
              <w:fldChar w:fldCharType="end"/>
            </w:r>
          </w:p>
        </w:tc>
      </w:tr>
    </w:tbl>
    <w:p w14:paraId="082DCDB3" w14:textId="77777777"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p>
    <w:p w14:paraId="60390DAA" w14:textId="024F3C28"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These different views of inter-organisational collaboration emphasise three important aspects of inter-organisational collaboration: intentions, involvement of organisations, and tools to support collaborations. First, organisations involved in collaboration can be diverse. These organisations could be businesses, governments, NGOs, end-users or communities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{"citationID":"a1bmvma37eh","properties":{"formattedCitation":"(Gray &amp; Stites, 2013)","plainCitation":"(Gray &amp; Stites, 2013)","noteIndex":0},"citationItems":[{"id":2297,"uris":["http://zotero.org/users/5709166/items/2TSLBP9V"],"itemData":{"id":2297,"type":"article-journal","language":"en","page":"110","source":"Zotero","title":"sustainability through partnerships: Capitalizing on Collaboration","author":[{"family":"Gray","given":"Barbara"},{"family":"Stites","given":"Jenna P."}],"issued":{"date-parts":[["2013"]]}}}],"schema":"https://github.com/citation-style-language/schema/raw/master/csl-citation.json"}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(Gray &amp; Stites, 2013)</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Concerning varying intentions, different collaborating organisations may do so with the intention to focus on innovations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{"citationID":"a5pmgkqrfu","properties":{"formattedCitation":"(Alexiev et al., 2016)","plainCitation":"(Alexiev et al., 2016)","noteIndex":0},"citationItems":[{"id":2191,"uris":["http://zotero.org/users/5709166/items/VBGRI27A"],"itemData":{"id":2191,"type":"article-journal","abstract":"In firm decisions to engage in interorganizational collaboration in the context of innovation, conceptions of the organizational environment play an essential role. In this paper, we develop a multidimensional model of how managers use interorganizational collaboration as an organizational response to particular environmental conditions and an important instrument to boost firm innovativeness. Based on a literature review on the subject, we investigated the role of environmental turbulence, market heterogeneity and competitive intensity as such conditions. The analysis of firm data from a broad range of industries showed that environmental turbulence and market heterogeneity have an indirect association with firm innovativeness through interorganizational collaboration. The relationship of market heterogeneity was fully mediated suggesting that collaboration is unavoidable for firms in heterogeneous markets. Contrary to arguments in the literature, the findings demonstrated that although competitive intensity is associated with less interorganizational collaboration and lower firm innovativeness, the mediation relationship was not significant.","container-title":"Journal of Business Research","DOI":"10.1016/j.jbusres.2015.09.002","ISSN":"0148-2963","issue":"2","journalAbbreviation":"Journal of Business Research","language":"en","page":"974-984","source":"ScienceDirect","title":"Interorganizational collaboration and firm innovativeness: Unpacking the role of the organizational environment","title-short":"Interorganizational collaboration and firm innovativeness","volume":"69","author":[{"family":"Alexiev","given":"Alexander S."},{"family":"Volberda","given":"Henk W."},{"family":"Van den Bosch","given":"Frans A. J."}],"issued":{"date-parts":[["2016",2,1]]}}}],"schema":"https://github.com/citation-style-language/schema/raw/master/csl-citation.json"}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(Alexiev et al., 2016)</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problem-solving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{"citationID":"apn9f8ffug","properties":{"formattedCitation":"(Waddock, 1989)","plainCitation":"(Waddock, 1989)","noteIndex":0},"citationItems":[{"id":302,"uris":["http://zotero.org/users/5709166/items/6UZCKS95"],"itemData":{"id":302,"type":"article-journal","container-title":"Administration &amp; Society","DOI":"10.1177/009539978902100105","ISSN":"0095-3997, 1552-3039","issue":"1","journalAbbreviation":"Administration &amp; Society","language":"en","page":"78-100","source":"DOI.org (Crossref)","title":"Understanding Social Partnerships: An Evolutionary Model of Partnership Organizations","title-short":"Understanding Social Partnerships","volume":"21","author":[{"family":"Waddock","given":"Sandra A."}],"issued":{"date-parts":[["1989",5]]}}}],"schema":"https://github.com/citation-style-language/schema/raw/master/csl-citation.json"}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(Waddock, 1989)</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or acquiring external knowledge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{"citationID":"a2bcso21g8h","properties":{"formattedCitation":"(Bryson et al., 2006; Chetty &amp; Wilson, 2003)","plainCitation":"(Bryson et al., 2006; Chetty &amp; Wilson, 2003)","noteIndex":0},"citationItems":[{"id":301,"uris":["http://zotero.org/users/5709166/items/HZA6NLVD"],"itemData":{"id":301,"type":"article-journal","container-title":"Public Administration Review","DOI":"10.1111/j.1540-6210.2006.00665.x","ISSN":"0033-3352, 1540-6210","issue":"s1","journalAbbreviation":"Public Administration Review","language":"en","page":"44-55","source":"DOI.org (Crossref)","title":"The Design and Implementation of Cross-Sector Collaborations: Propositions from the Literature","title-short":"The Design and Implementation of Cross-Sector Collaborations","volume":"66","author":[{"family":"Bryson","given":"John M."},{"family":"Crosby","given":"Barbara C."},{"family":"Stone","given":"Melissa Middleton"}],"issued":{"date-parts":[["2006",12]]}}},{"id":2192,"uris":["http://zotero.org/users/5709166/items/43S8I6KB"],"itemData":{"id":2192,"type":"article-journal","abstract":"This paper uses both a survey and a case study from New Zealand to explore the role of network relationships in the internationalisation of small and medium-sized enterprises. These networks can take various forms so we explore whether one type of network supports internationalisation more than the other, and whether the type of networks created will determine the type of resources the firm acquires. We further explore these issues by categorising respondents as domestic, early international or late international firms, which we term the internationalisation strategy of the firm. The findings from the survey show that the willingness to access external resources, especially from horizontal or competitor-based networks, may be a defining aspect of the international firm. For international firms, horizontal networks represented the principal source of external physical, organisation, technical and reputation resources while, for domestic firms, the more critical network for these resources was socially/vertically related to the firm. The case study confirms and expands on the critical role of horizontal networks for enhancing physical, organisational, technical and reputation resources. In addition, international firms emphasised different resources, with late international firms focusing on external human resources and early international firms focusing on external reputation and organisational resources.","container-title":"International Business Review","DOI":"10.1016/S0969-5931(02)00088-4","ISSN":"0969-5931","issue":"1","journalAbbreviation":"International Business Review","language":"en","page":"61-81","source":"ScienceDirect","title":"Collaborating with competitors to acquire resources","volume":"12","author":[{"family":"Chetty","given":"Sylvie K."},{"family":"Wilson","given":"Heather I. M."}],"issued":{"date-parts":[["2003",2,1]]}}}],"schema":"https://github.com/citation-style-language/schema/raw/master/csl-citation.json"}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(Bryson et al., 2006; Chetty &amp; Wilson, 2003)</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Finally, the ways through which inter-organisational collaboration is constructed are also diverse such as the use of </w:t>
      </w:r>
      <w:r w:rsidR="000A6A4E" w:rsidRPr="00F153F6">
        <w:rPr>
          <w:rFonts w:ascii="Times New Roman" w:eastAsia="Times New Roman" w:hAnsi="Times New Roman" w:cs="Times New Roman"/>
          <w:iCs/>
          <w:color w:val="000000" w:themeColor="text1"/>
          <w:sz w:val="24"/>
          <w:szCs w:val="24"/>
        </w:rPr>
        <w:t>ICT</w:t>
      </w:r>
      <w:r w:rsidRPr="00F153F6">
        <w:rPr>
          <w:rFonts w:ascii="Times New Roman" w:eastAsia="Times New Roman" w:hAnsi="Times New Roman" w:cs="Times New Roman"/>
          <w:iCs/>
          <w:color w:val="000000" w:themeColor="text1"/>
          <w:sz w:val="24"/>
          <w:szCs w:val="24"/>
        </w:rPr>
        <w:t xml:space="preserve"> to support organisations achieve this goal </w:t>
      </w:r>
      <w:bookmarkStart w:id="143" w:name="OLE_LINK374"/>
      <w:bookmarkStart w:id="144" w:name="OLE_LINK375"/>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{"citationID":"GbEzUe2b","properties":{"formattedCitation":"(Ghosh &amp; Fedorowicz, 2008)","plainCitation":"(Ghosh &amp; Fedorowicz, 2008)","noteIndex":0},"citationItems":[{"id":2197,"uris":["http://zotero.org/users/5709166/items/4EYKHXXV"],"itemData":{"id":2197,"type":"article-journal","abstract":"Governance Mechanisms for E-Collaboration: 10.4018/978-1-59904-000-4.ch049: E-collaboration, defined as “collaboration among individuals engaged in a common task using electronic technologies” (Kock, Davison, Ocker, &amp; Wazlawick","container-title":"Encyclopedia of E-Collaboration","DOI":"10.4018/978-1-59904-000-4.ch049","language":"en","license":"Access limited to members","page":"319-323","source":"www.igi-global.com","title":"Governance Mechanisms for E-Collaboration","author":[{"family":"Ghosh","given":"Anupam"},{"family":"Fedorowicz","given":"Jane"}],"issued":{"date-parts":[["2008"]]}}}],"schema":"https://github.com/citation-style-language/schema/raw/master/csl-citation.json"}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(Ghosh &amp; Fedorowicz, 2008)</w:t>
      </w:r>
      <w:r w:rsidRPr="00F153F6">
        <w:rPr>
          <w:rFonts w:ascii="Times New Roman" w:hAnsi="Times New Roman" w:cs="Times New Roman"/>
          <w:color w:val="000000" w:themeColor="text1"/>
          <w:sz w:val="24"/>
          <w:szCs w:val="24"/>
        </w:rPr>
        <w:fldChar w:fldCharType="end"/>
      </w:r>
      <w:bookmarkEnd w:id="143"/>
      <w:bookmarkEnd w:id="144"/>
      <w:r w:rsidRPr="00F153F6">
        <w:rPr>
          <w:rFonts w:ascii="Times New Roman" w:eastAsia="Times New Roman" w:hAnsi="Times New Roman" w:cs="Times New Roman"/>
          <w:iCs/>
          <w:color w:val="000000" w:themeColor="text1"/>
          <w:sz w:val="24"/>
          <w:szCs w:val="24"/>
        </w:rPr>
        <w:t xml:space="preserve">. </w:t>
      </w:r>
    </w:p>
    <w:p w14:paraId="51913771" w14:textId="00A28659"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Based on these different viewpoints towards inter-organisational collaboration, several core characteristics were identified to be significant in defining the role of inter-organisational collaboration in this research. First, the aim of inter-organisational collaboration is focusing on creating new knowledge; second, the parties involved in inter-organisational collaborations should originate from two or more types of entities such as government, community, NGOs or </w:t>
      </w:r>
      <w:r w:rsidRPr="00F153F6">
        <w:rPr>
          <w:rFonts w:ascii="Times New Roman" w:eastAsia="Times New Roman" w:hAnsi="Times New Roman" w:cs="Times New Roman"/>
          <w:iCs/>
          <w:color w:val="000000" w:themeColor="text1"/>
          <w:sz w:val="24"/>
          <w:szCs w:val="24"/>
        </w:rPr>
        <w:lastRenderedPageBreak/>
        <w:t xml:space="preserve">business; third, information </w:t>
      </w:r>
      <w:r w:rsidR="003516BF" w:rsidRPr="00F153F6">
        <w:rPr>
          <w:rFonts w:ascii="Times New Roman" w:eastAsia="Times New Roman" w:hAnsi="Times New Roman" w:cs="Times New Roman"/>
          <w:iCs/>
          <w:color w:val="000000" w:themeColor="text1"/>
          <w:sz w:val="24"/>
          <w:szCs w:val="24"/>
        </w:rPr>
        <w:t xml:space="preserve">and communication </w:t>
      </w:r>
      <w:r w:rsidRPr="00F153F6">
        <w:rPr>
          <w:rFonts w:ascii="Times New Roman" w:eastAsia="Times New Roman" w:hAnsi="Times New Roman" w:cs="Times New Roman"/>
          <w:iCs/>
          <w:color w:val="000000" w:themeColor="text1"/>
          <w:sz w:val="24"/>
          <w:szCs w:val="24"/>
        </w:rPr>
        <w:t>technolog</w:t>
      </w:r>
      <w:r w:rsidR="003516BF" w:rsidRPr="00F153F6">
        <w:rPr>
          <w:rFonts w:ascii="Times New Roman" w:eastAsia="Times New Roman" w:hAnsi="Times New Roman" w:cs="Times New Roman"/>
          <w:iCs/>
          <w:color w:val="000000" w:themeColor="text1"/>
          <w:sz w:val="24"/>
          <w:szCs w:val="24"/>
        </w:rPr>
        <w:t>ies</w:t>
      </w:r>
      <w:r w:rsidRPr="00F153F6">
        <w:rPr>
          <w:rFonts w:ascii="Times New Roman" w:eastAsia="Times New Roman" w:hAnsi="Times New Roman" w:cs="Times New Roman"/>
          <w:iCs/>
          <w:color w:val="000000" w:themeColor="text1"/>
          <w:sz w:val="24"/>
          <w:szCs w:val="24"/>
        </w:rPr>
        <w:t xml:space="preserve"> can support the achievement and development of inter-organisational collaborations. </w:t>
      </w:r>
    </w:p>
    <w:p w14:paraId="4BDF6D70" w14:textId="77777777" w:rsidR="000543CB" w:rsidRPr="00F153F6" w:rsidRDefault="000543CB" w:rsidP="004424B4">
      <w:pPr>
        <w:spacing w:line="360" w:lineRule="auto"/>
        <w:jc w:val="both"/>
        <w:rPr>
          <w:rFonts w:ascii="Times New Roman" w:eastAsia="Times New Roman" w:hAnsi="Times New Roman" w:cs="Times New Roman"/>
          <w:iCs/>
          <w:color w:val="000000" w:themeColor="text1"/>
          <w:sz w:val="24"/>
          <w:szCs w:val="24"/>
        </w:rPr>
      </w:pPr>
    </w:p>
    <w:p w14:paraId="4B08CEC1" w14:textId="77777777" w:rsidR="002C1A2F" w:rsidRPr="00F153F6" w:rsidRDefault="002C1A2F" w:rsidP="004424B4">
      <w:pPr>
        <w:pStyle w:val="Heading3"/>
        <w:spacing w:line="360" w:lineRule="auto"/>
        <w:jc w:val="both"/>
        <w:rPr>
          <w:rFonts w:ascii="Times New Roman" w:hAnsi="Times New Roman" w:cs="Times New Roman"/>
          <w:b/>
          <w:color w:val="000000" w:themeColor="text1"/>
          <w:sz w:val="28"/>
          <w:szCs w:val="28"/>
        </w:rPr>
      </w:pPr>
      <w:r w:rsidRPr="00F153F6">
        <w:rPr>
          <w:rFonts w:ascii="Times New Roman" w:hAnsi="Times New Roman" w:cs="Times New Roman"/>
          <w:b/>
          <w:color w:val="000000" w:themeColor="text1"/>
          <w:sz w:val="28"/>
          <w:szCs w:val="28"/>
        </w:rPr>
        <w:tab/>
      </w:r>
      <w:bookmarkStart w:id="145" w:name="_Toc50065934"/>
      <w:bookmarkStart w:id="146" w:name="_Toc118371094"/>
      <w:bookmarkStart w:id="147" w:name="_Toc133252117"/>
      <w:r w:rsidRPr="00F153F6">
        <w:rPr>
          <w:rFonts w:ascii="Times New Roman" w:hAnsi="Times New Roman" w:cs="Times New Roman"/>
          <w:b/>
          <w:color w:val="000000" w:themeColor="text1"/>
          <w:sz w:val="28"/>
          <w:szCs w:val="28"/>
        </w:rPr>
        <w:t>2.4.2 Inter-organisational Knowledge Exchange</w:t>
      </w:r>
      <w:bookmarkEnd w:id="145"/>
      <w:bookmarkEnd w:id="146"/>
      <w:bookmarkEnd w:id="147"/>
      <w:r w:rsidRPr="00F153F6">
        <w:rPr>
          <w:rFonts w:ascii="Times New Roman" w:hAnsi="Times New Roman" w:cs="Times New Roman"/>
          <w:b/>
          <w:color w:val="000000" w:themeColor="text1"/>
          <w:sz w:val="28"/>
          <w:szCs w:val="28"/>
        </w:rPr>
        <w:t xml:space="preserve"> </w:t>
      </w:r>
    </w:p>
    <w:p w14:paraId="2BF0A0C0" w14:textId="77777777"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Inter-organisational collaboration can provide a setting in which knowledge exchange takes place across organisational boundaries. However, existing literature has not provided a comprehensive discussion on the nature of the knowledge exchange process in inter-organisational collaboration. As knowledge exchange is the core of knowledge management, this section explores the nature of inter-organisational knowledge management and relevant activities in order to understand the potentially important factors in the IOKE processes.</w:t>
      </w:r>
    </w:p>
    <w:p w14:paraId="4953A909" w14:textId="77777777" w:rsidR="002C1A2F" w:rsidRPr="00F153F6" w:rsidRDefault="002C1A2F" w:rsidP="004424B4">
      <w:pPr>
        <w:pStyle w:val="Heading4"/>
        <w:spacing w:line="360" w:lineRule="auto"/>
        <w:ind w:firstLine="720"/>
        <w:jc w:val="both"/>
        <w:rPr>
          <w:rFonts w:ascii="Times New Roman" w:hAnsi="Times New Roman" w:cs="Times New Roman"/>
          <w:color w:val="000000" w:themeColor="text1"/>
          <w:sz w:val="28"/>
          <w:szCs w:val="28"/>
        </w:rPr>
      </w:pPr>
      <w:r w:rsidRPr="00F153F6">
        <w:rPr>
          <w:rFonts w:ascii="Times New Roman" w:hAnsi="Times New Roman" w:cs="Times New Roman"/>
          <w:color w:val="000000" w:themeColor="text1"/>
          <w:sz w:val="28"/>
          <w:szCs w:val="28"/>
        </w:rPr>
        <w:t>2.4.2.1 Inter-organisational Knowledge Management</w:t>
      </w:r>
    </w:p>
    <w:p w14:paraId="29889C75" w14:textId="1E0DE4A8"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Inter-organisational knowledge management</w:t>
      </w:r>
      <w:r w:rsidR="005C5663" w:rsidRPr="00F153F6">
        <w:rPr>
          <w:rFonts w:ascii="Times New Roman" w:eastAsia="Times New Roman" w:hAnsi="Times New Roman" w:cs="Times New Roman"/>
          <w:iCs/>
          <w:color w:val="000000" w:themeColor="text1"/>
          <w:sz w:val="24"/>
          <w:szCs w:val="24"/>
        </w:rPr>
        <w:t xml:space="preserve"> (IOKM)</w:t>
      </w:r>
      <w:r w:rsidRPr="00F153F6">
        <w:rPr>
          <w:rFonts w:ascii="Times New Roman" w:eastAsia="Times New Roman" w:hAnsi="Times New Roman" w:cs="Times New Roman"/>
          <w:iCs/>
          <w:color w:val="000000" w:themeColor="text1"/>
          <w:sz w:val="24"/>
          <w:szCs w:val="24"/>
        </w:rPr>
        <w:t xml:space="preserve"> is defined as “designing, controlling and developing a purpose-oriented knowledge order together with partners”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{"citationID":"afupnmq0qg","properties":{"formattedCitation":"(Blecker &amp; Neumann, 2000, p. 75)","plainCitation":"(Blecker &amp; Neumann, 2000, p. 75)","noteIndex":0},"citationItems":[{"id":2100,"uris":["http://zotero.org/users/5709166/items/788EA66A"],"itemData":{"id":2100,"type":"paper-conference","abstract":"Copyright © 2000, Idea Group Publishing. New organizational approaches like Virtual Organizations have the potential to provide the flexibility and to reduce the complexity and risk of management necessary to survive in the actual economic environment. A crucial factor for gaining and sustaining competitive advantages in the current economic environment is knowledge. The management of knowledge has been extensively discussed during the past few years. However, there is still a considerable lack of research that addresses innovative ways of managing the transfer of knowledge, best-practices and competence between organizations. In order to partially overcome these conceptual deficiencies we introduce the concept of an Interorganizational Knowledge Management and discuss its implications on knowledge oriented strategic management in Virtual Organizations.","DOI":"10.4018/978-1-930708-65-5.ch004","source":"Semantic Scholar","title":"Interorganizational Knowledge Management: Some Perspectives for Knowledge Oriented Strategic Management in Virtual Organizations","title-short":"Interorganizational Knowledge Management","author":[{"family":"Blecker","given":"Thorsten"},{"family":"Neumann","given":"Robert"}],"issued":{"date-parts":[["2000"]]}},"locator":"75"}],"schema":"https://github.com/citation-style-language/schema/raw/master/csl-citation.json"}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(Blecker &amp; Neumann, 2000, p. 75)</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r w:rsidR="005C5663" w:rsidRPr="00F153F6">
        <w:rPr>
          <w:rFonts w:ascii="Times New Roman" w:eastAsia="Times New Roman" w:hAnsi="Times New Roman" w:cs="Times New Roman"/>
          <w:iCs/>
          <w:color w:val="000000" w:themeColor="text1"/>
          <w:sz w:val="24"/>
          <w:szCs w:val="24"/>
        </w:rPr>
        <w:t xml:space="preserve">As indicated in Blecker &amp; Neumann </w:t>
      </w:r>
      <w:r w:rsidR="005C5663" w:rsidRPr="00F153F6">
        <w:rPr>
          <w:rFonts w:ascii="Times New Roman" w:eastAsia="Times New Roman" w:hAnsi="Times New Roman" w:cs="Times New Roman"/>
          <w:iCs/>
          <w:color w:val="000000" w:themeColor="text1"/>
          <w:sz w:val="24"/>
          <w:szCs w:val="24"/>
        </w:rPr>
        <w:fldChar w:fldCharType="begin"/>
      </w:r>
      <w:r w:rsidR="005C5663" w:rsidRPr="00F153F6">
        <w:rPr>
          <w:rFonts w:ascii="Times New Roman" w:eastAsia="Times New Roman" w:hAnsi="Times New Roman" w:cs="Times New Roman"/>
          <w:iCs/>
          <w:color w:val="000000" w:themeColor="text1"/>
          <w:sz w:val="24"/>
          <w:szCs w:val="24"/>
        </w:rPr>
        <w:instrText xml:space="preserve"> ADDIN ZOTERO_ITEM CSL_CITATION {"citationID":"4gPS8ugS","properties":{"formattedCitation":"(2000)","plainCitation":"(2000)","noteIndex":0},"citationItems":[{"id":2100,"uris":["http://zotero.org/users/5709166/items/788EA66A"],"itemData":{"id":2100,"type":"paper-conference","abstract":"Copyright © 2000, Idea Group Publishing. New organizational approaches like Virtual Organizations have the potential to provide the flexibility and to reduce the complexity and risk of management necessary to survive in the actual economic environment. A crucial factor for gaining and sustaining competitive advantages in the current economic environment is knowledge. The management of knowledge has been extensively discussed during the past few years. However, there is still a considerable lack of research that addresses innovative ways of managing the transfer of knowledge, best-practices and competence between organizations. In order to partially overcome these conceptual deficiencies we introduce the concept of an Interorganizational Knowledge Management and discuss its implications on knowledge oriented strategic management in Virtual Organizations.","DOI":"10.4018/978-1-930708-65-5.ch004","source":"Semantic Scholar","title":"Interorganizational Knowledge Management: Some Perspectives for Knowledge Oriented Strategic Management in Virtual Organizations","title-short":"Interorganizational Knowledge Management","author":[{"family":"Blecker","given":"Thorsten"},{"family":"Neumann","given":"Robert"}],"issued":{"date-parts":[["2000"]]}},"label":"page","suppress-author":true}],"schema":"https://github.com/citation-style-language/schema/raw/master/csl-citation.json"} </w:instrText>
      </w:r>
      <w:r w:rsidR="005C5663" w:rsidRPr="00F153F6">
        <w:rPr>
          <w:rFonts w:ascii="Times New Roman" w:eastAsia="Times New Roman" w:hAnsi="Times New Roman" w:cs="Times New Roman"/>
          <w:iCs/>
          <w:color w:val="000000" w:themeColor="text1"/>
          <w:sz w:val="24"/>
          <w:szCs w:val="24"/>
        </w:rPr>
        <w:fldChar w:fldCharType="separate"/>
      </w:r>
      <w:r w:rsidR="005C5663" w:rsidRPr="00F153F6">
        <w:rPr>
          <w:rFonts w:ascii="Times New Roman" w:hAnsi="Times New Roman" w:cs="Times New Roman"/>
          <w:sz w:val="24"/>
          <w:szCs w:val="24"/>
        </w:rPr>
        <w:t>(2000)</w:t>
      </w:r>
      <w:r w:rsidR="005C5663" w:rsidRPr="00F153F6">
        <w:rPr>
          <w:rFonts w:ascii="Times New Roman" w:eastAsia="Times New Roman" w:hAnsi="Times New Roman" w:cs="Times New Roman"/>
          <w:iCs/>
          <w:color w:val="000000" w:themeColor="text1"/>
          <w:sz w:val="24"/>
          <w:szCs w:val="24"/>
        </w:rPr>
        <w:fldChar w:fldCharType="end"/>
      </w:r>
      <w:r w:rsidR="005C5663" w:rsidRPr="00F153F6">
        <w:rPr>
          <w:rFonts w:ascii="Times New Roman" w:eastAsia="Times New Roman" w:hAnsi="Times New Roman" w:cs="Times New Roman"/>
          <w:iCs/>
          <w:color w:val="000000" w:themeColor="text1"/>
          <w:sz w:val="24"/>
          <w:szCs w:val="24"/>
        </w:rPr>
        <w:t xml:space="preserve">’s IOKM framework, </w:t>
      </w:r>
      <w:r w:rsidRPr="00F153F6">
        <w:rPr>
          <w:rFonts w:ascii="Times New Roman" w:eastAsia="Times New Roman" w:hAnsi="Times New Roman" w:cs="Times New Roman"/>
          <w:iCs/>
          <w:color w:val="000000" w:themeColor="text1"/>
          <w:sz w:val="24"/>
          <w:szCs w:val="24"/>
        </w:rPr>
        <w:t xml:space="preserve">Five phases are important in inter-organisational knowledge management: an </w:t>
      </w:r>
      <w:r w:rsidRPr="00F153F6">
        <w:rPr>
          <w:rFonts w:ascii="Times New Roman" w:eastAsia="Times New Roman" w:hAnsi="Times New Roman" w:cs="Times New Roman"/>
          <w:i/>
          <w:color w:val="000000" w:themeColor="text1"/>
          <w:sz w:val="24"/>
          <w:szCs w:val="24"/>
        </w:rPr>
        <w:t>intention phase</w:t>
      </w:r>
      <w:r w:rsidRPr="00F153F6">
        <w:rPr>
          <w:rFonts w:ascii="Times New Roman" w:eastAsia="Times New Roman" w:hAnsi="Times New Roman" w:cs="Times New Roman"/>
          <w:iCs/>
          <w:color w:val="000000" w:themeColor="text1"/>
          <w:sz w:val="24"/>
          <w:szCs w:val="24"/>
        </w:rPr>
        <w:t xml:space="preserve"> describes the determination of knowledge targets and its measuring criteria. This phase reflects that a knowledge-based management strategy should be established and is a prerequisite for effective inter-organisational knowledge management. </w:t>
      </w:r>
      <w:r w:rsidRPr="00F153F6">
        <w:rPr>
          <w:rFonts w:ascii="Times New Roman" w:eastAsia="Times New Roman" w:hAnsi="Times New Roman" w:cs="Times New Roman"/>
          <w:i/>
          <w:color w:val="000000" w:themeColor="text1"/>
          <w:sz w:val="24"/>
          <w:szCs w:val="24"/>
        </w:rPr>
        <w:t>The identification phase</w:t>
      </w:r>
      <w:r w:rsidRPr="00F153F6">
        <w:rPr>
          <w:rFonts w:ascii="Times New Roman" w:eastAsia="Times New Roman" w:hAnsi="Times New Roman" w:cs="Times New Roman"/>
          <w:iCs/>
          <w:color w:val="000000" w:themeColor="text1"/>
          <w:sz w:val="24"/>
          <w:szCs w:val="24"/>
        </w:rPr>
        <w:t xml:space="preserve"> describes the identification of existing knowledge distributed throughout different organisations. This phase reflects that different organisations possess various knowledge bases which should be explored to form learning across different organisations. Intention and identification are both strategic phases which determine whether the organisations can successfully compete based on their core competences in the future. </w:t>
      </w:r>
      <w:r w:rsidRPr="00F153F6">
        <w:rPr>
          <w:rFonts w:ascii="Times New Roman" w:eastAsia="Times New Roman" w:hAnsi="Times New Roman" w:cs="Times New Roman"/>
          <w:i/>
          <w:color w:val="000000" w:themeColor="text1"/>
          <w:sz w:val="24"/>
          <w:szCs w:val="24"/>
        </w:rPr>
        <w:t>The modification phase</w:t>
      </w:r>
      <w:r w:rsidRPr="00F153F6">
        <w:rPr>
          <w:rFonts w:ascii="Times New Roman" w:eastAsia="Times New Roman" w:hAnsi="Times New Roman" w:cs="Times New Roman"/>
          <w:iCs/>
          <w:color w:val="000000" w:themeColor="text1"/>
          <w:sz w:val="24"/>
          <w:szCs w:val="24"/>
        </w:rPr>
        <w:t xml:space="preserve"> mainly deals with knowledge ecology and reflects what type of environments is supporting inter-organisational knowledge related activities. </w:t>
      </w:r>
      <w:r w:rsidRPr="00F153F6">
        <w:rPr>
          <w:rFonts w:ascii="Times New Roman" w:eastAsia="Times New Roman" w:hAnsi="Times New Roman" w:cs="Times New Roman"/>
          <w:i/>
          <w:color w:val="000000" w:themeColor="text1"/>
          <w:sz w:val="24"/>
          <w:szCs w:val="24"/>
        </w:rPr>
        <w:t>The organisation phase</w:t>
      </w:r>
      <w:r w:rsidRPr="00F153F6">
        <w:rPr>
          <w:rFonts w:ascii="Times New Roman" w:eastAsia="Times New Roman" w:hAnsi="Times New Roman" w:cs="Times New Roman"/>
          <w:iCs/>
          <w:color w:val="000000" w:themeColor="text1"/>
          <w:sz w:val="24"/>
          <w:szCs w:val="24"/>
        </w:rPr>
        <w:t xml:space="preserve"> describes knowledge-oriented management including managing and organising inter-organisational knowledge creation, transfer, sharing, storage, diffusion etc. This phase reflecting inter-organisational knowledge management is an iterative process since these knowledge-oriented processes show how knowledge is managed and reproduced over time. Modification and organisation are both normative phases, which support the generation of inter-organisational knowledge and learning-intensive processes. And finally, </w:t>
      </w:r>
      <w:r w:rsidRPr="00F153F6">
        <w:rPr>
          <w:rFonts w:ascii="Times New Roman" w:eastAsia="Times New Roman" w:hAnsi="Times New Roman" w:cs="Times New Roman"/>
          <w:i/>
          <w:color w:val="000000" w:themeColor="text1"/>
          <w:sz w:val="24"/>
          <w:szCs w:val="24"/>
        </w:rPr>
        <w:t>the interaction phase</w:t>
      </w:r>
      <w:r w:rsidRPr="00F153F6">
        <w:rPr>
          <w:rFonts w:ascii="Times New Roman" w:eastAsia="Times New Roman" w:hAnsi="Times New Roman" w:cs="Times New Roman"/>
          <w:iCs/>
          <w:color w:val="000000" w:themeColor="text1"/>
          <w:sz w:val="24"/>
          <w:szCs w:val="24"/>
        </w:rPr>
        <w:t xml:space="preserve"> describes how knowledge becomes integrated and used inter-organisationally towards final outputs. This phase is an operative phase and reflects that inter-</w:t>
      </w:r>
      <w:r w:rsidRPr="00F153F6">
        <w:rPr>
          <w:rFonts w:ascii="Times New Roman" w:eastAsia="Times New Roman" w:hAnsi="Times New Roman" w:cs="Times New Roman"/>
          <w:iCs/>
          <w:color w:val="000000" w:themeColor="text1"/>
          <w:sz w:val="24"/>
          <w:szCs w:val="24"/>
        </w:rPr>
        <w:lastRenderedPageBreak/>
        <w:t>organisational knowledge management should finally contribute to the practices in real life settings. This inter-organisational knowledge management framework confirms the dynamic and iterative ‘know-do’ process of knowledge exchange in inter-organisational settings, as mapped in Figure 2.6</w:t>
      </w:r>
      <w:r w:rsidR="004105DF" w:rsidRPr="00F153F6">
        <w:rPr>
          <w:rFonts w:ascii="Times New Roman" w:eastAsia="Times New Roman" w:hAnsi="Times New Roman" w:cs="Times New Roman"/>
          <w:iCs/>
          <w:color w:val="000000" w:themeColor="text1"/>
          <w:sz w:val="24"/>
          <w:szCs w:val="24"/>
        </w:rPr>
        <w:t>.</w:t>
      </w:r>
    </w:p>
    <w:p w14:paraId="5CB2745B" w14:textId="77777777" w:rsidR="00D345CD" w:rsidRPr="00F153F6" w:rsidRDefault="002C1A2F" w:rsidP="00D345CD">
      <w:pPr>
        <w:keepNext/>
        <w:spacing w:line="360" w:lineRule="auto"/>
        <w:jc w:val="center"/>
        <w:rPr>
          <w:rFonts w:ascii="Times New Roman" w:hAnsi="Times New Roman" w:cs="Times New Roman"/>
          <w:sz w:val="24"/>
          <w:szCs w:val="24"/>
        </w:rPr>
      </w:pPr>
      <w:r w:rsidRPr="00F153F6">
        <w:rPr>
          <w:rFonts w:ascii="Times New Roman" w:hAnsi="Times New Roman" w:cs="Times New Roman"/>
          <w:noProof/>
          <w:color w:val="000000" w:themeColor="text1"/>
          <w:sz w:val="24"/>
          <w:szCs w:val="24"/>
        </w:rPr>
        <w:drawing>
          <wp:inline distT="0" distB="0" distL="0" distR="0" wp14:anchorId="5DF2E27D" wp14:editId="21CCAA58">
            <wp:extent cx="4476750" cy="3000375"/>
            <wp:effectExtent l="0" t="0" r="7620" b="254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3000375"/>
                    </a:xfrm>
                    <a:prstGeom prst="rect">
                      <a:avLst/>
                    </a:prstGeom>
                    <a:noFill/>
                    <a:ln>
                      <a:noFill/>
                    </a:ln>
                  </pic:spPr>
                </pic:pic>
              </a:graphicData>
            </a:graphic>
          </wp:inline>
        </w:drawing>
      </w:r>
    </w:p>
    <w:p w14:paraId="78E6F457" w14:textId="0E9235EC" w:rsidR="002C1A2F" w:rsidRPr="00F153F6" w:rsidRDefault="00D345CD" w:rsidP="00D345CD">
      <w:pPr>
        <w:pStyle w:val="Caption"/>
        <w:jc w:val="center"/>
        <w:rPr>
          <w:rFonts w:ascii="Times New Roman" w:eastAsia="Times New Roman" w:hAnsi="Times New Roman" w:cs="Times New Roman"/>
          <w:i w:val="0"/>
          <w:iCs w:val="0"/>
          <w:color w:val="auto"/>
          <w:sz w:val="22"/>
          <w:szCs w:val="22"/>
        </w:rPr>
      </w:pPr>
      <w:bookmarkStart w:id="148" w:name="_Toc119448451"/>
      <w:r w:rsidRPr="00F153F6">
        <w:rPr>
          <w:rFonts w:ascii="Times New Roman" w:hAnsi="Times New Roman" w:cs="Times New Roman"/>
          <w:i w:val="0"/>
          <w:iCs w:val="0"/>
          <w:color w:val="auto"/>
          <w:sz w:val="22"/>
          <w:szCs w:val="22"/>
        </w:rPr>
        <w:t xml:space="preserve">Figure 2.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Figure_2.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6</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Inter-organisational knowledge management process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ADDIN ZOTERO_ITEM CSL_CITATION {"citationID":"iJVmrk0a","properties":{"formattedCitation":"(Blecker &amp; Neumann, 2000)","plainCitation":"(Blecker &amp; Neumann, 2000)","noteIndex":0},"citationItems":[{"id":2100,"uris":["http://zotero.org/users/5709166/items/788EA66A"],"itemData":{"id":2100,"type":"paper-conference","abstract":"Copyright © 2000, Idea Group Publishing. New organizational approaches like Virtual Organizations have the potential to provide the flexibility and to reduce the complexity and risk of management necessary to survive in the actual economic environment. A crucial factor for gaining and sustaining competitive advantages in the current economic environment is knowledge. The management of knowledge has been extensively discussed during the past few years. However, there is still a considerable lack of research that addresses innovative ways of managing the transfer of knowledge, best-practices and competence between organizations. In order to partially overcome these conceptual deficiencies we introduce the concept of an Interorganizational Knowledge Management and discuss its implications on knowledge oriented strategic management in Virtual Organizations.","DOI":"10.4018/978-1-930708-65-5.ch004","source":"Semantic Scholar","title":"Interorganizational Knowledge Management: Some Perspectives for Knowledge Oriented Strategic Management in Virtual Organizations","title-short":"Interorganizational Knowledge Management","author":[{"family":"Blecker","given":"Thorsten"},{"family":"Neumann","given":"Robert"}],"issued":{"date-parts":[["2000"]]}}}],"schema":"https://github.com/citation-style-language/schema/raw/master/csl-citation.json"}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color w:val="auto"/>
          <w:sz w:val="22"/>
          <w:szCs w:val="22"/>
        </w:rPr>
        <w:t>(Blecker &amp; Neumann, 2000)</w:t>
      </w:r>
      <w:bookmarkEnd w:id="148"/>
      <w:r w:rsidRPr="00F153F6">
        <w:rPr>
          <w:rFonts w:ascii="Times New Roman" w:hAnsi="Times New Roman" w:cs="Times New Roman"/>
          <w:i w:val="0"/>
          <w:iCs w:val="0"/>
          <w:color w:val="auto"/>
          <w:sz w:val="22"/>
          <w:szCs w:val="22"/>
        </w:rPr>
        <w:fldChar w:fldCharType="end"/>
      </w:r>
    </w:p>
    <w:p w14:paraId="4B0C3FFB" w14:textId="77777777" w:rsidR="002C1A2F" w:rsidRPr="00F153F6" w:rsidRDefault="002C1A2F" w:rsidP="004424B4">
      <w:pPr>
        <w:spacing w:line="360" w:lineRule="auto"/>
        <w:jc w:val="both"/>
        <w:rPr>
          <w:rFonts w:ascii="Times New Roman" w:hAnsi="Times New Roman" w:cs="Times New Roman"/>
          <w:color w:val="000000" w:themeColor="text1"/>
          <w:sz w:val="24"/>
          <w:szCs w:val="24"/>
        </w:rPr>
      </w:pPr>
    </w:p>
    <w:p w14:paraId="2FFF6CD5" w14:textId="387EDBF0" w:rsidR="002C1A2F" w:rsidRPr="00F153F6" w:rsidRDefault="002C1A2F" w:rsidP="004424B4">
      <w:pPr>
        <w:pStyle w:val="Heading4"/>
        <w:spacing w:line="360" w:lineRule="auto"/>
        <w:ind w:firstLine="720"/>
        <w:jc w:val="both"/>
        <w:rPr>
          <w:rFonts w:ascii="Times New Roman" w:hAnsi="Times New Roman" w:cs="Times New Roman"/>
          <w:color w:val="000000" w:themeColor="text1"/>
          <w:sz w:val="28"/>
          <w:szCs w:val="28"/>
        </w:rPr>
      </w:pPr>
      <w:r w:rsidRPr="00F153F6">
        <w:rPr>
          <w:rFonts w:ascii="Times New Roman" w:hAnsi="Times New Roman" w:cs="Times New Roman"/>
          <w:color w:val="000000" w:themeColor="text1"/>
          <w:sz w:val="28"/>
          <w:szCs w:val="28"/>
        </w:rPr>
        <w:t>2.4.2.2 Influencing Factors of Inter-organisational Knowledge Exchange</w:t>
      </w:r>
    </w:p>
    <w:p w14:paraId="74FEE963" w14:textId="3061375E" w:rsidR="002C1A2F" w:rsidRPr="00F153F6" w:rsidRDefault="005C5663"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In this study, knowledge creation, sharing and transfer have been defined as components of knowledge exchange. Therefore, it is posited that the factors that shape these components will naturally influence the overall IOKE process</w:t>
      </w:r>
      <w:r w:rsidR="00F85358" w:rsidRPr="00F153F6">
        <w:rPr>
          <w:rFonts w:ascii="Times New Roman" w:eastAsia="Times New Roman" w:hAnsi="Times New Roman" w:cs="Times New Roman"/>
          <w:iCs/>
          <w:color w:val="000000" w:themeColor="text1"/>
          <w:sz w:val="24"/>
          <w:szCs w:val="24"/>
        </w:rPr>
        <w:t>.</w:t>
      </w:r>
    </w:p>
    <w:p w14:paraId="724C7C23" w14:textId="72F5FC0A"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Concerning </w:t>
      </w:r>
      <w:r w:rsidRPr="00F153F6">
        <w:rPr>
          <w:rFonts w:ascii="Times New Roman" w:eastAsia="Times New Roman" w:hAnsi="Times New Roman" w:cs="Times New Roman"/>
          <w:i/>
          <w:color w:val="000000" w:themeColor="text1"/>
          <w:sz w:val="24"/>
          <w:szCs w:val="24"/>
        </w:rPr>
        <w:t>inter-organisational knowledge creation</w:t>
      </w:r>
      <w:r w:rsidRPr="00F153F6">
        <w:rPr>
          <w:rFonts w:ascii="Times New Roman" w:eastAsia="Times New Roman" w:hAnsi="Times New Roman" w:cs="Times New Roman"/>
          <w:iCs/>
          <w:color w:val="000000" w:themeColor="text1"/>
          <w:sz w:val="24"/>
          <w:szCs w:val="24"/>
        </w:rPr>
        <w:t xml:space="preserve">, </w:t>
      </w:r>
      <w:r w:rsidR="000A6A4E" w:rsidRPr="00F153F6">
        <w:rPr>
          <w:rFonts w:ascii="Times New Roman" w:eastAsia="Times New Roman" w:hAnsi="Times New Roman" w:cs="Times New Roman"/>
          <w:iCs/>
          <w:color w:val="000000" w:themeColor="text1"/>
          <w:sz w:val="24"/>
          <w:szCs w:val="24"/>
        </w:rPr>
        <w:t>ICT</w:t>
      </w:r>
      <w:r w:rsidRPr="00F153F6">
        <w:rPr>
          <w:rFonts w:ascii="Times New Roman" w:eastAsia="Times New Roman" w:hAnsi="Times New Roman" w:cs="Times New Roman"/>
          <w:iCs/>
          <w:color w:val="000000" w:themeColor="text1"/>
          <w:sz w:val="24"/>
          <w:szCs w:val="24"/>
        </w:rPr>
        <w:t xml:space="preserve"> can be a contextual factor that highly affects this process </w:t>
      </w:r>
      <w:r w:rsidRPr="00F153F6">
        <w:rPr>
          <w:rFonts w:ascii="Times New Roman" w:eastAsia="Times New Roman" w:hAnsi="Times New Roman" w:cs="Times New Roman"/>
          <w:iCs/>
          <w:color w:val="000000" w:themeColor="text1"/>
          <w:sz w:val="24"/>
          <w:szCs w:val="24"/>
        </w:rPr>
        <w:fldChar w:fldCharType="begin"/>
      </w:r>
      <w:r w:rsidR="00206572" w:rsidRPr="00F153F6">
        <w:rPr>
          <w:rFonts w:ascii="Times New Roman" w:eastAsia="Times New Roman" w:hAnsi="Times New Roman" w:cs="Times New Roman"/>
          <w:iCs/>
          <w:color w:val="000000" w:themeColor="text1"/>
          <w:sz w:val="24"/>
          <w:szCs w:val="24"/>
        </w:rPr>
        <w:instrText xml:space="preserve"> ADDIN ZOTERO_ITEM CSL_CITATION {"citationID":"4bQJTdkE","properties":{"formattedCitation":"(Berente et al., 2010a)","plainCitation":"(Berente et al., 2010a)","noteIndex":0},"citationItems":[{"id":"WjXiMXKA/seA71fnn","uris":["http://zotero.org/users/5709166/items/5FIK5U29"],"itemData":{"id":1695,"type":"article-journal","abstract":"Organizational research argues that under relational forms of governance a high degree of both information pooling and physical interaction are necessary for inter-organizational knowledge creation. Yet, recent studies of information and communication technologies (ICTs) suggest that both practices at the same time are sometimes unnecessary. We address this discrepancy by developing a framework whereby the intensity and proportion of these inter-organizational practices are affected by the object world congruence between designers within and across partnering firms, and the level to which a common information technology platform is embedded in their activity. Through a multi-level case study of a Frank Gehry construction project we illustrate how designers with highly congruent object worlds, due to a strongly embedded common information technology platform, could jointly create knowledge despite decreased physical interaction. Conversely, designers from firms with incongruent object worlds or with congruent object worlds lacking a strongly embedded common ICT platform demanded a higher degree of physical interaction for effective knowledge creation. Our research suggests a dynamic, evolutionary model of inter-organizational knowledge creation influenced by variation in object world congruence and the levels of embedding a common ICT platform. © 2010 Taylor &amp; Francis.","archive":"Scopus","container-title":"Construction Management and Economics","DOI":"10.1080/01446193.2010.489926","ISSN":"01446193 (ISSN)","issue":"6","journalAbbreviation":"Constr. Manage. Econ.","language":"English","page":"569-588","title":"Dynamics of inter-organizational knowledge creation and information technology use across object worlds: The case of an innovative construction project","volume":"28","author":[{"family":"Berente","given":"N."},{"family":"Baxter","given":"R."},{"family":"Lyytinen","given":"K."}],"issued":{"date-parts":[["2010"]]}}}],"schema":"https://github.com/citation-style-language/schema/raw/master/csl-citation.json"}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00C27212" w:rsidRPr="00F153F6">
        <w:rPr>
          <w:rFonts w:ascii="Times New Roman" w:hAnsi="Times New Roman" w:cs="Times New Roman"/>
          <w:sz w:val="24"/>
          <w:szCs w:val="24"/>
        </w:rPr>
        <w:t>(Berente et al., 2010)</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Two components are of particular significance</w:t>
      </w:r>
      <w:r w:rsidR="005C5663" w:rsidRPr="00F153F6">
        <w:rPr>
          <w:rFonts w:ascii="Times New Roman" w:eastAsia="Times New Roman" w:hAnsi="Times New Roman" w:cs="Times New Roman"/>
          <w:iCs/>
          <w:color w:val="000000" w:themeColor="text1"/>
          <w:sz w:val="24"/>
          <w:szCs w:val="24"/>
        </w:rPr>
        <w:t xml:space="preserve"> from Berente et al.</w:t>
      </w:r>
      <w:r w:rsidR="00C27212" w:rsidRPr="00F153F6">
        <w:rPr>
          <w:rFonts w:ascii="Times New Roman" w:eastAsia="Times New Roman" w:hAnsi="Times New Roman" w:cs="Times New Roman"/>
          <w:iCs/>
          <w:color w:val="000000" w:themeColor="text1"/>
          <w:sz w:val="24"/>
          <w:szCs w:val="24"/>
        </w:rPr>
        <w:t xml:space="preserve"> </w:t>
      </w:r>
      <w:r w:rsidR="00C27212" w:rsidRPr="00F153F6">
        <w:rPr>
          <w:rFonts w:ascii="Times New Roman" w:eastAsia="Times New Roman" w:hAnsi="Times New Roman" w:cs="Times New Roman"/>
          <w:iCs/>
          <w:color w:val="000000" w:themeColor="text1"/>
          <w:sz w:val="24"/>
          <w:szCs w:val="24"/>
        </w:rPr>
        <w:fldChar w:fldCharType="begin"/>
      </w:r>
      <w:r w:rsidR="00C27212" w:rsidRPr="00F153F6">
        <w:rPr>
          <w:rFonts w:ascii="Times New Roman" w:eastAsia="Times New Roman" w:hAnsi="Times New Roman" w:cs="Times New Roman"/>
          <w:iCs/>
          <w:color w:val="000000" w:themeColor="text1"/>
          <w:sz w:val="24"/>
          <w:szCs w:val="24"/>
        </w:rPr>
        <w:instrText xml:space="preserve"> ADDIN ZOTERO_ITEM CSL_CITATION {"citationID":"LEhMMmMo","properties":{"formattedCitation":"(2010b)","plainCitation":"(2010b)","noteIndex":0},"citationItems":[{"id":393,"uris":["http://zotero.org/users/5709166/items/AYVHJ6ZL"],"itemData":{"id":393,"type":"article-journal","abstract":"Organizational research argues that under relational forms of governance a high degree of both information pooling and physical interaction are necessary for inter‐organizational knowledge creation. Yet, recent studies of information and communication technologies (ICTs) suggest that both practices at the same time are sometimes unnecessary. We address this discrepancy by developing a framework whereby the intensity and proportion of these inter‐organizational practices are affected by the object world congruence between designers within and across partnering firms, and the level to which a common information technology platform is embedded in their activity. Through a multi‐level case study of a Frank Gehry construction project we illustrate how designers with highly congruent object worlds, due to a strongly embedded common information technology platform, could jointly create knowledge despite decreased physical interaction. Conversely, designers from firms with incongruent object worlds or with congruent object worlds lacking a strongly embedded common ICT platform demanded a higher degree of physical interaction for effective knowledge creation. Our research suggests a dynamic, evolutionary model of inter‐organizational knowledge creation influenced by variation in object world congruence and the levels of embedding a common ICT platform.","container-title":"Construction Management and Economics","DOI":"10.1080/01446193.2010.489926","ISSN":"0144-6193","issue":"6","page":"569-588","source":"Taylor and Francis+NEJM","title":"Dynamics of inter‐organizational knowledge creation and information technology use across object worlds: the case of an innovative construction project","title-short":"Dynamics of inter‐organizational knowledge creation and information technology use across object worlds","volume":"28","author":[{"family":"Berente","given":"Nicholas"},{"family":"Baxter","given":"Ryan"},{"family":"Lyytinen","given":"Kalle"}],"issued":{"date-parts":[["2010",6,1]]}},"label":"page","suppress-author":true}],"schema":"https://github.com/citation-style-language/schema/raw/master/csl-citation.json"} </w:instrText>
      </w:r>
      <w:r w:rsidR="00C27212" w:rsidRPr="00F153F6">
        <w:rPr>
          <w:rFonts w:ascii="Times New Roman" w:eastAsia="Times New Roman" w:hAnsi="Times New Roman" w:cs="Times New Roman"/>
          <w:iCs/>
          <w:color w:val="000000" w:themeColor="text1"/>
          <w:sz w:val="24"/>
          <w:szCs w:val="24"/>
        </w:rPr>
        <w:fldChar w:fldCharType="separate"/>
      </w:r>
      <w:r w:rsidR="00C27212" w:rsidRPr="00F153F6">
        <w:rPr>
          <w:rFonts w:ascii="Times New Roman" w:hAnsi="Times New Roman" w:cs="Times New Roman"/>
          <w:sz w:val="24"/>
          <w:szCs w:val="24"/>
        </w:rPr>
        <w:t>(2010)</w:t>
      </w:r>
      <w:r w:rsidR="00C27212" w:rsidRPr="00F153F6">
        <w:rPr>
          <w:rFonts w:ascii="Times New Roman" w:eastAsia="Times New Roman" w:hAnsi="Times New Roman" w:cs="Times New Roman"/>
          <w:iCs/>
          <w:color w:val="000000" w:themeColor="text1"/>
          <w:sz w:val="24"/>
          <w:szCs w:val="24"/>
        </w:rPr>
        <w:fldChar w:fldCharType="end"/>
      </w:r>
      <w:r w:rsidR="00B4068A" w:rsidRPr="00F153F6">
        <w:rPr>
          <w:rFonts w:ascii="Times New Roman" w:eastAsia="Times New Roman" w:hAnsi="Times New Roman" w:cs="Times New Roman"/>
          <w:iCs/>
          <w:color w:val="000000" w:themeColor="text1"/>
          <w:sz w:val="24"/>
          <w:szCs w:val="24"/>
        </w:rPr>
        <w:t>’</w:t>
      </w:r>
      <w:r w:rsidR="005C5663" w:rsidRPr="00F153F6">
        <w:rPr>
          <w:rFonts w:ascii="Times New Roman" w:eastAsia="Times New Roman" w:hAnsi="Times New Roman" w:cs="Times New Roman"/>
          <w:iCs/>
          <w:color w:val="000000" w:themeColor="text1"/>
          <w:sz w:val="24"/>
          <w:szCs w:val="24"/>
        </w:rPr>
        <w:t>s work</w:t>
      </w:r>
      <w:r w:rsidRPr="00F153F6">
        <w:rPr>
          <w:rFonts w:ascii="Times New Roman" w:eastAsia="Times New Roman" w:hAnsi="Times New Roman" w:cs="Times New Roman"/>
          <w:iCs/>
          <w:color w:val="000000" w:themeColor="text1"/>
          <w:sz w:val="24"/>
          <w:szCs w:val="24"/>
        </w:rPr>
        <w:t xml:space="preserve">: Information pooling and interaction. Information pooling describes the explicit knowledge exchanged in inter-organisational collaboration or coordination, and this could be supported by technologies, such as electronic data interchange (EDI), while interaction describes the extent of collocated work practices that allow tacit knowledge to be exchanged. </w:t>
      </w:r>
      <w:bookmarkStart w:id="149" w:name="_Hlk31198703"/>
    </w:p>
    <w:p w14:paraId="7B43509C" w14:textId="5AAAC287"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hAnsi="Times New Roman" w:cs="Times New Roman"/>
          <w:b/>
          <w:bCs/>
          <w:color w:val="000000" w:themeColor="text1"/>
          <w:sz w:val="24"/>
          <w:szCs w:val="24"/>
        </w:rPr>
        <w:t>Leadership</w:t>
      </w:r>
      <w:r w:rsidRPr="00F153F6">
        <w:rPr>
          <w:rFonts w:ascii="Times New Roman" w:hAnsi="Times New Roman" w:cs="Times New Roman"/>
          <w:color w:val="000000" w:themeColor="text1"/>
          <w:sz w:val="24"/>
          <w:szCs w:val="24"/>
        </w:rPr>
        <w:t xml:space="preserve"> is also an influential factor for inter-organisational knowledge creation. </w:t>
      </w:r>
      <w:bookmarkEnd w:id="149"/>
      <w:r w:rsidRPr="00F153F6">
        <w:rPr>
          <w:rFonts w:ascii="Times New Roman" w:eastAsia="Times New Roman" w:hAnsi="Times New Roman" w:cs="Times New Roman"/>
          <w:iCs/>
          <w:color w:val="000000" w:themeColor="text1"/>
          <w:sz w:val="24"/>
          <w:szCs w:val="24"/>
        </w:rPr>
        <w:t xml:space="preserve">For example, distributed leadership can formalise the </w:t>
      </w:r>
      <w:r w:rsidR="00C27212" w:rsidRPr="00F153F6">
        <w:rPr>
          <w:rFonts w:ascii="Times New Roman" w:eastAsia="Times New Roman" w:hAnsi="Times New Roman" w:cs="Times New Roman"/>
          <w:iCs/>
          <w:color w:val="000000" w:themeColor="text1"/>
          <w:sz w:val="24"/>
          <w:szCs w:val="24"/>
        </w:rPr>
        <w:t>SECI process</w:t>
      </w:r>
      <w:r w:rsidRPr="00F153F6">
        <w:rPr>
          <w:rFonts w:ascii="Times New Roman" w:eastAsia="Times New Roman" w:hAnsi="Times New Roman" w:cs="Times New Roman"/>
          <w:iCs/>
          <w:color w:val="000000" w:themeColor="text1"/>
          <w:sz w:val="24"/>
          <w:szCs w:val="24"/>
        </w:rPr>
        <w:t xml:space="preserve"> </w:t>
      </w:r>
      <w:r w:rsidR="00C27212" w:rsidRPr="00F153F6">
        <w:rPr>
          <w:rFonts w:ascii="Times New Roman" w:eastAsia="Times New Roman" w:hAnsi="Times New Roman" w:cs="Times New Roman"/>
          <w:iCs/>
          <w:color w:val="000000" w:themeColor="text1"/>
          <w:sz w:val="24"/>
          <w:szCs w:val="24"/>
        </w:rPr>
        <w:t>of</w:t>
      </w:r>
      <w:r w:rsidRPr="00F153F6">
        <w:rPr>
          <w:rFonts w:ascii="Times New Roman" w:eastAsia="Times New Roman" w:hAnsi="Times New Roman" w:cs="Times New Roman"/>
          <w:iCs/>
          <w:color w:val="000000" w:themeColor="text1"/>
          <w:sz w:val="24"/>
          <w:szCs w:val="24"/>
        </w:rPr>
        <w:t xml:space="preserve"> knowledge creation</w:t>
      </w:r>
      <w:r w:rsidR="00C27212" w:rsidRPr="00F153F6">
        <w:rPr>
          <w:rFonts w:ascii="Times New Roman" w:eastAsia="Times New Roman" w:hAnsi="Times New Roman" w:cs="Times New Roman"/>
          <w:iCs/>
          <w:color w:val="000000" w:themeColor="text1"/>
          <w:sz w:val="24"/>
          <w:szCs w:val="24"/>
        </w:rPr>
        <w:t xml:space="preserve"> </w:t>
      </w:r>
      <w:r w:rsidR="00C27212" w:rsidRPr="00F153F6">
        <w:rPr>
          <w:rFonts w:ascii="Times New Roman" w:eastAsia="Times New Roman" w:hAnsi="Times New Roman" w:cs="Times New Roman"/>
          <w:iCs/>
          <w:color w:val="000000" w:themeColor="text1"/>
          <w:sz w:val="24"/>
          <w:szCs w:val="24"/>
        </w:rPr>
        <w:lastRenderedPageBreak/>
        <w:t>(Socialisation, Externalisation, Combination, and Internalisation), a</w:t>
      </w:r>
      <w:r w:rsidRPr="00F153F6">
        <w:rPr>
          <w:rFonts w:ascii="Times New Roman" w:eastAsia="Times New Roman" w:hAnsi="Times New Roman" w:cs="Times New Roman"/>
          <w:iCs/>
          <w:color w:val="000000" w:themeColor="text1"/>
          <w:sz w:val="24"/>
          <w:szCs w:val="24"/>
        </w:rPr>
        <w:t xml:space="preserve">nd motivate inter-organisational knowledge creation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{"citationID":"a2jjlldpuc","properties":{"formattedCitation":"(Cannatelli et al., 2017)","plainCitation":"(Cannatelli et al., 2017)","noteIndex":0},"citationItems":[{"id":2156,"uris":["http://zotero.org/users/5709166/items/VYVKUWBZ"],"itemData":{"id":2156,"type":"article-journal","abstract":"Based on a three-year qualitative, longitudinal case study of a social venture partnership, we extend the understanding of distributed leadership in organizational knowledge creation. We develop an expanded model of distributed leadership that identifies the antecedents, different forms, and enablers of distributed leadership in knowledge creation. Our findings move beyond a static and monolithic understanding of distributed leadership to illustrate how an expanded model informs the situational leadership framework and spiral of knowledge creation across an organization's hierarchy and boundary in the context of social entrepreneurship.","container-title":"Long Range Planning","DOI":"10.1016/j.lrp.2016.10.002","ISSN":"0024-6301","issue":"5","journalAbbreviation":"Long Range Planning","language":"en","page":"582-602","source":"ScienceDirect","title":"An Expanded Model of Distributed Leadership in Organizational Knowledge Creation","volume":"50","author":[{"family":"Cannatelli","given":"Benedetto"},{"family":"Smith","given":"Brett"},{"family":"Giudici","given":"Alessandro"},{"family":"Jones","given":"Jessica"},{"family":"Conger","given":"Michael"}],"issued":{"date-parts":[["2017",10,1]]}}}],"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(Cannatelli et al., 2017)</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r w:rsidR="008E3FDE" w:rsidRPr="00F153F6">
        <w:rPr>
          <w:rFonts w:ascii="Times New Roman" w:eastAsia="Times New Roman" w:hAnsi="Times New Roman" w:cs="Times New Roman"/>
          <w:iCs/>
          <w:color w:val="000000" w:themeColor="text1"/>
          <w:sz w:val="24"/>
          <w:szCs w:val="24"/>
        </w:rPr>
        <w:t xml:space="preserve">However, distributed leadership may also result in inactive sharing of knowledge, which may also inhibit people’s knowledge creation </w:t>
      </w:r>
      <w:r w:rsidR="008E3FDE" w:rsidRPr="00F153F6">
        <w:rPr>
          <w:rFonts w:ascii="Times New Roman" w:eastAsia="Times New Roman" w:hAnsi="Times New Roman" w:cs="Times New Roman"/>
          <w:iCs/>
          <w:color w:val="000000" w:themeColor="text1"/>
          <w:sz w:val="24"/>
          <w:szCs w:val="24"/>
        </w:rPr>
        <w:fldChar w:fldCharType="begin"/>
      </w:r>
      <w:r w:rsidR="008E3FDE" w:rsidRPr="00F153F6">
        <w:rPr>
          <w:rFonts w:ascii="Times New Roman" w:eastAsia="Times New Roman" w:hAnsi="Times New Roman" w:cs="Times New Roman"/>
          <w:iCs/>
          <w:color w:val="000000" w:themeColor="text1"/>
          <w:sz w:val="24"/>
          <w:szCs w:val="24"/>
        </w:rPr>
        <w:instrText xml:space="preserve"> ADDIN ZOTERO_ITEM CSL_CITATION {"citationID":"3bYookPo","properties":{"formattedCitation":"(Timperley, 2005)","plainCitation":"(Timperley, 2005)","noteIndex":0},"citationItems":[{"id":10398,"uris":["http://zotero.org/users/5709166/items/GEIKZJV9"],"itemData":{"id":10398,"type":"article-journal","container-title":"Journal of Curriculum Studies","DOI":"10.1080/00220270500038545","ISSN":"0022-0272, 1366-5839","issue":"4","journalAbbreviation":"Journal of Curriculum Studies","language":"en","page":"395-420","source":"DOI.org (Crossref)","title":"Distributed leadership: developing theory from practice","title-short":"Distributed leadership","volume":"37","author":[{"family":"Timperley","given":"Helen S."}],"issued":{"date-parts":[["2005",7]]}}}],"schema":"https://github.com/citation-style-language/schema/raw/master/csl-citation.json"} </w:instrText>
      </w:r>
      <w:r w:rsidR="008E3FDE" w:rsidRPr="00F153F6">
        <w:rPr>
          <w:rFonts w:ascii="Times New Roman" w:eastAsia="Times New Roman" w:hAnsi="Times New Roman" w:cs="Times New Roman"/>
          <w:iCs/>
          <w:color w:val="000000" w:themeColor="text1"/>
          <w:sz w:val="24"/>
          <w:szCs w:val="24"/>
        </w:rPr>
        <w:fldChar w:fldCharType="separate"/>
      </w:r>
      <w:r w:rsidR="008E3FDE" w:rsidRPr="00F153F6">
        <w:rPr>
          <w:rFonts w:ascii="Times New Roman" w:hAnsi="Times New Roman" w:cs="Times New Roman"/>
          <w:sz w:val="24"/>
          <w:szCs w:val="24"/>
        </w:rPr>
        <w:t>(Timperley, 2005)</w:t>
      </w:r>
      <w:r w:rsidR="008E3FDE" w:rsidRPr="00F153F6">
        <w:rPr>
          <w:rFonts w:ascii="Times New Roman" w:eastAsia="Times New Roman" w:hAnsi="Times New Roman" w:cs="Times New Roman"/>
          <w:iCs/>
          <w:color w:val="000000" w:themeColor="text1"/>
          <w:sz w:val="24"/>
          <w:szCs w:val="24"/>
        </w:rPr>
        <w:fldChar w:fldCharType="end"/>
      </w:r>
      <w:r w:rsidR="008E3FDE" w:rsidRPr="00F153F6">
        <w:rPr>
          <w:rFonts w:ascii="Times New Roman" w:eastAsia="Times New Roman" w:hAnsi="Times New Roman" w:cs="Times New Roman"/>
          <w:iCs/>
          <w:color w:val="000000" w:themeColor="text1"/>
          <w:sz w:val="24"/>
          <w:szCs w:val="24"/>
        </w:rPr>
        <w:t xml:space="preserve">. </w:t>
      </w:r>
      <w:r w:rsidR="008F2B70" w:rsidRPr="00F153F6">
        <w:rPr>
          <w:rFonts w:ascii="Times New Roman" w:eastAsia="Times New Roman" w:hAnsi="Times New Roman" w:cs="Times New Roman"/>
          <w:iCs/>
          <w:color w:val="000000" w:themeColor="text1"/>
          <w:sz w:val="24"/>
          <w:szCs w:val="24"/>
        </w:rPr>
        <w:t>C</w:t>
      </w:r>
      <w:r w:rsidRPr="00F153F6">
        <w:rPr>
          <w:rFonts w:ascii="Times New Roman" w:eastAsia="Times New Roman" w:hAnsi="Times New Roman" w:cs="Times New Roman"/>
          <w:iCs/>
          <w:color w:val="000000" w:themeColor="text1"/>
          <w:sz w:val="24"/>
          <w:szCs w:val="24"/>
        </w:rPr>
        <w:t xml:space="preserve">entralised leadership </w:t>
      </w:r>
      <w:r w:rsidR="008F2B70" w:rsidRPr="00F153F6">
        <w:rPr>
          <w:rFonts w:ascii="Times New Roman" w:eastAsia="Times New Roman" w:hAnsi="Times New Roman" w:cs="Times New Roman"/>
          <w:iCs/>
          <w:color w:val="000000" w:themeColor="text1"/>
          <w:sz w:val="24"/>
          <w:szCs w:val="24"/>
        </w:rPr>
        <w:t xml:space="preserve">can enhance coherence of knowledge works and orient knowledge creation works </w:t>
      </w:r>
      <w:r w:rsidRPr="00F153F6">
        <w:rPr>
          <w:rFonts w:ascii="Times New Roman" w:eastAsia="Times New Roman" w:hAnsi="Times New Roman" w:cs="Times New Roman"/>
          <w:iCs/>
          <w:color w:val="000000" w:themeColor="text1"/>
          <w:sz w:val="24"/>
          <w:szCs w:val="24"/>
        </w:rPr>
        <w:t xml:space="preserve"> </w:t>
      </w:r>
      <w:r w:rsidRPr="00F153F6">
        <w:rPr>
          <w:rFonts w:ascii="Times New Roman" w:eastAsia="Times New Roman" w:hAnsi="Times New Roman" w:cs="Times New Roman"/>
          <w:iCs/>
          <w:color w:val="000000" w:themeColor="text1"/>
          <w:sz w:val="24"/>
          <w:szCs w:val="24"/>
        </w:rPr>
        <w:fldChar w:fldCharType="begin"/>
      </w:r>
      <w:r w:rsidR="008F2B70" w:rsidRPr="00F153F6">
        <w:rPr>
          <w:rFonts w:ascii="Times New Roman" w:eastAsia="Times New Roman" w:hAnsi="Times New Roman" w:cs="Times New Roman"/>
          <w:iCs/>
          <w:color w:val="000000" w:themeColor="text1"/>
          <w:sz w:val="24"/>
          <w:szCs w:val="24"/>
        </w:rPr>
        <w:instrText xml:space="preserve"> ADDIN ZOTERO_ITEM CSL_CITATION {"citationID":"UURqUEuX","properties":{"formattedCitation":"(Krogh et al., 2012)","plainCitation":"(Krogh et al., 2012)","noteIndex":0},"citationItems":[{"id":2155,"uris":["http://zotero.org/users/5709166/items/UXKSQ5PD"],"itemData":{"id":2155,"type":"article-journal","abstract":"Organizational knowledge creation integrates context, knowledge assets, and knowledge creation processes throughout the organization. Using organizational knowledge creation theory as an organizing framework, we conduct a literature review that shows prior work has focused on the role of central, upper-echelon, leadership in knowledge creation processes, without devoting much attention to context and knowledge assets. To remedy these weaknesses, we develop a new framework for situational leadership in organizational knowledge creation. The framework is based on a continuum that ranges from centralized to distributed leadership at three layers of activity: a core layer of local knowledge creation; a conditional layer that provides the resources and context for knowledge creation; and a structural layer that forms the overall frame and direction for knowledge creation in the organization. We discuss the implications of this framework for theory and practice.","container-title":"Journal of Management Studies","DOI":"10.1111/j.1467-6486.2010.00978.x","ISSN":"1467-6486","issue":"1","language":"en","page":"240-277","source":"Wiley Online Library","title":"Leadership in Organizational Knowledge Creation: A Review and Framework","title-short":"Leadership in Organizational Knowledge Creation","volume":"49","author":[{"family":"Krogh","given":"Georg","dropping-particle":"von"},{"family":"Nonaka","given":"Ikujiro"},{"family":"Rechsteiner","given":"Lise"}],"issued":{"date-parts":[["2012"]]}},"label":"page"}],"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008F2B70" w:rsidRPr="00F153F6">
        <w:rPr>
          <w:rFonts w:ascii="Times New Roman" w:hAnsi="Times New Roman" w:cs="Times New Roman"/>
          <w:sz w:val="24"/>
          <w:szCs w:val="24"/>
        </w:rPr>
        <w:t>(Krogh et al., 2012)</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p>
    <w:p w14:paraId="6078614A" w14:textId="7971F605"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hAnsi="Times New Roman" w:cs="Times New Roman"/>
          <w:b/>
          <w:bCs/>
          <w:color w:val="000000" w:themeColor="text1"/>
          <w:sz w:val="24"/>
          <w:szCs w:val="24"/>
        </w:rPr>
        <w:t>Inter-organisational trust</w:t>
      </w:r>
      <w:r w:rsidRPr="00F153F6">
        <w:rPr>
          <w:rFonts w:ascii="Times New Roman" w:hAnsi="Times New Roman" w:cs="Times New Roman"/>
          <w:color w:val="000000" w:themeColor="text1"/>
          <w:sz w:val="24"/>
          <w:szCs w:val="24"/>
        </w:rPr>
        <w:t xml:space="preserve"> and </w:t>
      </w:r>
      <w:r w:rsidR="00F85358" w:rsidRPr="00F153F6">
        <w:rPr>
          <w:rFonts w:ascii="Times New Roman" w:hAnsi="Times New Roman" w:cs="Times New Roman"/>
          <w:b/>
          <w:bCs/>
          <w:color w:val="000000" w:themeColor="text1"/>
          <w:sz w:val="24"/>
          <w:szCs w:val="24"/>
        </w:rPr>
        <w:t>conflict</w:t>
      </w:r>
      <w:r w:rsidRPr="00F153F6">
        <w:rPr>
          <w:rFonts w:ascii="Times New Roman" w:hAnsi="Times New Roman" w:cs="Times New Roman"/>
          <w:b/>
          <w:bCs/>
          <w:color w:val="000000" w:themeColor="text1"/>
          <w:sz w:val="24"/>
          <w:szCs w:val="24"/>
        </w:rPr>
        <w:t xml:space="preserve"> </w:t>
      </w:r>
      <w:r w:rsidRPr="00F153F6">
        <w:rPr>
          <w:rFonts w:ascii="Times New Roman" w:hAnsi="Times New Roman" w:cs="Times New Roman"/>
          <w:color w:val="000000" w:themeColor="text1"/>
          <w:sz w:val="24"/>
          <w:szCs w:val="24"/>
        </w:rPr>
        <w:t xml:space="preserve">are also influential factors. </w:t>
      </w:r>
      <w:r w:rsidRPr="00F153F6">
        <w:rPr>
          <w:rFonts w:ascii="Times New Roman" w:eastAsia="Times New Roman" w:hAnsi="Times New Roman" w:cs="Times New Roman"/>
          <w:iCs/>
          <w:color w:val="000000" w:themeColor="text1"/>
          <w:sz w:val="24"/>
          <w:szCs w:val="24"/>
        </w:rPr>
        <w:t xml:space="preserve">Trust helps to improve the quality of discussions and minimise the risk of uncertainty, information, and hence facilitate knowledge sharing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{"citationID":"1uJmDono","properties":{"formattedCitation":"(T. H. Davenport et al., 2000; Panteli &amp; Sockalingam, 2005)","plainCitation":"(T. H. Davenport et al., 2000; Panteli &amp; Sockalingam, 2005)","dontUpdate":true,"noteIndex":0},"citationItems":[{"id":2162,"uris":["http://zotero.org/users/5709166/items/ZC6USUWK"],"itemData":{"id":2162,"type":"article-journal","container-title":"Working Knowledge","language":"en","page":"15","source":"Zotero","title":"Working Knowledge: How Organizations Manage What They Know","author":[{"family":"Davenport","given":"Thomas H"},{"family":"Prusak","given":"Lawrence"},{"family":"Webber","given":"Alan"}],"issued":{"date-parts":[["2000"]]}}},{"id":2163,"uris":["http://zotero.org/users/5709166/items/AGTAPTKY"],"itemData":{"id":2163,"type":"article-journal","abstract":"Trust and conflict are inherent issues of any organizational arrangement and central for knowledge sharing; yet they have received limited attention in the literature. In this paper, we undertake an investigation of both phenomena within the context of virtual alliances. A generic framework for understanding the dynamics of trust and conflict within the context of virtual interorganizational arrangements is presented, followed by an examination of three distinct structural forms of virtual alliances, and strategies for generating trust and minimizing dysfunctional conflict. The paper concludes with an identification of avenues for further research.","container-title":"Decision Support Systems","DOI":"10.1016/j.dss.2004.03.003","ISSN":"01679236","issue":"4","language":"en","page":"599-617","source":"Crossref","title":"Trust and conflict within virtual inter-organizational alliances: a framework for facilitating knowledge sharing","title-short":"Trust and conflict within virtual inter-organizational alliances","volume":"39","author":[{"family":"Panteli","given":"Niki"},{"family":"Sockalingam","given":"Siva"}],"issued":{"date-parts":[["2005",6]]}}}],"schema":"https://github.com/citation-style-language/schema/raw/master/csl-citation.json"}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(Davenport et al., 2000; Panteli &amp; Sockalingam, 2005)</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Conflicts can make people realise the lack of their knowledge repository and thus encourage them to learn from others, which helps to facilitate the sharing of knowledge between people and across organisational boundaries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{"citationID":"3sLYTIS8","properties":{"formattedCitation":"(Panteli &amp; Sockalingam, 2005)","plainCitation":"(Panteli &amp; Sockalingam, 2005)","noteIndex":0},"citationItems":[{"id":2163,"uris":["http://zotero.org/users/5709166/items/AGTAPTKY"],"itemData":{"id":2163,"type":"article-journal","abstract":"Trust and conflict are inherent issues of any organizational arrangement and central for knowledge sharing; yet they have received limited attention in the literature. In this paper, we undertake an investigation of both phenomena within the context of virtual alliances. A generic framework for understanding the dynamics of trust and conflict within the context of virtual interorganizational arrangements is presented, followed by an examination of three distinct structural forms of virtual alliances, and strategies for generating trust and minimizing dysfunctional conflict. The paper concludes with an identification of avenues for further research.","container-title":"Decision Support Systems","DOI":"10.1016/j.dss.2004.03.003","ISSN":"01679236","issue":"4","language":"en","page":"599-617","source":"Crossref","title":"Trust and conflict within virtual inter-organizational alliances: a framework for facilitating knowledge sharing","title-short":"Trust and conflict within virtual inter-organizational alliances","volume":"39","author":[{"family":"Panteli","given":"Niki"},{"family":"Sockalingam","given":"Siva"}],"issued":{"date-parts":[["2005",6]]}}}],"schema":"https://github.com/citation-style-language/schema/raw/master/csl-citation.json"}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(Panteli &amp; Sockalingam, 2005)</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p>
    <w:p w14:paraId="05392E07" w14:textId="77777777"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b/>
          <w:bCs/>
          <w:iCs/>
          <w:color w:val="000000" w:themeColor="text1"/>
          <w:sz w:val="24"/>
          <w:szCs w:val="24"/>
        </w:rPr>
        <w:t>Extrinsic benefits</w:t>
      </w:r>
      <w:r w:rsidRPr="00F153F6">
        <w:rPr>
          <w:rFonts w:ascii="Times New Roman" w:eastAsia="Times New Roman" w:hAnsi="Times New Roman" w:cs="Times New Roman"/>
          <w:iCs/>
          <w:color w:val="000000" w:themeColor="text1"/>
          <w:sz w:val="24"/>
          <w:szCs w:val="24"/>
        </w:rPr>
        <w:t xml:space="preserve"> such as </w:t>
      </w:r>
      <w:r w:rsidRPr="00F153F6">
        <w:rPr>
          <w:rFonts w:ascii="Times New Roman" w:eastAsia="Times New Roman" w:hAnsi="Times New Roman" w:cs="Times New Roman"/>
          <w:b/>
          <w:bCs/>
          <w:iCs/>
          <w:color w:val="000000" w:themeColor="text1"/>
          <w:sz w:val="24"/>
          <w:szCs w:val="24"/>
        </w:rPr>
        <w:t xml:space="preserve">rewards </w:t>
      </w:r>
      <w:r w:rsidRPr="00F153F6">
        <w:rPr>
          <w:rFonts w:ascii="Times New Roman" w:eastAsia="Times New Roman" w:hAnsi="Times New Roman" w:cs="Times New Roman"/>
          <w:iCs/>
          <w:color w:val="000000" w:themeColor="text1"/>
          <w:sz w:val="24"/>
          <w:szCs w:val="24"/>
        </w:rPr>
        <w:t xml:space="preserve">can also stimulate individuals’ intrinsic motivations to share knowledge between organisations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{"citationID":"a1hlil9fp8g","properties":{"formattedCitation":"(Fullwood &amp; Rowley, 2017)","plainCitation":"(Fullwood &amp; Rowley, 2017)","noteIndex":0},"citationItems":[{"id":2157,"uris":["http://zotero.org/users/5709166/items/C6XPAC9D"],"itemData":{"id":2157,"type":"article-journal","container-title":"Journal of Knowledge Management","DOI":"10.1108/JKM-07-2016-0274","ISSN":"1367-3270","language":"en","page":"00-00","source":"Crossref","title":"An investigation of factors affecting knowledge sharing amongst UK academics","author":[{"family":"Fullwood","given":"Roger"},{"family":"Rowley","given":"Jennifer"}],"editor":[{"family":"Carayannis","given":"Eliasgeorge"},{"family":"Heisig","given":"Peter"}],"issued":{"date-parts":[["2017",7,18]]}}}],"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(Fullwood &amp; Rowley, 2017)</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However, rewards may lead to competition, which may generate resistance to exchanging knowledge with others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{"citationID":"7iGM1HYl","properties":{"formattedCitation":"(Barua et al., 2007; Bock et al., 2005)","plainCitation":"(Barua et al., 2007; Bock et al., 2005)","noteIndex":0},"citationItems":[{"id":2153,"uris":["http://zotero.org/users/5709166/items/N7253HDZ"],"itemData":{"id":2153,"type":"article-journal","abstract":"Organizations which have invested heavily in Enterprise Resource Planning (ERP) systems, intranets and Enterprise Information Portals (EIP) with standardized workflows, data definitions and a common data repository, have provided the technlogical capability to their workgroups to share information at the enterprise level. However, the responsibility of populating the repository with relevant and high quality data required for customized data analyses is spread across workgroups associated with specific business processes. In an information interdependent setting, factors such as short-term organizational focus and the lack of uniformity in information management skills across workgroups can act as impediments to information sharing. Using an analytical model of information exchange between two workgroups, we study the impact of measures (e.g., creating a perception of continuity and persistence in interactions, benefit sharing, etc.) on the performance of the workgroups and the organization. The model considers a setting we describe as information complementarity, where the payoff to a workgroup depends not only on the quality of its own information, but also on that of the information provided by other workgroups. We show how a long-term vision combined with homogeneity in information management capabilities across workgroups can lead to organizationally desirable levels of information exchange, and how benefit sharing can either help or hurt individual and organizational information exchange outcomes under different circumstances. Our analysis highlights the need for appropriate organizational enablers to realize the benefits of enterprise systems and related applications.","container-title":"Information Technology and Management","DOI":"10.1007/s10799-006-0001-7","ISSN":"1573-7667","issue":"1","journalAbbreviation":"Inf Technol Manage","language":"en","page":"31-45","source":"Springer Link","title":"Enabling information sharing within organizations","volume":"8","author":[{"family":"Barua","given":"Anitesh"},{"family":"Ravindran","given":"Suryanarayanan"},{"family":"Whinston","given":"Andrew B."}],"issued":{"date-parts":[["2007",3,1]]}}},{"id":2154,"uris":["http://zotero.org/users/5709166/items/85LZ9YJA"],"itemData":{"id":2154,"type":"article-journal","abstract":"Individuals' knowledge does not transform easily into organizational knowledge even with the implementation of knowledge repositories. Rather, individuals tend to hoard knowledge for various reasons. The aim of this study is to develop an integrative understanding of the factors supporting or inhibiting individuals' knowledge-sharing intentions. We employ as our theoretical framework the theory of reasoned action (TRA), and augment it with extrinsic motivators, social-psychological forces and organizational climate factors that are believed to influence individuals' knowledge-sharing intentions. Through a field survey of 154 managers from 27 Korean organizations, we confirm our hypothesis that attitudes toward and subjective norms with regard to knowledge sharing as well as organizational climate affect individuals' intentions to share knowledge. Additionally, we find that anticipated reciprocal relationships affect individuals' attitudes toward knowledge sharing while both sense of self-worth and organizational climate affect subjective norms. Contrary to common belief, we find anticipated extrinsic rewards exert a negative effect on individuals' knowledge-sharing attitudes.","archive":"JSTOR","container-title":"MIS Quarterly","DOI":"10.2307/25148669","ISSN":"0276-7783","issue":"1","page":"87-111","source":"JSTOR","title":"Behavioral Intention Formation in Knowledge Sharing: Examining the Roles of Extrinsic Motivators, Social-Psychological Forces, and Organizational Climate","title-short":"Behavioral Intention Formation in Knowledge Sharing","volume":"29","author":[{"family":"Bock","given":"Gee-Woo"},{"family":"Zmud","given":"Robert W."},{"family":"Kim","given":"Young-Gul"},{"family":"Lee","given":"Jae-Nam"}],"issued":{"date-parts":[["2005"]]}}}],"schema":"https://github.com/citation-style-language/schema/raw/master/csl-citation.json"}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(Barua et al., 2007; Bock et al., 2005)</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p>
    <w:p w14:paraId="7DA7635C" w14:textId="5AB5C18F"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Magnusson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{"citationID":"1YLPs80T","properties":{"formattedCitation":"(2005)","plainCitation":"(2005)","noteIndex":0},"citationItems":[{"id":387,"uris":["http://zotero.org/users/5709166/items/Z35GIZXR"],"itemData":{"id":387,"type":"article-journal","title":"knowledge management theory in interorganizational settings","URL":"https://warwick.ac.uk/fac/soc/wbs/conf/olkc/archive/oklc5/papers/f-3_valentin.pdf","author":[{"family":"Magnusson","given":"Johan"},{"family":"Nilsson","given":"Andreas"},{"family":"Valentin","given":"Klaus"}],"accessed":{"date-parts":[["2020",1,11]]},"issued":{"date-parts":[["2005"]]}},"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(2005)</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argues that </w:t>
      </w:r>
      <w:r w:rsidRPr="00F153F6">
        <w:rPr>
          <w:rFonts w:ascii="Times New Roman" w:hAnsi="Times New Roman" w:cs="Times New Roman"/>
          <w:b/>
          <w:bCs/>
          <w:color w:val="000000" w:themeColor="text1"/>
          <w:sz w:val="24"/>
          <w:szCs w:val="24"/>
        </w:rPr>
        <w:t>culture</w:t>
      </w:r>
      <w:r w:rsidRPr="00F153F6">
        <w:rPr>
          <w:rFonts w:ascii="Times New Roman" w:hAnsi="Times New Roman" w:cs="Times New Roman"/>
          <w:color w:val="000000" w:themeColor="text1"/>
          <w:sz w:val="24"/>
          <w:szCs w:val="24"/>
        </w:rPr>
        <w:t xml:space="preserve"> and </w:t>
      </w:r>
      <w:r w:rsidRPr="00F153F6">
        <w:rPr>
          <w:rFonts w:ascii="Times New Roman" w:hAnsi="Times New Roman" w:cs="Times New Roman"/>
          <w:b/>
          <w:bCs/>
          <w:color w:val="000000" w:themeColor="text1"/>
          <w:sz w:val="24"/>
          <w:szCs w:val="24"/>
        </w:rPr>
        <w:t>language</w:t>
      </w:r>
      <w:r w:rsidRPr="00F153F6">
        <w:rPr>
          <w:rFonts w:ascii="Times New Roman" w:hAnsi="Times New Roman" w:cs="Times New Roman"/>
          <w:color w:val="000000" w:themeColor="text1"/>
          <w:sz w:val="24"/>
          <w:szCs w:val="24"/>
        </w:rPr>
        <w:t xml:space="preserve"> are problematic in exchanging knowledge in inter-organisational collaboration, because the multiplicity of organisational cultures and languages leads to conflicts among organisations. Therefore, </w:t>
      </w:r>
      <w:r w:rsidR="008E3FDE" w:rsidRPr="00F153F6">
        <w:rPr>
          <w:rFonts w:ascii="Times New Roman" w:hAnsi="Times New Roman" w:cs="Times New Roman"/>
          <w:color w:val="000000" w:themeColor="text1"/>
          <w:sz w:val="24"/>
          <w:szCs w:val="24"/>
        </w:rPr>
        <w:t xml:space="preserve">organisations in </w:t>
      </w:r>
      <w:r w:rsidRPr="00F153F6">
        <w:rPr>
          <w:rFonts w:ascii="Times New Roman" w:hAnsi="Times New Roman" w:cs="Times New Roman"/>
          <w:color w:val="000000" w:themeColor="text1"/>
          <w:sz w:val="24"/>
          <w:szCs w:val="24"/>
        </w:rPr>
        <w:t xml:space="preserve">inter-organisational collaboration </w:t>
      </w:r>
      <w:r w:rsidR="008E3FDE" w:rsidRPr="00F153F6">
        <w:rPr>
          <w:rFonts w:ascii="Times New Roman" w:hAnsi="Times New Roman" w:cs="Times New Roman"/>
          <w:color w:val="000000" w:themeColor="text1"/>
          <w:sz w:val="24"/>
          <w:szCs w:val="24"/>
        </w:rPr>
        <w:t>may shape their</w:t>
      </w:r>
      <w:r w:rsidRPr="00F153F6">
        <w:rPr>
          <w:rFonts w:ascii="Times New Roman" w:hAnsi="Times New Roman" w:cs="Times New Roman"/>
          <w:color w:val="000000" w:themeColor="text1"/>
          <w:sz w:val="24"/>
          <w:szCs w:val="24"/>
        </w:rPr>
        <w:t xml:space="preserve"> own culture and language</w:t>
      </w:r>
      <w:r w:rsidR="008E3FDE" w:rsidRPr="00F153F6">
        <w:rPr>
          <w:rFonts w:ascii="Times New Roman" w:hAnsi="Times New Roman" w:cs="Times New Roman"/>
          <w:color w:val="000000" w:themeColor="text1"/>
          <w:sz w:val="24"/>
          <w:szCs w:val="24"/>
        </w:rPr>
        <w:t xml:space="preserve"> within their inter-organisational network</w:t>
      </w:r>
      <w:r w:rsidRPr="00F153F6">
        <w:rPr>
          <w:rFonts w:ascii="Times New Roman" w:hAnsi="Times New Roman" w:cs="Times New Roman"/>
          <w:color w:val="000000" w:themeColor="text1"/>
          <w:sz w:val="24"/>
          <w:szCs w:val="24"/>
        </w:rPr>
        <w:t xml:space="preserve">. Similarly, Camarinha-Matos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{"citationID":"j1IDgnRH","properties":{"formattedCitation":"(2013)","plainCitation":"(2013)","noteIndex":0},"citationItems":[{"id":379,"uris":["http://zotero.org/users/5709166/items/3NCMMVP9"],"itemData":{"id":379,"type":"book","abstract":"Towards collaborative business ecosystems Last decade was fertile in the emerging of new collaboration mechanisms and forms of dynamic virtual organizations, leading to the concept of dynamic business ecosystem, which is supported (or induced ?) by the progress of the ubiquitous I pervasive computing and networking. The new technologies, collaborative business models, and organizational forms supported by networking tools \"invade\" all traditional businesses and organizations what requires thinking in terms of whole systems, i. e. seeing each business as part of a wider economic ecosystem and environment. It is also becoming evident that the agile formation of very dynamic virtual organizations depends on the existence of a proper longer-term \"embedding\" or \"nesting\" environment (e. g. regional industry cluster), in order to guarantee certain basic requirements such as trust building (\"Trusting your partner\" is a gradual and long process); common interoperability, ontology, and distributed collaboration infrastructures; agreed business practices (requiring substantial engineering Ire-engineering efforts); a sense of community (\"we vs. the others\"), and some sense of stability (when is a dynamic state or a stationary state useful). The more frequent situation is the case in which this \"nesting\" environment is formed by organizations located in a common region, although geography is not a major facet when cooperation is supported by computer networks.","ISBN":"978-0-387-35585-6","language":"en","note":"Google-Books-ID: IlDlBwAAQBAJ","number-of-pages":"629","publisher":"Springer","source":"Google Books","title":"Collaborative Business Ecosystems and Virtual Enterprises: IFIP TC5 / WG5.5 Third Working Conference on Infrastructures for Virtual Enterprises (PRO-VE’02) May 1–3, 2002, Sesimbra, Portugal","title-short":"Collaborative Business Ecosystems and Virtual Enterprises","author":[{"family":"Camarinha-Matos","given":"Luis M."}],"issued":{"date-parts":[["2013",6,29]]}},"suppress-author":true}],"schema":"https://github.com/citation-style-language/schema/raw/master/csl-citation.json"}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(2013)</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argues that a common language and a common </w:t>
      </w:r>
      <w:r w:rsidRPr="00F153F6">
        <w:rPr>
          <w:rFonts w:ascii="Times New Roman" w:hAnsi="Times New Roman" w:cs="Times New Roman"/>
          <w:b/>
          <w:bCs/>
          <w:color w:val="000000" w:themeColor="text1"/>
          <w:sz w:val="24"/>
          <w:szCs w:val="24"/>
        </w:rPr>
        <w:t>operability of ICT</w:t>
      </w:r>
      <w:r w:rsidRPr="00F153F6">
        <w:rPr>
          <w:rFonts w:ascii="Times New Roman" w:hAnsi="Times New Roman" w:cs="Times New Roman"/>
          <w:color w:val="000000" w:themeColor="text1"/>
          <w:sz w:val="24"/>
          <w:szCs w:val="24"/>
        </w:rPr>
        <w:t xml:space="preserve"> infrastructure is important to a collaborative business ecosystem. </w:t>
      </w:r>
    </w:p>
    <w:p w14:paraId="5A05E1C2" w14:textId="23F804FF" w:rsidR="002C1A2F" w:rsidRPr="00F153F6" w:rsidRDefault="002C1A2F" w:rsidP="00AD7BA8">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
          <w:color w:val="000000" w:themeColor="text1"/>
          <w:sz w:val="24"/>
          <w:szCs w:val="24"/>
        </w:rPr>
        <w:t>For Inter-organisational knowledge transfer</w:t>
      </w:r>
      <w:r w:rsidRPr="00F153F6">
        <w:rPr>
          <w:rFonts w:ascii="Times New Roman" w:eastAsia="Times New Roman"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t>Easterby‐Smith, Lyles and Tsang</w:t>
      </w:r>
      <w:r w:rsidRPr="00F153F6">
        <w:rPr>
          <w:rFonts w:ascii="Times New Roman" w:eastAsia="Times New Roman" w:hAnsi="Times New Roman" w:cs="Times New Roman"/>
          <w:iCs/>
          <w:color w:val="000000" w:themeColor="text1"/>
          <w:sz w:val="24"/>
          <w:szCs w:val="24"/>
        </w:rPr>
        <w:t xml:space="preserve">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{"citationID":"eSAVsx4L","properties":{"formattedCitation":"(2008)","plainCitation":"(2008)","noteIndex":0},"citationItems":[{"id":1806,"uris":["http://zotero.org/users/5709166/items/S6X663HN"],"itemData":{"id":1806,"type":"article-journal","abstract":"Many papers have been published recently in the fields of strategy and international business research incorporating the role of organizational knowledge as a basis of firm competitive advantage. While such knowledge is normally developed within the firm, it is important that firms possess the ability to learn from others in order to meet the increasing pace of competition. Knowledge transfer, defined here as an event through which one organization learns from the experience of another, has thus become an important research area within the broader domain of organizational learning and knowledge management. This paper presents a theoretical framework, identifies key themes covered by the six articles included in the Special Issue on Inter-Organizational Knowledge Transfer, and then discusses priorities for future research.","container-title":"Journal of Management Studies","DOI":"10.1111/j.1467-6486.2008.00773.x","ISSN":"1467-6486","issue":"4","language":"en","page":"677-690","source":"Wiley Online Library","title":"Inter-Organizational Knowledge Transfer: Current Themes and Future Prospects","title-short":"Inter-Organizational Knowledge Transfer","volume":"45","author":[{"family":"Easterby‐Smith","given":"Mark"},{"family":"Lyles","given":"Marjorie A."},{"family":"Tsang","given":"Eric W. K."}],"issued":{"date-parts":[["2008"]]}},"suppress-author":true}],"schema":"https://github.com/citation-style-language/schema/raw/master/csl-citation.json"}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(2008)</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suggest an influential framework to elaborate this process and integrate relevant influential factors. </w:t>
      </w:r>
      <w:r w:rsidRPr="00F153F6">
        <w:rPr>
          <w:rFonts w:ascii="Times New Roman" w:eastAsia="Times New Roman" w:hAnsi="Times New Roman" w:cs="Times New Roman"/>
          <w:b/>
          <w:bCs/>
          <w:iCs/>
          <w:color w:val="000000" w:themeColor="text1"/>
          <w:sz w:val="24"/>
          <w:szCs w:val="24"/>
        </w:rPr>
        <w:t xml:space="preserve">Trust </w:t>
      </w:r>
      <w:r w:rsidRPr="00F153F6">
        <w:rPr>
          <w:rFonts w:ascii="Times New Roman" w:eastAsia="Times New Roman" w:hAnsi="Times New Roman" w:cs="Times New Roman"/>
          <w:iCs/>
          <w:color w:val="000000" w:themeColor="text1"/>
          <w:sz w:val="24"/>
          <w:szCs w:val="24"/>
        </w:rPr>
        <w:t>or</w:t>
      </w:r>
      <w:r w:rsidRPr="00F153F6">
        <w:rPr>
          <w:rFonts w:ascii="Times New Roman" w:eastAsia="Times New Roman" w:hAnsi="Times New Roman" w:cs="Times New Roman"/>
          <w:b/>
          <w:bCs/>
          <w:iCs/>
          <w:color w:val="000000" w:themeColor="text1"/>
          <w:sz w:val="24"/>
          <w:szCs w:val="24"/>
        </w:rPr>
        <w:t xml:space="preserve"> inter-organisational trust</w:t>
      </w:r>
      <w:r w:rsidRPr="00F153F6">
        <w:rPr>
          <w:rFonts w:ascii="Times New Roman" w:eastAsia="Times New Roman" w:hAnsi="Times New Roman" w:cs="Times New Roman"/>
          <w:iCs/>
          <w:color w:val="000000" w:themeColor="text1"/>
          <w:sz w:val="24"/>
          <w:szCs w:val="24"/>
        </w:rPr>
        <w:t xml:space="preserve"> in the framework is important to motivate people to share knowledge and engage knowledge transfer in inter-organisational collaborations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{"citationID":"DKGZTQTE","properties":{"formattedCitation":"(Easterby\\uc0\\u8208{}Smith et al., 2008; Ingene et al., 2019)","plainCitation":"(Easterby‐Smith et al., 2008; Ingene et al., 2019)","noteIndex":0},"citationItems":[{"id":1806,"uris":["http://zotero.org/users/5709166/items/S6X663HN"],"itemData":{"id":1806,"type":"article-journal","abstract":"Many papers have been published recently in the fields of strategy and international business research incorporating the role of organizational knowledge as a basis of firm competitive advantage. While such knowledge is normally developed within the firm, it is important that firms possess the ability to learn from others in order to meet the increasing pace of competition. Knowledge transfer, defined here as an event through which one organization learns from the experience of another, has thus become an important research area within the broader domain of organizational learning and knowledge management. This paper presents a theoretical framework, identifies key themes covered by the six articles included in the Special Issue on Inter-Organizational Knowledge Transfer, and then discusses priorities for future research.","container-title":"Journal of Management Studies","DOI":"10.1111/j.1467-6486.2008.00773.x","ISSN":"1467-6486","issue":"4","language":"en","page":"677-690","source":"Wiley Online Library","title":"Inter-Organizational Knowledge Transfer: Current Themes and Future Prospects","title-short":"Inter-Organizational Knowledge Transfer","volume":"45","author":[{"family":"Easterby‐Smith","given":"Mark"},{"family":"Lyles","given":"Marjorie A."},{"family":"Tsang","given":"Eric W. K."}],"issued":{"date-parts":[["2008"]]}}},{"id":329,"uris":["http://zotero.org/users/5709166/items/UXIDWHAV"],"itemData":{"id":329,"type":"book","abstract":"Distribution channels are the most complex element of the marketing mix to fully grasp and to profitably manage. In this Handbook the authors present cutting-edge research on channel management and design from analytical, conceptual, and empirical perspectives. The breadth of this Handbook makes it appropriate for use in a doctoral course on distribution channels, or as a knowledge-broadening resource for faculty and researchers who wish to understand types of channels research that are outside the scope of their own approach to distribution.","ISBN":"978-0-85793-860-2","language":"en","note":"Google-Books-ID: WROKDwAAQBAJ","number-of-pages":"599","publisher":"Edward Elgar Publishing","source":"Google Books","title":"Handbook of Research on Distribution Channels","author":[{"family":"Ingene","given":"Charles A."},{"family":"Brown","given":"James R."},{"family":"Dant","given":"the late Rajiv P."}],"issued":{"date-parts":[["2019"]]}}}],"schema":"https://github.com/citation-style-language/schema/raw/master/csl-citation.json"}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(Easterby‐Smith et al., 2008; Ingene et al., 2019)</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In addition, </w:t>
      </w:r>
      <w:r w:rsidRPr="00F153F6">
        <w:rPr>
          <w:rFonts w:ascii="Times New Roman" w:eastAsia="Times New Roman" w:hAnsi="Times New Roman" w:cs="Times New Roman"/>
          <w:b/>
          <w:bCs/>
          <w:iCs/>
          <w:color w:val="000000" w:themeColor="text1"/>
          <w:sz w:val="24"/>
          <w:szCs w:val="24"/>
        </w:rPr>
        <w:t xml:space="preserve">absorptive capacity </w:t>
      </w:r>
      <w:r w:rsidRPr="00F153F6">
        <w:rPr>
          <w:rFonts w:ascii="Times New Roman" w:eastAsia="Times New Roman" w:hAnsi="Times New Roman" w:cs="Times New Roman"/>
          <w:iCs/>
          <w:color w:val="000000" w:themeColor="text1"/>
          <w:sz w:val="24"/>
          <w:szCs w:val="24"/>
        </w:rPr>
        <w:t xml:space="preserve">plays a moderating role in managing external knowledge flows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{"citationID":"a1pc12s31kp","properties":{"formattedCitation":"(Escribano et al., 2009)","plainCitation":"(Escribano et al., 2009)","noteIndex":0},"citationItems":[{"id":382,"uris":["http://zotero.org/users/5709166/items/8FG8GVIM"],"itemData":{"id":382,"type":"article-journal","abstract":"In this paper, we argue that those ﬁrms with higher levels of absorptive capacity can manage external knowledge ﬂows more efﬁciently, and stimulate innovative outcomes. We test this contention with a sample of 2265 Spanish ﬁrms, drawn from the Community Innovation Surveys (CIS) for 2000 and 2002, produced by the Spanish National Statistics Institute (INE). We ﬁnd that absorptive capacity is indeed an important source of competitive advantage, especially in sectors characterized by turbulent knowledge and strong intellectual property rights protection. The implications for management practice and policy are also discussed.","container-title":"Research Policy","DOI":"10.1016/j.respol.2008.10.022","ISSN":"00487333","issue":"1","journalAbbreviation":"Research Policy","language":"en","page":"96-105","source":"DOI.org (Crossref)","title":"Managing external knowledge flows: The moderating role of absorptive capacity","title-short":"Managing external knowledge flows","volume":"38","author":[{"family":"Escribano","given":"Alvaro"},{"family":"Fosfuri","given":"Andrea"},{"family":"Tribó","given":"Josep A."}],"issued":{"date-parts":[["2009",2]]}}}],"schema":"https://github.com/citation-style-language/schema/raw/master/csl-citation.json"}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(Escribano et al., 2009)</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Based on the absorptive capacity perspective, Miller et al.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{"citationID":"3h9MemIe","properties":{"formattedCitation":"(2016)","plainCitation":"(2016)","noteIndex":0},"citationItems":[{"id":2160,"uris":["http://zotero.org/users/5709166/items/5IHHPHJQ"],"itemData":{"id":2160,"type":"article-journal","abstract":"Increased understanding of knowledge transfer (KT) from universities to the wider regional knowledge ecosystem offers opportunities for increased regional innovation and commercialisation. The aim of this article is to improve the understanding of the KT phenomena in an open innovation context where multiple diverse quadruple helix stakeholders are interacting. An absorptive capacity-based conceptual framework is proposed, using a priori constructs which portrays the multidimensional process of KT between universities and its constituent stakeholders in pursuit of open innovation and commercialisation. Given the lack of overarching theory in the field, an exploratory, inductive theory building methodology was adopted using semi-structured interviews, document analysis and longitudinal observation data over a three-year period. The findings identify five factors, namely human centric factors, organisational factors, knowledge characteristics, power relationships and network characteristics, which mediate both the ability of stakeholders to engage in KT and the effectiveness of knowledge acquisition, assimilation, transformation and exploitation. This research has implications for policy makers and practitioners by identifying the need to implement interventions to overcome the barriers to KT effectiveness between regional quadruple helix stakeholders within an open innovation ecosystem.","container-title":"R&amp;D Management","DOI":"10.1111/radm.12182","ISSN":"1467-9310","issue":"2","language":"en","page":"383-399","source":"Wiley Online Library","title":"Knowledge transfer in university quadruple helix ecosystems: an absorptive capacity perspective","title-short":"Knowledge transfer in university quadruple helix ecosystems","volume":"46","author":[{"family":"Miller","given":"Kristel"},{"family":"McAdam","given":"Rodney"},{"family":"Moffett","given":"Sandra"},{"family":"Alexander","given":"Allen"},{"family":"Puthusserry","given":"Pushyarag"}],"issued":{"date-parts":[["2016"]]}},"suppress-author":true}],"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(2016)</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argue that factors such as </w:t>
      </w:r>
      <w:r w:rsidRPr="00F153F6">
        <w:rPr>
          <w:rFonts w:ascii="Times New Roman" w:eastAsia="Times New Roman" w:hAnsi="Times New Roman" w:cs="Times New Roman"/>
          <w:b/>
          <w:bCs/>
          <w:iCs/>
          <w:color w:val="000000" w:themeColor="text1"/>
          <w:sz w:val="24"/>
          <w:szCs w:val="24"/>
        </w:rPr>
        <w:t>prior investment</w:t>
      </w:r>
      <w:r w:rsidRPr="00F153F6">
        <w:rPr>
          <w:rFonts w:ascii="Times New Roman" w:eastAsia="Times New Roman" w:hAnsi="Times New Roman" w:cs="Times New Roman"/>
          <w:iCs/>
          <w:color w:val="000000" w:themeColor="text1"/>
          <w:sz w:val="24"/>
          <w:szCs w:val="24"/>
        </w:rPr>
        <w:t xml:space="preserve">, </w:t>
      </w:r>
      <w:r w:rsidRPr="00F153F6">
        <w:rPr>
          <w:rFonts w:ascii="Times New Roman" w:eastAsia="Times New Roman" w:hAnsi="Times New Roman" w:cs="Times New Roman"/>
          <w:b/>
          <w:bCs/>
          <w:iCs/>
          <w:color w:val="000000" w:themeColor="text1"/>
          <w:sz w:val="24"/>
          <w:szCs w:val="24"/>
        </w:rPr>
        <w:t>human resources</w:t>
      </w:r>
      <w:r w:rsidRPr="00F153F6">
        <w:rPr>
          <w:rFonts w:ascii="Times New Roman" w:eastAsia="Times New Roman" w:hAnsi="Times New Roman" w:cs="Times New Roman"/>
          <w:iCs/>
          <w:color w:val="000000" w:themeColor="text1"/>
          <w:sz w:val="24"/>
          <w:szCs w:val="24"/>
        </w:rPr>
        <w:t xml:space="preserve">, and </w:t>
      </w:r>
      <w:r w:rsidRPr="00F153F6">
        <w:rPr>
          <w:rFonts w:ascii="Times New Roman" w:eastAsia="Times New Roman" w:hAnsi="Times New Roman" w:cs="Times New Roman"/>
          <w:b/>
          <w:bCs/>
          <w:iCs/>
          <w:color w:val="000000" w:themeColor="text1"/>
          <w:sz w:val="24"/>
          <w:szCs w:val="24"/>
        </w:rPr>
        <w:t>prior internal and external knowledge base</w:t>
      </w:r>
      <w:r w:rsidRPr="00F153F6">
        <w:rPr>
          <w:rFonts w:ascii="Times New Roman" w:eastAsia="Times New Roman" w:hAnsi="Times New Roman" w:cs="Times New Roman"/>
          <w:iCs/>
          <w:color w:val="000000" w:themeColor="text1"/>
          <w:sz w:val="24"/>
          <w:szCs w:val="24"/>
        </w:rPr>
        <w:t xml:space="preserve"> can influence the ability to develop linkages with external knowledge sources. Factors such as </w:t>
      </w:r>
      <w:r w:rsidRPr="00F153F6">
        <w:rPr>
          <w:rFonts w:ascii="Times New Roman" w:eastAsia="Times New Roman" w:hAnsi="Times New Roman" w:cs="Times New Roman"/>
          <w:b/>
          <w:bCs/>
          <w:iCs/>
          <w:color w:val="000000" w:themeColor="text1"/>
          <w:sz w:val="24"/>
          <w:szCs w:val="24"/>
        </w:rPr>
        <w:t>diversity of stakeholders’ background</w:t>
      </w:r>
      <w:r w:rsidRPr="00F153F6">
        <w:rPr>
          <w:rFonts w:ascii="Times New Roman" w:eastAsia="Times New Roman" w:hAnsi="Times New Roman" w:cs="Times New Roman"/>
          <w:iCs/>
          <w:color w:val="000000" w:themeColor="text1"/>
          <w:sz w:val="24"/>
          <w:szCs w:val="24"/>
        </w:rPr>
        <w:t xml:space="preserve">, and </w:t>
      </w:r>
      <w:r w:rsidRPr="00F153F6">
        <w:rPr>
          <w:rFonts w:ascii="Times New Roman" w:eastAsia="Times New Roman" w:hAnsi="Times New Roman" w:cs="Times New Roman"/>
          <w:b/>
          <w:bCs/>
          <w:iCs/>
          <w:color w:val="000000" w:themeColor="text1"/>
          <w:sz w:val="24"/>
          <w:szCs w:val="24"/>
        </w:rPr>
        <w:t>education level</w:t>
      </w:r>
      <w:r w:rsidRPr="00F153F6">
        <w:rPr>
          <w:rFonts w:ascii="Times New Roman" w:eastAsia="Times New Roman" w:hAnsi="Times New Roman" w:cs="Times New Roman"/>
          <w:iCs/>
          <w:color w:val="000000" w:themeColor="text1"/>
          <w:sz w:val="24"/>
          <w:szCs w:val="24"/>
        </w:rPr>
        <w:t xml:space="preserve"> can influence the ability to understand external knowledge </w:t>
      </w:r>
      <w:r w:rsidRPr="00F153F6">
        <w:rPr>
          <w:rFonts w:ascii="Times New Roman" w:eastAsia="Times New Roman" w:hAnsi="Times New Roman" w:cs="Times New Roman"/>
          <w:iCs/>
          <w:color w:val="000000" w:themeColor="text1"/>
          <w:sz w:val="24"/>
          <w:szCs w:val="24"/>
        </w:rPr>
        <w:lastRenderedPageBreak/>
        <w:t xml:space="preserve">and factors such as </w:t>
      </w:r>
      <w:r w:rsidRPr="00F153F6">
        <w:rPr>
          <w:rFonts w:ascii="Times New Roman" w:eastAsia="Times New Roman" w:hAnsi="Times New Roman" w:cs="Times New Roman"/>
          <w:b/>
          <w:bCs/>
          <w:iCs/>
          <w:color w:val="000000" w:themeColor="text1"/>
          <w:sz w:val="24"/>
          <w:szCs w:val="24"/>
        </w:rPr>
        <w:t>bureaucracy</w:t>
      </w:r>
      <w:r w:rsidRPr="00F153F6">
        <w:rPr>
          <w:rFonts w:ascii="Times New Roman" w:eastAsia="Times New Roman" w:hAnsi="Times New Roman" w:cs="Times New Roman"/>
          <w:iCs/>
          <w:color w:val="000000" w:themeColor="text1"/>
          <w:sz w:val="24"/>
          <w:szCs w:val="24"/>
        </w:rPr>
        <w:t xml:space="preserve"> can influence the ability to use new knowledge. Miller et al. </w:t>
      </w:r>
      <w:r w:rsidRPr="00F153F6">
        <w:rPr>
          <w:rFonts w:ascii="Times New Roman" w:eastAsia="Times New Roman" w:hAnsi="Times New Roman" w:cs="Times New Roman"/>
          <w:iCs/>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{"citationID":"cPJMdZ4n","properties":{"formattedCitation":"(2016)","plainCitation":"(2016)","noteIndex":0},"citationItems":[{"id":2160,"uris":["http://zotero.org/users/5709166/items/5IHHPHJQ"],"itemData":{"id":2160,"type":"article-journal","abstract":"Increased understanding of knowledge transfer (KT) from universities to the wider regional knowledge ecosystem offers opportunities for increased regional innovation and commercialisation. The aim of this article is to improve the understanding of the KT phenomena in an open innovation context where multiple diverse quadruple helix stakeholders are interacting. An absorptive capacity-based conceptual framework is proposed, using a priori constructs which portrays the multidimensional process of KT between universities and its constituent stakeholders in pursuit of open innovation and commercialisation. Given the lack of overarching theory in the field, an exploratory, inductive theory building methodology was adopted using semi-structured interviews, document analysis and longitudinal observation data over a three-year period. The findings identify five factors, namely human centric factors, organisational factors, knowledge characteristics, power relationships and network characteristics, which mediate both the ability of stakeholders to engage in KT and the effectiveness of knowledge acquisition, assimilation, transformation and exploitation. This research has implications for policy makers and practitioners by identifying the need to implement interventions to overcome the barriers to KT effectiveness between regional quadruple helix stakeholders within an open innovation ecosystem.","container-title":"R&amp;D Management","DOI":"10.1111/radm.12182","ISSN":"1467-9310","issue":"2","language":"en","page":"383-399","source":"Wiley Online Library","title":"Knowledge transfer in university quadruple helix ecosystems: an absorptive capacity perspective","title-short":"Knowledge transfer in university quadruple helix ecosystems","volume":"46","author":[{"family":"Miller","given":"Kristel"},{"family":"McAdam","given":"Rodney"},{"family":"Moffett","given":"Sandra"},{"family":"Alexander","given":"Allen"},{"family":"Puthusserry","given":"Pushyarag"}],"issued":{"date-parts":[["2016"]]}},"suppress-author":true}],"schema":"https://github.com/citation-style-language/schema/raw/master/csl-citation.json"} </w:instrText>
      </w:r>
      <w:r w:rsidRPr="00F153F6">
        <w:rPr>
          <w:rFonts w:ascii="Times New Roman" w:eastAsia="Times New Roman"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(2016)</w:t>
      </w:r>
      <w:r w:rsidRPr="00F153F6">
        <w:rPr>
          <w:rFonts w:ascii="Times New Roman" w:eastAsia="Times New Roman" w:hAnsi="Times New Roman" w:cs="Times New Roman"/>
          <w:iCs/>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identify these factors from an open innovation context where multiple stakeholders are interacting, and argue that these factors have great influence on inter-organisational knowledge transfer. In addition, </w:t>
      </w:r>
      <w:r w:rsidR="008E3FDE" w:rsidRPr="00F153F6">
        <w:rPr>
          <w:rFonts w:ascii="Times New Roman" w:eastAsia="Times New Roman" w:hAnsi="Times New Roman" w:cs="Times New Roman"/>
          <w:iCs/>
          <w:color w:val="000000" w:themeColor="text1"/>
          <w:sz w:val="24"/>
          <w:szCs w:val="24"/>
        </w:rPr>
        <w:t>the authors further</w:t>
      </w:r>
      <w:r w:rsidRPr="00F153F6">
        <w:rPr>
          <w:rFonts w:ascii="Times New Roman" w:eastAsia="Times New Roman" w:hAnsi="Times New Roman" w:cs="Times New Roman"/>
          <w:iCs/>
          <w:color w:val="000000" w:themeColor="text1"/>
          <w:sz w:val="24"/>
          <w:szCs w:val="24"/>
        </w:rPr>
        <w:t xml:space="preserve"> argue that </w:t>
      </w:r>
      <w:r w:rsidRPr="00F153F6">
        <w:rPr>
          <w:rFonts w:ascii="Times New Roman" w:eastAsia="Times New Roman" w:hAnsi="Times New Roman" w:cs="Times New Roman"/>
          <w:b/>
          <w:bCs/>
          <w:iCs/>
          <w:color w:val="000000" w:themeColor="text1"/>
          <w:sz w:val="24"/>
          <w:szCs w:val="24"/>
        </w:rPr>
        <w:t>organisational learning</w:t>
      </w:r>
      <w:r w:rsidRPr="00F153F6">
        <w:rPr>
          <w:rFonts w:ascii="Times New Roman" w:eastAsia="Times New Roman" w:hAnsi="Times New Roman" w:cs="Times New Roman"/>
          <w:iCs/>
          <w:color w:val="000000" w:themeColor="text1"/>
          <w:sz w:val="24"/>
          <w:szCs w:val="24"/>
        </w:rPr>
        <w:t xml:space="preserve"> is also an important factor in facilitating organisations to learn knowledge from others, which influences the process of inter-organisational knowledge transfer as well. In inter-organisational settings, </w:t>
      </w:r>
      <w:r w:rsidR="008E3FDE" w:rsidRPr="00F153F6">
        <w:rPr>
          <w:rFonts w:ascii="Times New Roman" w:eastAsia="Times New Roman" w:hAnsi="Times New Roman" w:cs="Times New Roman"/>
          <w:iCs/>
          <w:color w:val="000000" w:themeColor="text1"/>
          <w:sz w:val="24"/>
          <w:szCs w:val="24"/>
        </w:rPr>
        <w:t>aforementioned knowledge transfer</w:t>
      </w:r>
      <w:r w:rsidRPr="00F153F6">
        <w:rPr>
          <w:rFonts w:ascii="Times New Roman" w:eastAsia="Times New Roman" w:hAnsi="Times New Roman" w:cs="Times New Roman"/>
          <w:iCs/>
          <w:color w:val="000000" w:themeColor="text1"/>
          <w:sz w:val="24"/>
          <w:szCs w:val="24"/>
        </w:rPr>
        <w:t xml:space="preserve"> processes may also take place among different organisations</w:t>
      </w:r>
      <w:r w:rsidR="008E3FDE" w:rsidRPr="00F153F6">
        <w:rPr>
          <w:rFonts w:ascii="Times New Roman" w:eastAsia="Times New Roman" w:hAnsi="Times New Roman" w:cs="Times New Roman"/>
          <w:iCs/>
          <w:color w:val="000000" w:themeColor="text1"/>
          <w:sz w:val="24"/>
          <w:szCs w:val="24"/>
        </w:rPr>
        <w:t xml:space="preserve"> as a form of inter-organisational knowledge exchange</w:t>
      </w:r>
      <w:r w:rsidRPr="00F153F6">
        <w:rPr>
          <w:rFonts w:ascii="Times New Roman" w:eastAsia="Times New Roman" w:hAnsi="Times New Roman" w:cs="Times New Roman"/>
          <w:iCs/>
          <w:color w:val="000000" w:themeColor="text1"/>
          <w:sz w:val="24"/>
          <w:szCs w:val="24"/>
        </w:rPr>
        <w:t>. Thereby th</w:t>
      </w:r>
      <w:r w:rsidR="008E3FDE" w:rsidRPr="00F153F6">
        <w:rPr>
          <w:rFonts w:ascii="Times New Roman" w:eastAsia="Times New Roman" w:hAnsi="Times New Roman" w:cs="Times New Roman"/>
          <w:iCs/>
          <w:color w:val="000000" w:themeColor="text1"/>
          <w:sz w:val="24"/>
          <w:szCs w:val="24"/>
        </w:rPr>
        <w:t>os</w:t>
      </w:r>
      <w:r w:rsidRPr="00F153F6">
        <w:rPr>
          <w:rFonts w:ascii="Times New Roman" w:eastAsia="Times New Roman" w:hAnsi="Times New Roman" w:cs="Times New Roman"/>
          <w:iCs/>
          <w:color w:val="000000" w:themeColor="text1"/>
          <w:sz w:val="24"/>
          <w:szCs w:val="24"/>
        </w:rPr>
        <w:t>e contextual factors</w:t>
      </w:r>
      <w:r w:rsidR="008E3FDE" w:rsidRPr="00F153F6">
        <w:rPr>
          <w:rFonts w:ascii="Times New Roman" w:eastAsia="Times New Roman" w:hAnsi="Times New Roman" w:cs="Times New Roman"/>
          <w:iCs/>
          <w:color w:val="000000" w:themeColor="text1"/>
          <w:sz w:val="24"/>
          <w:szCs w:val="24"/>
        </w:rPr>
        <w:t xml:space="preserve"> (i.e., culture, language, or leadership)</w:t>
      </w:r>
      <w:r w:rsidRPr="00F153F6">
        <w:rPr>
          <w:rFonts w:ascii="Times New Roman" w:eastAsia="Times New Roman" w:hAnsi="Times New Roman" w:cs="Times New Roman"/>
          <w:iCs/>
          <w:color w:val="000000" w:themeColor="text1"/>
          <w:sz w:val="24"/>
          <w:szCs w:val="24"/>
        </w:rPr>
        <w:t xml:space="preserve"> may also influence IOKE. </w:t>
      </w:r>
    </w:p>
    <w:p w14:paraId="1AD38F09" w14:textId="66B694FE"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Based on the literature on knowledge exchange and inter-organisational collaboration,</w:t>
      </w:r>
      <w:r w:rsidR="00AD7BA8" w:rsidRPr="00F153F6">
        <w:rPr>
          <w:rFonts w:ascii="Times New Roman" w:eastAsia="Times New Roman" w:hAnsi="Times New Roman" w:cs="Times New Roman"/>
          <w:iCs/>
          <w:color w:val="000000" w:themeColor="text1"/>
          <w:sz w:val="24"/>
          <w:szCs w:val="24"/>
        </w:rPr>
        <w:t xml:space="preserve"> there is less study that can provide a comprehensive definition of IOKE for enquiring its dynamic nature. Therefore,</w:t>
      </w:r>
      <w:r w:rsidRPr="00F153F6">
        <w:rPr>
          <w:rFonts w:ascii="Times New Roman" w:eastAsia="Times New Roman" w:hAnsi="Times New Roman" w:cs="Times New Roman"/>
          <w:iCs/>
          <w:color w:val="000000" w:themeColor="text1"/>
          <w:sz w:val="24"/>
          <w:szCs w:val="24"/>
        </w:rPr>
        <w:t xml:space="preserve"> </w:t>
      </w:r>
      <w:bookmarkStart w:id="150" w:name="OLE_LINK429"/>
      <w:bookmarkStart w:id="151" w:name="OLE_LINK430"/>
      <w:r w:rsidRPr="00F153F6">
        <w:rPr>
          <w:rFonts w:ascii="Times New Roman" w:eastAsia="Times New Roman" w:hAnsi="Times New Roman" w:cs="Times New Roman"/>
          <w:iCs/>
          <w:color w:val="000000" w:themeColor="text1"/>
          <w:sz w:val="24"/>
          <w:szCs w:val="24"/>
        </w:rPr>
        <w:t>IOKE in this research is defined as ‘</w:t>
      </w:r>
      <w:r w:rsidRPr="00F153F6">
        <w:rPr>
          <w:rFonts w:ascii="Times New Roman" w:eastAsia="Times New Roman" w:hAnsi="Times New Roman" w:cs="Times New Roman"/>
          <w:i/>
          <w:color w:val="000000" w:themeColor="text1"/>
          <w:sz w:val="24"/>
          <w:szCs w:val="24"/>
        </w:rPr>
        <w:t>a dynamic, multi-directional and iterative, know-do process by which inter-organisational knowledge is created, shared, stored and applied in inter-organisational collaborations and with stakeholders who possess distinct forms of knowledge’.</w:t>
      </w:r>
      <w:r w:rsidRPr="00F153F6">
        <w:rPr>
          <w:rFonts w:ascii="Times New Roman" w:eastAsia="Times New Roman" w:hAnsi="Times New Roman" w:cs="Times New Roman"/>
          <w:iCs/>
          <w:color w:val="000000" w:themeColor="text1"/>
          <w:sz w:val="24"/>
          <w:szCs w:val="24"/>
        </w:rPr>
        <w:t xml:space="preserve"> </w:t>
      </w:r>
      <w:bookmarkEnd w:id="150"/>
      <w:bookmarkEnd w:id="151"/>
      <w:r w:rsidRPr="00F153F6">
        <w:rPr>
          <w:rFonts w:ascii="Times New Roman" w:eastAsia="Times New Roman" w:hAnsi="Times New Roman" w:cs="Times New Roman"/>
          <w:iCs/>
          <w:color w:val="000000" w:themeColor="text1"/>
          <w:sz w:val="24"/>
          <w:szCs w:val="24"/>
        </w:rPr>
        <w:t>The IOKE process consolidates the knowledge exchange phases summarised in Section 2.3.3. However, the knowledge exchanged in inter-organisational collaboration serves inter-organisational collaboration purposes. The intersection of these dimensions is presented visually in Figure 2.7</w:t>
      </w:r>
    </w:p>
    <w:p w14:paraId="6DC49CA9" w14:textId="77777777" w:rsidR="00D345CD" w:rsidRPr="00F153F6" w:rsidRDefault="002C1A2F" w:rsidP="00D345CD">
      <w:pPr>
        <w:keepNext/>
        <w:spacing w:line="360" w:lineRule="auto"/>
        <w:jc w:val="center"/>
      </w:pPr>
      <w:r w:rsidRPr="00F153F6">
        <w:rPr>
          <w:rFonts w:ascii="Times New Roman" w:hAnsi="Times New Roman" w:cs="Times New Roman"/>
          <w:noProof/>
          <w:color w:val="000000" w:themeColor="text1"/>
        </w:rPr>
        <w:drawing>
          <wp:inline distT="0" distB="0" distL="0" distR="0" wp14:anchorId="5D45A1DA" wp14:editId="535F1F08">
            <wp:extent cx="4391025" cy="2409825"/>
            <wp:effectExtent l="0" t="0" r="9525" b="952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391025" cy="2409825"/>
                    </a:xfrm>
                    <a:prstGeom prst="rect">
                      <a:avLst/>
                    </a:prstGeom>
                    <a:noFill/>
                    <a:ln>
                      <a:noFill/>
                    </a:ln>
                  </pic:spPr>
                </pic:pic>
              </a:graphicData>
            </a:graphic>
          </wp:inline>
        </w:drawing>
      </w:r>
    </w:p>
    <w:p w14:paraId="41230810" w14:textId="1A513865" w:rsidR="002C1A2F" w:rsidRPr="00F153F6" w:rsidRDefault="00D345CD" w:rsidP="00D345CD">
      <w:pPr>
        <w:pStyle w:val="Caption"/>
        <w:jc w:val="center"/>
        <w:rPr>
          <w:rFonts w:ascii="Times New Roman" w:hAnsi="Times New Roman" w:cs="Times New Roman"/>
          <w:i w:val="0"/>
          <w:iCs w:val="0"/>
          <w:color w:val="auto"/>
          <w:sz w:val="22"/>
          <w:szCs w:val="22"/>
        </w:rPr>
      </w:pPr>
      <w:bookmarkStart w:id="152" w:name="_Toc119448452"/>
      <w:r w:rsidRPr="00F153F6">
        <w:rPr>
          <w:rFonts w:ascii="Times New Roman" w:hAnsi="Times New Roman" w:cs="Times New Roman"/>
          <w:i w:val="0"/>
          <w:iCs w:val="0"/>
          <w:color w:val="auto"/>
          <w:sz w:val="22"/>
          <w:szCs w:val="22"/>
        </w:rPr>
        <w:t xml:space="preserve">Figure 2.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Figure_2.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7</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Inter-organisational Knowledge Exchange Process</w:t>
      </w:r>
      <w:bookmarkEnd w:id="152"/>
    </w:p>
    <w:p w14:paraId="2C2846B4" w14:textId="77777777"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p>
    <w:p w14:paraId="202D38D7" w14:textId="7F7C9230" w:rsidR="002C1A2F" w:rsidRPr="00F153F6" w:rsidRDefault="002C1A2F" w:rsidP="004424B4">
      <w:pPr>
        <w:pStyle w:val="Heading2"/>
        <w:spacing w:line="360" w:lineRule="auto"/>
        <w:rPr>
          <w:rFonts w:ascii="Times New Roman" w:hAnsi="Times New Roman" w:cs="Times New Roman"/>
          <w:color w:val="000000" w:themeColor="text1"/>
          <w:sz w:val="32"/>
          <w:szCs w:val="32"/>
        </w:rPr>
      </w:pPr>
      <w:bookmarkStart w:id="153" w:name="_Toc50065940"/>
      <w:bookmarkStart w:id="154" w:name="_Toc118371095"/>
      <w:bookmarkStart w:id="155" w:name="_Toc133252118"/>
      <w:bookmarkStart w:id="156" w:name="OLE_LINK103"/>
      <w:bookmarkStart w:id="157" w:name="OLE_LINK104"/>
      <w:bookmarkStart w:id="158" w:name="OLE_LINK226"/>
      <w:bookmarkStart w:id="159" w:name="OLE_LINK227"/>
      <w:r w:rsidRPr="00F153F6">
        <w:rPr>
          <w:rFonts w:ascii="Times New Roman" w:hAnsi="Times New Roman" w:cs="Times New Roman"/>
          <w:color w:val="000000" w:themeColor="text1"/>
          <w:sz w:val="32"/>
          <w:szCs w:val="32"/>
        </w:rPr>
        <w:lastRenderedPageBreak/>
        <w:t xml:space="preserve">2.5 Conceptualising ICT in </w:t>
      </w:r>
      <w:bookmarkEnd w:id="153"/>
      <w:r w:rsidRPr="00F153F6">
        <w:rPr>
          <w:rFonts w:ascii="Times New Roman" w:hAnsi="Times New Roman" w:cs="Times New Roman"/>
          <w:color w:val="000000" w:themeColor="text1"/>
          <w:sz w:val="32"/>
          <w:szCs w:val="32"/>
        </w:rPr>
        <w:t>Inter-organisational Knowledge Exchange Practice</w:t>
      </w:r>
      <w:bookmarkEnd w:id="154"/>
      <w:bookmarkEnd w:id="155"/>
      <w:r w:rsidRPr="00F153F6">
        <w:rPr>
          <w:rFonts w:ascii="Times New Roman" w:hAnsi="Times New Roman" w:cs="Times New Roman"/>
          <w:color w:val="000000" w:themeColor="text1"/>
          <w:sz w:val="32"/>
          <w:szCs w:val="32"/>
        </w:rPr>
        <w:t xml:space="preserve"> </w:t>
      </w:r>
      <w:bookmarkEnd w:id="156"/>
      <w:bookmarkEnd w:id="157"/>
    </w:p>
    <w:p w14:paraId="01EA5498" w14:textId="7156F819"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There is no doubt that the current digital age has tremendously transformed the way people communicate, work, learn and access information to innovate. The technological revolution has led to advances of </w:t>
      </w:r>
      <w:r w:rsidR="000A6A4E" w:rsidRPr="00F153F6">
        <w:rPr>
          <w:rFonts w:ascii="Times New Roman" w:hAnsi="Times New Roman" w:cs="Times New Roman"/>
          <w:color w:val="000000" w:themeColor="text1"/>
          <w:sz w:val="24"/>
          <w:szCs w:val="24"/>
        </w:rPr>
        <w:t>ICT</w:t>
      </w:r>
      <w:r w:rsidRPr="00F153F6">
        <w:rPr>
          <w:rFonts w:ascii="Times New Roman" w:hAnsi="Times New Roman" w:cs="Times New Roman"/>
          <w:color w:val="000000" w:themeColor="text1"/>
          <w:sz w:val="24"/>
          <w:szCs w:val="24"/>
        </w:rPr>
        <w:t xml:space="preserve">, and nowadays these ICTs allow organisations to strengthen their competitiveness as well as their work practices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{"citationID":"rTHeMxAV","properties":{"formattedCitation":"(Valdez-Ju\\uc0\\u225{}rez et al., 2018)","plainCitation":"(Valdez-Juárez et al., 2018)","noteIndex":0},"citationItems":[{"id":1022,"uris":["http://zotero.org/users/5709166/items/MQ79NLFK"],"itemData":{"id":1022,"type":"article-journal","abstract":"For more than two decades, the literature has shown that information and communication technology (ICT) and knowledge management (KM) are among the best business practices in the development and competitiveness of large corporations. Recently, for small-And medium-sized enterprises (SMEs), these elements have represented a challenge and an opportunity for the consolidation of innovation processes, knowledge protection, and the path to sustained profitability. The aim of this paper is to analyse the effects of ICT on KM and their link with innovation and intellectual property (IP) in order to identify how SMEs can achieve higher yields. The data were obtained from a self-directed survey administered to the managers of 412 industrial and service companies established in Northwestern Mexico. Partial least squares structural equation modelling (PLS-SEM) was used for the statistical analysis of the data. This work contributes to the development of the literature on the strategic management of SMEs, particularly in relation to the theory of resources and capabilities (TRC) and the theory of dynamic capabilities (TDC). The results show that ICT significantly influences KM, innovation and profitability. In addition, KM significantly influences innovation, and innovation and IP management significantly influence profitability. However, innovation does not influence IP management. © 2018 World Scientific Publishing Co.","archive":"Scopus","container-title":"Journal of Information and Knowledge Management","DOI":"10.1142/S0219649218500077","ISSN":"02196492 (ISSN)","issue":"1","journalAbbreviation":"J. Inf. Knowl. Manage.","language":"English","title":"ICT and KM, Drivers of Innovation and Profitability in SMEs","URL":"https://www.scopus.com/inward/record.uri?eid=2-s2.0-85043399655&amp;doi=10.1142%2fS0219649218500077&amp;partnerID=40&amp;md5=5133cd7bd57bb8824f1b7f4fdf65c5e7","volume":"17","author":[{"family":"Valdez-Juárez","given":"L.E."},{"family":"García-Pérez-De-Lema","given":"D."},{"family":"Maldonado-Guzmán","given":"G."}],"issued":{"date-parts":[["2018"]]}}}],"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(Valdez-Juárez et al., 2018)</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Lubbe and Singh </w:t>
      </w:r>
      <w:r w:rsidRPr="00F153F6">
        <w:rPr>
          <w:rFonts w:ascii="Times New Roman" w:hAnsi="Times New Roman" w:cs="Times New Roman"/>
          <w:color w:val="000000" w:themeColor="text1"/>
          <w:sz w:val="24"/>
          <w:szCs w:val="24"/>
        </w:rPr>
        <w:fldChar w:fldCharType="begin"/>
      </w:r>
      <w:r w:rsidR="00AD7BA8" w:rsidRPr="00F153F6">
        <w:rPr>
          <w:rFonts w:ascii="Times New Roman" w:hAnsi="Times New Roman" w:cs="Times New Roman"/>
          <w:color w:val="000000" w:themeColor="text1"/>
          <w:sz w:val="24"/>
          <w:szCs w:val="24"/>
        </w:rPr>
        <w:instrText xml:space="preserve"> ADDIN ZOTERO_ITEM CSL_CITATION {"citationID":"LfUrim16","properties":{"formattedCitation":"(2009)","plainCitation":"(2009)","noteIndex":0},"citationItems":[{"id":2324,"uris":["http://zotero.org/users/5709166/items/PNXZ5E5V"],"itemData":{"id":2324,"type":"chapter","abstract":"This chapter explores the issues of the interface between Information Systems (IS) and society. We investigate IS and users of these systems at a local parastatal educational institution in South Africa. Local governments have had many IS developed and implemented for the use of customers. The probl...","container-title":"Handbook of Research on Strategies for Local E-Government Adoption and Implementation: Comparative Studies","ISBN":"978-1-60566-282-4","language":"en","license":"Access limited to members","note":"DOI: 10.4018/978-1-60566-282-4.ch044","page":"832-862","publisher":"IGI Global","title":"From Conception to Demise: Implications for Users of Information Systems in Changing a Local Parastatal Educational Institution in KwaZulu-Natal, South Africa","title-short":"From Conception to Demise","URL":"www.igi-global.com/chapter/conception-demise-implications-users-information/21495","author":[{"family":"Lubbe","given":"Sam"},{"family":"Singh","given":"Shawren"}],"accessed":{"date-parts":[["2020",8,26]]},"issued":{"date-parts":[["2009"]]}},"label":"page","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00AD7BA8" w:rsidRPr="00F153F6">
        <w:rPr>
          <w:rFonts w:ascii="Times New Roman" w:hAnsi="Times New Roman" w:cs="Times New Roman"/>
          <w:sz w:val="24"/>
          <w:szCs w:val="24"/>
        </w:rPr>
        <w:t>(2009)</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define ICT as “[a]n umbrella term that includes all technologies for the communication of information</w:t>
      </w:r>
      <w:r w:rsidR="00AD7BA8" w:rsidRPr="00F153F6">
        <w:rPr>
          <w:rFonts w:ascii="Times New Roman" w:hAnsi="Times New Roman" w:cs="Times New Roman"/>
          <w:color w:val="000000" w:themeColor="text1"/>
          <w:sz w:val="24"/>
          <w:szCs w:val="24"/>
        </w:rPr>
        <w:t xml:space="preserve"> (p. 853)</w:t>
      </w:r>
      <w:r w:rsidRPr="00F153F6">
        <w:rPr>
          <w:rFonts w:ascii="Times New Roman" w:hAnsi="Times New Roman" w:cs="Times New Roman"/>
          <w:color w:val="000000" w:themeColor="text1"/>
          <w:sz w:val="24"/>
          <w:szCs w:val="24"/>
        </w:rPr>
        <w:t xml:space="preserve">”. Technically, these technologies comprise hardware such as equipment, software such as applications, and communication </w:t>
      </w:r>
      <w:r w:rsidR="00AD7BA8" w:rsidRPr="00F153F6">
        <w:rPr>
          <w:rFonts w:ascii="Times New Roman" w:hAnsi="Times New Roman" w:cs="Times New Roman"/>
          <w:color w:val="000000" w:themeColor="text1"/>
          <w:sz w:val="24"/>
          <w:szCs w:val="24"/>
        </w:rPr>
        <w:t>policies</w:t>
      </w:r>
      <w:r w:rsidR="00AD7BA8" w:rsidRPr="00F153F6">
        <w:rPr>
          <w:rStyle w:val="cf01"/>
          <w:sz w:val="24"/>
          <w:szCs w:val="24"/>
        </w:rPr>
        <w:t xml:space="preserve"> </w:t>
      </w:r>
      <w:r w:rsidRPr="00F153F6">
        <w:rPr>
          <w:rFonts w:ascii="Times New Roman" w:hAnsi="Times New Roman" w:cs="Times New Roman"/>
          <w:color w:val="000000" w:themeColor="text1"/>
          <w:sz w:val="24"/>
          <w:szCs w:val="24"/>
        </w:rPr>
        <w:t xml:space="preserve">such as communication protocols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{"citationID":"a29ssn5bd11","properties":{"formattedCitation":"(Berce et al., 2007)","plainCitation":"(Berce et al., 2007)","noteIndex":0},"citationItems":[{"id":2322,"uris":["http://zotero.org/users/5709166/items/WPD4IPJF"],"itemData":{"id":2322,"type":"article-journal","language":"en","page":"18","source":"Zotero","title":"eGovernance: Information and Communication Technology, Knowledge Management and Learning Organisation Culture","author":[{"family":"Berce","given":"Jaro"},{"family":"Lanfranco","given":"Sam"},{"family":"Vehovar","given":"Vasja"}],"issued":{"date-parts":[["2007"]]}}}],"schema":"https://github.com/citation-style-language/schema/raw/master/csl-citation.json"}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(Berce et al., 2007)</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w:t>
      </w:r>
    </w:p>
    <w:p w14:paraId="15BBFF72" w14:textId="4457C1ED"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The term ICT is often used interchangeably with the term IT (Information Technology). </w:t>
      </w:r>
      <w:r w:rsidRPr="00F153F6">
        <w:rPr>
          <w:rFonts w:ascii="Times New Roman" w:hAnsi="Times New Roman" w:cs="Times New Roman"/>
          <w:color w:val="000000" w:themeColor="text1"/>
          <w:sz w:val="24"/>
          <w:szCs w:val="24"/>
          <w:u w:val="dash"/>
        </w:rPr>
        <w:t>Spacey</w:t>
      </w:r>
      <w:r w:rsidRPr="00F153F6">
        <w:rPr>
          <w:rFonts w:ascii="Times New Roman" w:eastAsia="Times New Roman"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{"citationID":"a2ephtfbj29","properties":{"formattedCitation":"(2016)","plainCitation":"(2016)","noteIndex":0},"citationItems":[{"id":2319,"uris":["http://zotero.org/users/5709166/items/WM7BDKLC"],"itemData":{"id":2319,"type":"webpage","abstract":"The difference between IT and ICT.","container-title":"Simplicable","title":"IT vs ICT","URL":"https://simplicable.com/new/it-vs-ict","author":[{"family":"Spacey","given":"Jogn"}],"accessed":{"date-parts":[["2020",8,27]]},"issued":{"date-parts":[["2016"]]}},"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(2016)</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indicates that IT is defined as technology related to computing data, while ICT is defined as technology related to computing data and communications. Weigel and Waldburger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veri0f5ef","properties":{"formattedCitation":"(2004)","plainCitation":"(2004)","noteIndex":0},"citationItems":[{"id":2321,"uris":["http://zotero.org/users/5709166/items/9TCXZYW3"],"itemData":{"id":2321,"type":"book","ISBN":"978-3-03798-065-1","language":"en","note":"Google-Books-ID: HDD1AAAACAAJ","number-of-pages":"287","publisher":"Swiss Agency for Development and Cooperation, Global Knowledge Partnership","source":"Google Books","title":"ICT4D - Connecting People for a Better World: Lessons, Innovations and Perspectives of Information and Communication Technologies in Development","title-short":"ICT4D - Connecting People for a Better World","author":[{"family":"Weigel","given":"Gerolf"},{"family":"Waldburger","given":"Daniele"}],"issued":{"date-parts":[["2004"]]}},"suppress-author":true}],"schema":"https://github.com/citation-style-language/schema/raw/master/csl-citation.json"}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(2004)</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claim that ICT encompasses a full range of technologies including both information technologies and communication technologies, from traditional devices such as radios to more sophisticated technologies such as internet and computers. For the purposes of this study, ICT is considered as a broader term that incorporates both Information Technology and Communication Technologies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{"citationID":"a1f9cmiqua","properties":{"formattedCitation":"(Sein &amp; Harindranath, 2004)","plainCitation":"(Sein &amp; Harindranath, 2004)","noteIndex":0},"citationItems":[{"id":2323,"uris":["http://zotero.org/users/5709166/items/5IEMWKTS"],"itemData":{"id":2323,"type":"article-journal","container-title":"The Information Society","DOI":"10.1080/01972240490269942","ISSN":"0197-2243, 1087-6537","issue":"1","journalAbbreviation":"The Information Society","language":"en","page":"15-24","source":"DOI.org (Crossref)","title":"Conceptualizing the ICT Artifact: Toward Understanding the Role of ICT in National Development","title-short":"Conceptualizing the ICT Artifact","volume":"20","author":[{"family":"Sein","given":"Maung K."},{"family":"Harindranath","given":"G."}],"issued":{"date-parts":[["2004",1]]}}}],"schema":"https://github.com/citation-style-language/schema/raw/master/csl-citation.json"}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(Sein &amp; Harindranath, 2004)</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p>
    <w:p w14:paraId="6843830B" w14:textId="2A94A412"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Various knowledge management studies have emphasised the role of </w:t>
      </w:r>
      <w:r w:rsidR="000A6A4E" w:rsidRPr="00F153F6">
        <w:rPr>
          <w:rFonts w:ascii="Times New Roman" w:eastAsia="Times New Roman" w:hAnsi="Times New Roman" w:cs="Times New Roman"/>
          <w:iCs/>
          <w:color w:val="000000" w:themeColor="text1"/>
          <w:sz w:val="24"/>
          <w:szCs w:val="24"/>
        </w:rPr>
        <w:t>ICT</w:t>
      </w:r>
      <w:r w:rsidRPr="00F153F6">
        <w:rPr>
          <w:rFonts w:ascii="Times New Roman" w:eastAsia="Times New Roman" w:hAnsi="Times New Roman" w:cs="Times New Roman"/>
          <w:iCs/>
          <w:color w:val="000000" w:themeColor="text1"/>
          <w:sz w:val="24"/>
          <w:szCs w:val="24"/>
        </w:rPr>
        <w:t xml:space="preserve">. Holsapple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{"citationID":"a2ne3r2pi24","properties":{"formattedCitation":"(2005)","plainCitation":"(2005)","noteIndex":0},"citationItems":[{"id":2314,"uris":["http://zotero.org/users/5709166/items/V8EUXVKI"],"itemData":{"id":2314,"type":"article-journal","abstract":"Purpose– This paper makes the case that modern knowledge management (KM) is inseparable from a consideration of technology. While recognizing that there are many non‐technological facets to KM research and practice, it takes issue with the perspective proposed by some that knowledge management has little or nothing to do with technology. Similarly, the perspective that equates knowledge management with information management is challenged.Design/methodology/approach– The research method involves an analysis of the contrasting perspectives to show that each has blind spots that obscure a clear vision of the relationship between computer‐based technology and knowledge management. Building on the ideas of Newell, van Lohuizen, and others, the research advances an alternative perspective to overcome limitations in the other two.Findings– The KM perspective introduced here neither dismisses technology nor identifies with it. From this perspective, this paper develops the contention that modern KM has been tremendously enriched by advances in computer‐based technology (CBT), discussing several specific examples. Moreover, this paper concludes that CBT needs to be grounded in a clear, deep consideration of knowledge management.Research limitations/implications– As this is a relatively new perspective, the full extent of its utility will unfold over time as it is adopted, used, and extended. KM researchers can adopt this perspective to guide the conception and design their research projects. Moreover, several implications for business computing systems researchers are outlined.Practical implications– The new perspective offers students and practitioners a middle‐ground between two extremes for framing their understanding and observation of KM and CBT phenomena.Originality/value– Both research and practice are shaped by the conceptions that underlie them. The paper furnishes a fresh, inclusive conception of the relationship between KM and CBT.","container-title":"Journal of Knowledge Management","DOI":"10.1108/13673270510582956","ISSN":"1367-3270","issue":"1","note":"publisher: Emerald Group Publishing Limited","page":"42-52","source":"Emerald Insight","title":"The inseparability of modern knowledge management and computer‐based technology","volume":"9","author":[{"family":"Holsapple","given":"Clyde W."}],"editor":[{"family":"Tsui","given":"Eric"}],"issued":{"date-parts":[["2005",1,1]]}},"suppress-author":true}],"schema":"https://github.com/citation-style-language/schema/raw/master/csl-citation.json"}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(2005)</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adopts an </w:t>
      </w:r>
      <w:r w:rsidRPr="00F153F6">
        <w:rPr>
          <w:rFonts w:ascii="Times New Roman" w:eastAsia="Times New Roman" w:hAnsi="Times New Roman" w:cs="Times New Roman"/>
          <w:i/>
          <w:color w:val="000000" w:themeColor="text1"/>
          <w:sz w:val="24"/>
          <w:szCs w:val="24"/>
        </w:rPr>
        <w:t>inclusive</w:t>
      </w:r>
      <w:r w:rsidRPr="00F153F6">
        <w:rPr>
          <w:rFonts w:ascii="Times New Roman" w:eastAsia="Times New Roman" w:hAnsi="Times New Roman" w:cs="Times New Roman"/>
          <w:iCs/>
          <w:color w:val="000000" w:themeColor="text1"/>
          <w:sz w:val="24"/>
          <w:szCs w:val="24"/>
        </w:rPr>
        <w:t xml:space="preserve"> view to the role of ICT (noted as computer-based technology in his article, but referred to all types of </w:t>
      </w:r>
      <w:r w:rsidR="000A6A4E" w:rsidRPr="00F153F6">
        <w:rPr>
          <w:rFonts w:ascii="Times New Roman" w:eastAsia="Times New Roman" w:hAnsi="Times New Roman" w:cs="Times New Roman"/>
          <w:iCs/>
          <w:color w:val="000000" w:themeColor="text1"/>
          <w:sz w:val="24"/>
          <w:szCs w:val="24"/>
        </w:rPr>
        <w:t>ICT</w:t>
      </w:r>
      <w:r w:rsidRPr="00F153F6">
        <w:rPr>
          <w:rFonts w:ascii="Times New Roman" w:eastAsia="Times New Roman" w:hAnsi="Times New Roman" w:cs="Times New Roman"/>
          <w:iCs/>
          <w:color w:val="000000" w:themeColor="text1"/>
          <w:sz w:val="24"/>
          <w:szCs w:val="24"/>
        </w:rPr>
        <w:t xml:space="preserve"> such as IT and information systems) in KM and argues that: 1) researchers who study </w:t>
      </w:r>
      <w:r w:rsidR="00AD7BA8" w:rsidRPr="00F153F6">
        <w:rPr>
          <w:rFonts w:ascii="Times New Roman" w:eastAsia="Times New Roman" w:hAnsi="Times New Roman" w:cs="Times New Roman"/>
          <w:iCs/>
          <w:color w:val="000000" w:themeColor="text1"/>
          <w:sz w:val="24"/>
          <w:szCs w:val="24"/>
        </w:rPr>
        <w:t>IT or ICTs</w:t>
      </w:r>
      <w:r w:rsidRPr="00F153F6">
        <w:rPr>
          <w:rFonts w:ascii="Times New Roman" w:eastAsia="Times New Roman" w:hAnsi="Times New Roman" w:cs="Times New Roman"/>
          <w:iCs/>
          <w:color w:val="000000" w:themeColor="text1"/>
          <w:sz w:val="24"/>
          <w:szCs w:val="24"/>
        </w:rPr>
        <w:t xml:space="preserve"> are KM researchers, i.e., KM is an enveloping field that includes the IS domain; 2) there are great opportunities to study technologies in KM, e.g., devising improvement in technologies to facilitate KM initiatives; 3) there is great space for understanding users and the usage of technology in KM, e.g., why a particular technology does not work well for KM; and 4) there is great space for understanding outcomes of usage of technologies, e.g., what are its impacts for KM activities. </w:t>
      </w:r>
    </w:p>
    <w:p w14:paraId="01072A8C" w14:textId="1F9C7D2F" w:rsidR="002C1A2F" w:rsidRPr="00F153F6" w:rsidRDefault="00B149A3" w:rsidP="004424B4">
      <w:pPr>
        <w:spacing w:line="360" w:lineRule="auto"/>
        <w:jc w:val="both"/>
        <w:rPr>
          <w:rFonts w:ascii="Times New Roman" w:hAnsi="Times New Roman" w:cs="Times New Roman"/>
          <w:b/>
          <w:bCs/>
          <w:i/>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Due to aforementioned gaps that require fresh understanding of ICT in KM, </w:t>
      </w:r>
      <w:r w:rsidR="00AD7BA8" w:rsidRPr="00F153F6">
        <w:rPr>
          <w:rFonts w:ascii="Times New Roman" w:eastAsia="Times New Roman" w:hAnsi="Times New Roman" w:cs="Times New Roman"/>
          <w:iCs/>
          <w:color w:val="000000" w:themeColor="text1"/>
          <w:sz w:val="24"/>
          <w:szCs w:val="24"/>
        </w:rPr>
        <w:t xml:space="preserve">Hoslasapple </w:t>
      </w:r>
      <w:r w:rsidR="00AD7BA8" w:rsidRPr="00F153F6">
        <w:rPr>
          <w:rFonts w:ascii="Times New Roman" w:eastAsia="Times New Roman" w:hAnsi="Times New Roman" w:cs="Times New Roman"/>
          <w:iCs/>
          <w:color w:val="000000" w:themeColor="text1"/>
          <w:sz w:val="24"/>
          <w:szCs w:val="24"/>
        </w:rPr>
        <w:fldChar w:fldCharType="begin"/>
      </w:r>
      <w:r w:rsidR="00AD7BA8" w:rsidRPr="00F153F6">
        <w:rPr>
          <w:rFonts w:ascii="Times New Roman" w:eastAsia="Times New Roman" w:hAnsi="Times New Roman" w:cs="Times New Roman"/>
          <w:iCs/>
          <w:color w:val="000000" w:themeColor="text1"/>
          <w:sz w:val="24"/>
          <w:szCs w:val="24"/>
        </w:rPr>
        <w:instrText xml:space="preserve"> ADDIN ZOTERO_ITEM CSL_CITATION {"citationID":"WdmthAay","properties":{"formattedCitation":"(2005)","plainCitation":"(2005)","noteIndex":0},"citationItems":[{"id":2314,"uris":["http://zotero.org/users/5709166/items/V8EUXVKI"],"itemData":{"id":2314,"type":"article-journal","abstract":"Purpose– This paper makes the case that modern knowledge management (KM) is inseparable from a consideration of technology. While recognizing that there are many non‐technological facets to KM research and practice, it takes issue with the perspective proposed by some that knowledge management has little or nothing to do with technology. Similarly, the perspective that equates knowledge management with information management is challenged.Design/methodology/approach– The research method involves an analysis of the contrasting perspectives to show that each has blind spots that obscure a clear vision of the relationship between computer‐based technology and knowledge management. Building on the ideas of Newell, van Lohuizen, and others, the research advances an alternative perspective to overcome limitations in the other two.Findings– The KM perspective introduced here neither dismisses technology nor identifies with it. From this perspective, this paper develops the contention that modern KM has been tremendously enriched by advances in computer‐based technology (CBT), discussing several specific examples. Moreover, this paper concludes that CBT needs to be grounded in a clear, deep consideration of knowledge management.Research limitations/implications– As this is a relatively new perspective, the full extent of its utility will unfold over time as it is adopted, used, and extended. KM researchers can adopt this perspective to guide the conception and design their research projects. Moreover, several implications for business computing systems researchers are outlined.Practical implications– The new perspective offers students and practitioners a middle‐ground between two extremes for framing their understanding and observation of KM and CBT phenomena.Originality/value– Both research and practice are shaped by the conceptions that underlie them. The paper furnishes a fresh, inclusive conception of the relationship between KM and CBT.","container-title":"Journal of Knowledge Management","DOI":"10.1108/13673270510582956","ISSN":"1367-3270","issue":"1","note":"publisher: Emerald Group Publishing Limited","page":"42-52","source":"Emerald Insight","title":"The inseparability of modern knowledge management and computer‐based technology","volume":"9","author":[{"family":"Holsapple","given":"Clyde W."}],"editor":[{"family":"Tsui","given":"Eric"}],"issued":{"date-parts":[["2005",1,1]]}},"label":"page","suppress-author":true}],"schema":"https://github.com/citation-style-language/schema/raw/master/csl-citation.json"} </w:instrText>
      </w:r>
      <w:r w:rsidR="00AD7BA8" w:rsidRPr="00F153F6">
        <w:rPr>
          <w:rFonts w:ascii="Times New Roman" w:eastAsia="Times New Roman" w:hAnsi="Times New Roman" w:cs="Times New Roman"/>
          <w:iCs/>
          <w:color w:val="000000" w:themeColor="text1"/>
          <w:sz w:val="24"/>
          <w:szCs w:val="24"/>
        </w:rPr>
        <w:fldChar w:fldCharType="separate"/>
      </w:r>
      <w:r w:rsidR="00AD7BA8" w:rsidRPr="00F153F6">
        <w:rPr>
          <w:rFonts w:ascii="Times New Roman" w:hAnsi="Times New Roman" w:cs="Times New Roman"/>
          <w:sz w:val="24"/>
          <w:szCs w:val="24"/>
        </w:rPr>
        <w:t>(2005)</w:t>
      </w:r>
      <w:r w:rsidR="00AD7BA8" w:rsidRPr="00F153F6">
        <w:rPr>
          <w:rFonts w:ascii="Times New Roman" w:eastAsia="Times New Roman" w:hAnsi="Times New Roman" w:cs="Times New Roman"/>
          <w:iCs/>
          <w:color w:val="000000" w:themeColor="text1"/>
          <w:sz w:val="24"/>
          <w:szCs w:val="24"/>
        </w:rPr>
        <w:fldChar w:fldCharType="end"/>
      </w:r>
      <w:r w:rsidR="00AD7BA8" w:rsidRPr="00F153F6">
        <w:rPr>
          <w:rFonts w:ascii="Times New Roman" w:eastAsia="Times New Roman" w:hAnsi="Times New Roman" w:cs="Times New Roman"/>
          <w:iCs/>
          <w:color w:val="000000" w:themeColor="text1"/>
          <w:sz w:val="24"/>
          <w:szCs w:val="24"/>
        </w:rPr>
        <w:t>’s</w:t>
      </w:r>
      <w:r w:rsidR="002C1A2F" w:rsidRPr="00F153F6">
        <w:rPr>
          <w:rFonts w:ascii="Times New Roman" w:eastAsia="Times New Roman" w:hAnsi="Times New Roman" w:cs="Times New Roman"/>
          <w:iCs/>
          <w:color w:val="000000" w:themeColor="text1"/>
          <w:sz w:val="24"/>
          <w:szCs w:val="24"/>
        </w:rPr>
        <w:t xml:space="preserve"> work calls for a </w:t>
      </w:r>
      <w:r w:rsidRPr="00F153F6">
        <w:rPr>
          <w:rFonts w:ascii="Times New Roman" w:eastAsia="Times New Roman" w:hAnsi="Times New Roman" w:cs="Times New Roman"/>
          <w:iCs/>
          <w:color w:val="000000" w:themeColor="text1"/>
          <w:sz w:val="24"/>
          <w:szCs w:val="24"/>
        </w:rPr>
        <w:t>re-</w:t>
      </w:r>
      <w:r w:rsidR="002C1A2F" w:rsidRPr="00F153F6">
        <w:rPr>
          <w:rFonts w:ascii="Times New Roman" w:eastAsia="Times New Roman" w:hAnsi="Times New Roman" w:cs="Times New Roman"/>
          <w:iCs/>
          <w:color w:val="000000" w:themeColor="text1"/>
          <w:sz w:val="24"/>
          <w:szCs w:val="24"/>
        </w:rPr>
        <w:t>conceptualisation of ICT in the context of KM. Over the years, scholars have made contributions to the conceptualisation of ICT in the KM field. For example,</w:t>
      </w:r>
      <w:r w:rsidR="002C1A2F" w:rsidRPr="00F153F6">
        <w:rPr>
          <w:rFonts w:ascii="Times New Roman" w:hAnsi="Times New Roman" w:cs="Times New Roman"/>
          <w:color w:val="000000" w:themeColor="text1"/>
          <w:sz w:val="24"/>
          <w:szCs w:val="24"/>
        </w:rPr>
        <w:t xml:space="preserve"> an empirical study of </w:t>
      </w:r>
      <w:bookmarkStart w:id="160" w:name="OLE_LINK109"/>
      <w:bookmarkStart w:id="161" w:name="OLE_LINK110"/>
      <w:r w:rsidR="002C1A2F" w:rsidRPr="00F153F6">
        <w:rPr>
          <w:rFonts w:ascii="Times New Roman" w:hAnsi="Times New Roman" w:cs="Times New Roman"/>
          <w:color w:val="000000" w:themeColor="text1"/>
          <w:sz w:val="24"/>
          <w:szCs w:val="24"/>
        </w:rPr>
        <w:t>Bolisani and Scarso</w:t>
      </w:r>
      <w:r w:rsidR="002C1A2F" w:rsidRPr="00F153F6">
        <w:rPr>
          <w:rFonts w:ascii="Times New Roman" w:eastAsia="Times New Roman" w:hAnsi="Times New Roman" w:cs="Times New Roman"/>
          <w:iCs/>
          <w:color w:val="000000" w:themeColor="text1"/>
          <w:sz w:val="24"/>
          <w:szCs w:val="24"/>
        </w:rPr>
        <w:t xml:space="preserve"> </w:t>
      </w:r>
      <w:r w:rsidR="002C1A2F" w:rsidRPr="00F153F6">
        <w:rPr>
          <w:rFonts w:ascii="Times New Roman" w:hAnsi="Times New Roman" w:cs="Times New Roman"/>
          <w:color w:val="000000" w:themeColor="text1"/>
          <w:sz w:val="24"/>
          <w:szCs w:val="24"/>
        </w:rPr>
        <w:fldChar w:fldCharType="begin"/>
      </w:r>
      <w:r w:rsidR="002C1A2F" w:rsidRPr="00F153F6">
        <w:rPr>
          <w:rFonts w:ascii="Times New Roman" w:eastAsia="Times New Roman" w:hAnsi="Times New Roman" w:cs="Times New Roman"/>
          <w:iCs/>
          <w:color w:val="000000" w:themeColor="text1"/>
          <w:sz w:val="24"/>
          <w:szCs w:val="24"/>
        </w:rPr>
        <w:instrText xml:space="preserve"> ADDIN ZOTERO_ITEM CSL_CITATION {"citationID":"a2l8rdlav9j","properties":{"formattedCitation":"(2016)","plainCitation":"(2016)","noteIndex":0},"citationItems":[{"id":2312,"uris":["http://zotero.org/users/5709166/items/HBTEQICC"],"itemData":{"id":2312,"type":"article-journal","abstract":"Purpose This paper intends to present and discuss the findings of a case study analysis of the adoption and use of a wiki system by a small enterprise that is intended as a tool for managing the knowledge needed to successfully perform its business activities. The study aims at contributing to the still insufficient research on the factors influencing the use of new Web 2.0 technologies in small organisations to support internal knowledge management.Design/methodology/approach The study combines a qualitative and quantitative approach. The main unit of analysis is the wiki system of a small company, particularly its implementation and usage by the company’s employees. Relevant information about the wiki was collected through six interviews to different company members, and by means of an online survey submitted to almost all employees. Interviews involved the CEO of the company, the system developers and two typical users. The survey was made through a questionnaire of 19 questions online administered by means of a popular free-access online poll website (freeonlinesurveys.com).Findings Through the reconstruction of the history of the system, the study allowed to understand how the wiki has been introduced and is effectively used inside the case company. The findings of the study highlight that the wiki technology, being light and user-friendly, can be particularly suited for small companies. At the same time, they reveal that the successful implementation of such a system is not a spontaneous and automatic result, but requires a resolute support by top management, a good motivation of participating employees and a clear definition of purposes and ways of use.Practical implications The findings of the study contribute both to the academic research, by making available to scholars further empirical evidence about the use of Web 2.0 technologies in small organisations, and to the practice, by providing some guidelines to managers of small companies who are attempting to adopt and use wikis to effectively manage their knowledge assets.Originality/value The paper contributes to the limited research about the adoption and use of wikis as knowledge management system, both in general and in the particular case of a SME. Furthermore, by investigating the behaviours and opinions of individual knowledge workers, it takes into account a perspective that the literature has so far neglected.","container-title":"Journal of Knowledge Management","DOI":"10.1108/JKM-05-2015-0205","ISSN":"1367-3270","issue":"3","note":"publisher: Emerald Group Publishing Limited","page":"423-443","source":"Emerald Insight","title":"Factors affecting the use of wiki to manage knowledge in a small company","volume":"20","author":[{"family":"Bolisani","given":"Ettore"},{"family":"Scarso","given":"Enrico"}],"issued":{"date-parts":[["2016",1,1]]}},"suppress-author":true}],"schema":"https://github.com/citation-style-language/schema/raw/master/csl-citation.json"} </w:instrText>
      </w:r>
      <w:r w:rsidR="002C1A2F" w:rsidRPr="00F153F6">
        <w:rPr>
          <w:rFonts w:ascii="Times New Roman" w:hAnsi="Times New Roman" w:cs="Times New Roman"/>
          <w:color w:val="000000" w:themeColor="text1"/>
          <w:sz w:val="24"/>
          <w:szCs w:val="24"/>
        </w:rPr>
        <w:fldChar w:fldCharType="separate"/>
      </w:r>
      <w:r w:rsidR="002C1A2F" w:rsidRPr="00F153F6">
        <w:rPr>
          <w:rFonts w:ascii="Times New Roman" w:hAnsi="Times New Roman" w:cs="Times New Roman"/>
          <w:color w:val="000000" w:themeColor="text1"/>
          <w:sz w:val="24"/>
          <w:szCs w:val="24"/>
        </w:rPr>
        <w:t>(2016)</w:t>
      </w:r>
      <w:r w:rsidR="002C1A2F" w:rsidRPr="00F153F6">
        <w:rPr>
          <w:rFonts w:ascii="Times New Roman" w:hAnsi="Times New Roman" w:cs="Times New Roman"/>
          <w:color w:val="000000" w:themeColor="text1"/>
          <w:sz w:val="24"/>
          <w:szCs w:val="24"/>
        </w:rPr>
        <w:fldChar w:fldCharType="end"/>
      </w:r>
      <w:bookmarkEnd w:id="160"/>
      <w:bookmarkEnd w:id="161"/>
      <w:r w:rsidR="002C1A2F" w:rsidRPr="00F153F6">
        <w:rPr>
          <w:rFonts w:ascii="Times New Roman" w:eastAsia="Times New Roman" w:hAnsi="Times New Roman" w:cs="Times New Roman"/>
          <w:iCs/>
          <w:color w:val="000000" w:themeColor="text1"/>
          <w:sz w:val="24"/>
          <w:szCs w:val="24"/>
        </w:rPr>
        <w:t xml:space="preserve"> shows that Wiki is used for exchanging </w:t>
      </w:r>
      <w:r w:rsidR="002C1A2F" w:rsidRPr="00F153F6">
        <w:rPr>
          <w:rFonts w:ascii="Times New Roman" w:eastAsia="Times New Roman" w:hAnsi="Times New Roman" w:cs="Times New Roman"/>
          <w:iCs/>
          <w:color w:val="000000" w:themeColor="text1"/>
          <w:sz w:val="24"/>
          <w:szCs w:val="24"/>
        </w:rPr>
        <w:lastRenderedPageBreak/>
        <w:t xml:space="preserve">explicit knowledge, while telephone calls are used for exchanging tacit knowledge, which reflects that Wiki is playing a complementary role to other systems. </w:t>
      </w:r>
      <w:r w:rsidR="000A6A4E" w:rsidRPr="00F153F6">
        <w:rPr>
          <w:rFonts w:ascii="Times New Roman" w:eastAsia="Times New Roman" w:hAnsi="Times New Roman" w:cs="Times New Roman"/>
          <w:iCs/>
          <w:color w:val="000000" w:themeColor="text1"/>
          <w:sz w:val="24"/>
          <w:szCs w:val="24"/>
        </w:rPr>
        <w:t>ICT</w:t>
      </w:r>
      <w:r w:rsidR="002C1A2F" w:rsidRPr="00F153F6">
        <w:rPr>
          <w:rFonts w:ascii="Times New Roman" w:eastAsia="Times New Roman" w:hAnsi="Times New Roman" w:cs="Times New Roman"/>
          <w:iCs/>
          <w:color w:val="000000" w:themeColor="text1"/>
          <w:sz w:val="24"/>
          <w:szCs w:val="24"/>
        </w:rPr>
        <w:t xml:space="preserve"> here, such as Wikis or the telephone, are treated as a tool that is separated from their human user for studying how they are used for knowledge sharing. Suh &amp; Wagner </w:t>
      </w:r>
      <w:r w:rsidR="002C1A2F" w:rsidRPr="00F153F6">
        <w:rPr>
          <w:rFonts w:ascii="Times New Roman" w:hAnsi="Times New Roman" w:cs="Times New Roman"/>
          <w:color w:val="000000" w:themeColor="text1"/>
          <w:sz w:val="24"/>
          <w:szCs w:val="24"/>
        </w:rPr>
        <w:fldChar w:fldCharType="begin"/>
      </w:r>
      <w:r w:rsidR="002C1A2F" w:rsidRPr="00F153F6">
        <w:rPr>
          <w:rFonts w:ascii="Times New Roman" w:eastAsia="Times New Roman" w:hAnsi="Times New Roman" w:cs="Times New Roman"/>
          <w:iCs/>
          <w:color w:val="000000" w:themeColor="text1"/>
          <w:sz w:val="24"/>
          <w:szCs w:val="24"/>
        </w:rPr>
        <w:instrText xml:space="preserve"> ADDIN ZOTERO_ITEM CSL_CITATION {"citationID":"a2ggjcjj8on","properties":{"formattedCitation":"(2017)","plainCitation":"(2017)","noteIndex":0},"citationItems":[{"id":2313,"uris":["http://zotero.org/users/5709166/items/AXWVIKK8"],"itemData":{"id":2313,"type":"article-journal","abstract":"Purpose This study aims to examine how gamification increases employees’ knowledge contribution to the place of work. It develops and tests the conjecture that gamification adds hedonic value to the use of an enterprise collaboration system (ECS), which, in turn, increases in both the quality and quantity of knowledge contribution.Design/methodology/approach Drawing on the framework of successful gamification against a backdrop of affordance theory, this study develops and tests a theoretical model that explains the effects of gamification affordances on knowledge contribution via the use of an ECS. Empirical data were gathered from 166 employees at a global company that used a gamified ECS designed to aid knowledge sharing.Findings Results using structural equation modeling showed that three gamification affordances – rewardability, competition and visibility of achievement – jointly influenced employees’ perceived hedonic value of the ECS, which, in turn, increased knowledge contribution.Practical implications The results indicate that designing affordances that can increase hedonic value is central to facilitating employees’ knowledge contribution. However, simply incorporating game artifacts does not guarantee increased hedonic value of an ECS. Instead, assessing, monitoring and diagnosing what affordances users perceive from the use of a gamified system are important.Originality/value By conceptualizing gamification affordances rather than specifying the design features of enterprise applications, this study provides meaningful insights into how the benefits of gamification can be harnessed for knowledge management in organizations.","container-title":"Journal of Knowledge Management","DOI":"10.1108/JKM-10-2016-0429","ISSN":"1367-3270","issue":"2","note":"publisher: Emerald Publishing Limited","page":"416-431","source":"Emerald Insight","title":"How gamification of an enterprise collaboration system increases knowledge contribution: an affordance approach","title-short":"How gamification of an enterprise collaboration system increases knowledge contribution","volume":"21","author":[{"family":"Suh","given":"Ayoung"},{"family":"Wagner","given":"Christian"}],"issued":{"date-parts":[["2017",1,1]]}},"suppress-author":true}],"schema":"https://github.com/citation-style-language/schema/raw/master/csl-citation.json"} </w:instrText>
      </w:r>
      <w:r w:rsidR="002C1A2F" w:rsidRPr="00F153F6">
        <w:rPr>
          <w:rFonts w:ascii="Times New Roman" w:hAnsi="Times New Roman" w:cs="Times New Roman"/>
          <w:color w:val="000000" w:themeColor="text1"/>
          <w:sz w:val="24"/>
          <w:szCs w:val="24"/>
        </w:rPr>
        <w:fldChar w:fldCharType="separate"/>
      </w:r>
      <w:r w:rsidR="002C1A2F" w:rsidRPr="00F153F6">
        <w:rPr>
          <w:rFonts w:ascii="Times New Roman" w:hAnsi="Times New Roman" w:cs="Times New Roman"/>
          <w:color w:val="000000" w:themeColor="text1"/>
          <w:sz w:val="24"/>
          <w:szCs w:val="24"/>
        </w:rPr>
        <w:t>(2017)</w:t>
      </w:r>
      <w:r w:rsidR="002C1A2F" w:rsidRPr="00F153F6">
        <w:rPr>
          <w:rFonts w:ascii="Times New Roman" w:hAnsi="Times New Roman" w:cs="Times New Roman"/>
          <w:color w:val="000000" w:themeColor="text1"/>
          <w:sz w:val="24"/>
          <w:szCs w:val="24"/>
        </w:rPr>
        <w:fldChar w:fldCharType="end"/>
      </w:r>
      <w:r w:rsidR="002C1A2F" w:rsidRPr="00F153F6">
        <w:rPr>
          <w:rFonts w:ascii="Times New Roman" w:eastAsia="Times New Roman" w:hAnsi="Times New Roman" w:cs="Times New Roman"/>
          <w:iCs/>
          <w:color w:val="000000" w:themeColor="text1"/>
          <w:sz w:val="24"/>
          <w:szCs w:val="24"/>
        </w:rPr>
        <w:t xml:space="preserve"> </w:t>
      </w:r>
      <w:bookmarkStart w:id="162" w:name="OLE_LINK86"/>
      <w:bookmarkStart w:id="163" w:name="OLE_LINK87"/>
      <w:r w:rsidR="002C1A2F" w:rsidRPr="00F153F6">
        <w:rPr>
          <w:rFonts w:ascii="Times New Roman" w:eastAsia="Times New Roman" w:hAnsi="Times New Roman" w:cs="Times New Roman"/>
          <w:iCs/>
          <w:color w:val="000000" w:themeColor="text1"/>
          <w:sz w:val="24"/>
          <w:szCs w:val="24"/>
        </w:rPr>
        <w:t xml:space="preserve">claim that ICT itself as a an enterprise collaboration system (ECS) can provide gamification affordances, such as rewardability that can influence employee’s perceived hedonic value of ECS, which can increase knowledge contribution. These views show that </w:t>
      </w:r>
      <w:r w:rsidR="000A6A4E" w:rsidRPr="00F153F6">
        <w:rPr>
          <w:rFonts w:ascii="Times New Roman" w:eastAsia="Times New Roman" w:hAnsi="Times New Roman" w:cs="Times New Roman"/>
          <w:iCs/>
          <w:color w:val="000000" w:themeColor="text1"/>
          <w:sz w:val="24"/>
          <w:szCs w:val="24"/>
        </w:rPr>
        <w:t>ICT</w:t>
      </w:r>
      <w:r w:rsidR="002C1A2F" w:rsidRPr="00F153F6">
        <w:rPr>
          <w:rFonts w:ascii="Times New Roman" w:eastAsia="Times New Roman" w:hAnsi="Times New Roman" w:cs="Times New Roman"/>
          <w:iCs/>
          <w:color w:val="000000" w:themeColor="text1"/>
          <w:sz w:val="24"/>
          <w:szCs w:val="24"/>
        </w:rPr>
        <w:t xml:space="preserve"> hold a crucial and dynamic role in knowledge exchange research, and thereby a comprehensive conceptualisation of </w:t>
      </w:r>
      <w:r w:rsidR="000A6A4E" w:rsidRPr="00F153F6">
        <w:rPr>
          <w:rFonts w:ascii="Times New Roman" w:eastAsia="Times New Roman" w:hAnsi="Times New Roman" w:cs="Times New Roman"/>
          <w:iCs/>
          <w:color w:val="000000" w:themeColor="text1"/>
          <w:sz w:val="24"/>
          <w:szCs w:val="24"/>
        </w:rPr>
        <w:t>ICT</w:t>
      </w:r>
      <w:r w:rsidR="002C1A2F" w:rsidRPr="00F153F6">
        <w:rPr>
          <w:rFonts w:ascii="Times New Roman" w:eastAsia="Times New Roman" w:hAnsi="Times New Roman" w:cs="Times New Roman"/>
          <w:iCs/>
          <w:color w:val="000000" w:themeColor="text1"/>
          <w:sz w:val="24"/>
          <w:szCs w:val="24"/>
        </w:rPr>
        <w:t xml:space="preserve"> in the knowledge exchange field is necessary to study its role in IOKE for this research. </w:t>
      </w:r>
      <w:bookmarkEnd w:id="162"/>
      <w:bookmarkEnd w:id="163"/>
    </w:p>
    <w:p w14:paraId="32E3F998" w14:textId="6BD517D8" w:rsidR="000543CB"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The concept of ICT artefacts has been developed for many years, especially since the call by </w:t>
      </w:r>
      <w:bookmarkStart w:id="164" w:name="OLE_LINK151"/>
      <w:bookmarkStart w:id="165" w:name="OLE_LINK88"/>
      <w:bookmarkStart w:id="166" w:name="OLE_LINK85"/>
      <w:bookmarkStart w:id="167" w:name="OLE_LINK84"/>
      <w:bookmarkStart w:id="168" w:name="OLE_LINK83"/>
      <w:bookmarkStart w:id="169" w:name="OLE_LINK82"/>
      <w:r w:rsidRPr="00F153F6">
        <w:rPr>
          <w:rFonts w:ascii="Times New Roman" w:eastAsia="Times New Roman" w:hAnsi="Times New Roman" w:cs="Times New Roman"/>
          <w:iCs/>
          <w:color w:val="000000" w:themeColor="text1"/>
          <w:sz w:val="24"/>
          <w:szCs w:val="24"/>
        </w:rPr>
        <w:t xml:space="preserve">Orlikowski and Iacono </w:t>
      </w:r>
      <w:bookmarkStart w:id="170" w:name="OLE_LINK99"/>
      <w:bookmarkStart w:id="171" w:name="OLE_LINK100"/>
      <w:r w:rsidRPr="00F153F6">
        <w:rPr>
          <w:rFonts w:ascii="Times New Roman" w:hAnsi="Times New Roman" w:cs="Times New Roman"/>
          <w:color w:val="000000" w:themeColor="text1"/>
          <w:sz w:val="24"/>
          <w:szCs w:val="24"/>
        </w:rPr>
        <w:fldChar w:fldCharType="begin"/>
      </w:r>
      <w:r w:rsidR="00206572" w:rsidRPr="00F153F6">
        <w:rPr>
          <w:rFonts w:ascii="Times New Roman" w:eastAsia="Times New Roman" w:hAnsi="Times New Roman" w:cs="Times New Roman"/>
          <w:iCs/>
          <w:color w:val="000000" w:themeColor="text1"/>
          <w:sz w:val="24"/>
          <w:szCs w:val="24"/>
        </w:rPr>
        <w:instrText xml:space="preserve"> ADDIN ZOTERO_ITEM CSL_CITATION {"citationID":"V7bUXHID","properties":{"formattedCitation":"(2001a)","plainCitation":"(2001a)","noteIndex":0},"citationItems":[{"id":"WjXiMXKA/tebyNsoP","uris":["http://zotero.org/users/5709166/items/WTS3Z5Y6"],"itemData":{"id":8434,"type":"article-journal","container-title":"Information Systems Research","DOI":"10.1287/isre.12.2.121.9700","ISSN":"1047-7047, 1526-5536","issue":"2","journalAbbreviation":"Information Systems Research","language":"en","page":"121-134","source":"DOI.org (Crossref)","title":"Research Commentary: Desperately Seeking the “IT” in IT Research—A Call to Theorizing the IT Artifact","title-short":"Research Commentary","volume":"12","author":[{"family":"Orlikowski","given":"Wanda J."},{"family":"Iacono","given":"C. Suzanne"}],"issued":{"date-parts":[["2001",6]]}},"suppress-author":true}],"schema":"https://github.com/citation-style-language/schema/raw/master/csl-citation.json"}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(2001)</w:t>
      </w:r>
      <w:r w:rsidRPr="00F153F6">
        <w:rPr>
          <w:rFonts w:ascii="Times New Roman" w:hAnsi="Times New Roman" w:cs="Times New Roman"/>
          <w:color w:val="000000" w:themeColor="text1"/>
          <w:sz w:val="24"/>
          <w:szCs w:val="24"/>
        </w:rPr>
        <w:fldChar w:fldCharType="end"/>
      </w:r>
      <w:bookmarkEnd w:id="164"/>
      <w:bookmarkEnd w:id="165"/>
      <w:bookmarkEnd w:id="166"/>
      <w:bookmarkEnd w:id="167"/>
      <w:bookmarkEnd w:id="168"/>
      <w:bookmarkEnd w:id="169"/>
      <w:bookmarkEnd w:id="170"/>
      <w:bookmarkEnd w:id="171"/>
      <w:r w:rsidRPr="00F153F6">
        <w:rPr>
          <w:rFonts w:ascii="Times New Roman" w:eastAsia="Times New Roman" w:hAnsi="Times New Roman" w:cs="Times New Roman"/>
          <w:iCs/>
          <w:color w:val="000000" w:themeColor="text1"/>
          <w:sz w:val="24"/>
          <w:szCs w:val="24"/>
        </w:rPr>
        <w:t>’s work</w:t>
      </w:r>
      <w:r w:rsidR="00B149A3" w:rsidRPr="00F153F6">
        <w:rPr>
          <w:rFonts w:ascii="Times New Roman" w:eastAsia="Times New Roman" w:hAnsi="Times New Roman" w:cs="Times New Roman"/>
          <w:iCs/>
          <w:color w:val="000000" w:themeColor="text1"/>
          <w:sz w:val="24"/>
          <w:szCs w:val="24"/>
        </w:rPr>
        <w:t xml:space="preserve"> which calls for a focus on the nature of ICT in understanding workplace organising</w:t>
      </w:r>
      <w:r w:rsidRPr="00F153F6">
        <w:rPr>
          <w:rFonts w:ascii="Times New Roman" w:eastAsia="Times New Roman" w:hAnsi="Times New Roman" w:cs="Times New Roman"/>
          <w:iCs/>
          <w:color w:val="000000" w:themeColor="text1"/>
          <w:sz w:val="24"/>
          <w:szCs w:val="24"/>
        </w:rPr>
        <w:t xml:space="preserve">. By reviewing the literature on knowledge exchange, it appears that most studies conceptualise </w:t>
      </w:r>
      <w:r w:rsidR="000A6A4E" w:rsidRPr="00F153F6">
        <w:rPr>
          <w:rFonts w:ascii="Times New Roman" w:eastAsia="Times New Roman" w:hAnsi="Times New Roman" w:cs="Times New Roman"/>
          <w:iCs/>
          <w:color w:val="000000" w:themeColor="text1"/>
          <w:sz w:val="24"/>
          <w:szCs w:val="24"/>
        </w:rPr>
        <w:t>ICT</w:t>
      </w:r>
      <w:r w:rsidRPr="00F153F6">
        <w:rPr>
          <w:rFonts w:ascii="Times New Roman" w:eastAsia="Times New Roman" w:hAnsi="Times New Roman" w:cs="Times New Roman"/>
          <w:iCs/>
          <w:color w:val="000000" w:themeColor="text1"/>
          <w:sz w:val="24"/>
          <w:szCs w:val="24"/>
        </w:rPr>
        <w:t xml:space="preserve"> as a tool and focus on how technologies can be used as a concrete entity, separate from their user, to affect knowledge exchange activities.</w:t>
      </w:r>
      <w:r w:rsidR="00B149A3" w:rsidRPr="00F153F6">
        <w:rPr>
          <w:rFonts w:ascii="Times New Roman" w:eastAsia="Times New Roman" w:hAnsi="Times New Roman" w:cs="Times New Roman"/>
          <w:iCs/>
          <w:color w:val="000000" w:themeColor="text1"/>
          <w:sz w:val="24"/>
          <w:szCs w:val="24"/>
        </w:rPr>
        <w:t xml:space="preserve"> However, in light of the multiple approaches to ICTs that have been developed over time within other domains, it is important to adopt a more dynamic perspective for the KM field. </w:t>
      </w:r>
      <w:r w:rsidRPr="00F153F6">
        <w:rPr>
          <w:rFonts w:ascii="Times New Roman" w:eastAsia="Times New Roman" w:hAnsi="Times New Roman" w:cs="Times New Roman"/>
          <w:iCs/>
          <w:color w:val="000000" w:themeColor="text1"/>
          <w:sz w:val="24"/>
          <w:szCs w:val="24"/>
        </w:rPr>
        <w:t>Some prominent views are introduced in the ensuing subsections.</w:t>
      </w:r>
    </w:p>
    <w:p w14:paraId="5C04A717" w14:textId="77777777" w:rsidR="00EA3760" w:rsidRPr="00F153F6" w:rsidRDefault="00EA3760" w:rsidP="004424B4">
      <w:pPr>
        <w:spacing w:line="360" w:lineRule="auto"/>
        <w:jc w:val="both"/>
        <w:rPr>
          <w:rFonts w:ascii="Times New Roman" w:eastAsia="Times New Roman" w:hAnsi="Times New Roman" w:cs="Times New Roman"/>
          <w:iCs/>
          <w:color w:val="000000" w:themeColor="text1"/>
          <w:sz w:val="24"/>
          <w:szCs w:val="24"/>
        </w:rPr>
      </w:pPr>
    </w:p>
    <w:p w14:paraId="62424224" w14:textId="77777777" w:rsidR="002C1A2F" w:rsidRPr="00F153F6" w:rsidRDefault="002C1A2F" w:rsidP="000543CB">
      <w:pPr>
        <w:pStyle w:val="Heading3"/>
        <w:spacing w:line="360" w:lineRule="auto"/>
        <w:ind w:firstLine="720"/>
        <w:jc w:val="both"/>
        <w:rPr>
          <w:rFonts w:ascii="Times New Roman" w:hAnsi="Times New Roman" w:cs="Times New Roman"/>
          <w:b/>
          <w:color w:val="000000" w:themeColor="text1"/>
          <w:sz w:val="28"/>
          <w:szCs w:val="28"/>
        </w:rPr>
      </w:pPr>
      <w:bookmarkStart w:id="172" w:name="_Toc118371096"/>
      <w:bookmarkStart w:id="173" w:name="_Toc133252119"/>
      <w:r w:rsidRPr="00F153F6">
        <w:rPr>
          <w:rFonts w:ascii="Times New Roman" w:hAnsi="Times New Roman" w:cs="Times New Roman"/>
          <w:b/>
          <w:color w:val="000000" w:themeColor="text1"/>
          <w:sz w:val="28"/>
          <w:szCs w:val="28"/>
        </w:rPr>
        <w:t>2.5.1 Discrete Entity view</w:t>
      </w:r>
      <w:bookmarkEnd w:id="172"/>
      <w:bookmarkEnd w:id="173"/>
    </w:p>
    <w:p w14:paraId="22F04E9C" w14:textId="6900B732"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A discrete entity view focuses on the macro-level study of </w:t>
      </w:r>
      <w:r w:rsidR="00B149A3" w:rsidRPr="00F153F6">
        <w:rPr>
          <w:rFonts w:ascii="Times New Roman" w:eastAsia="Times New Roman" w:hAnsi="Times New Roman" w:cs="Times New Roman"/>
          <w:iCs/>
          <w:color w:val="000000" w:themeColor="text1"/>
          <w:sz w:val="24"/>
          <w:szCs w:val="24"/>
        </w:rPr>
        <w:t>ICT</w:t>
      </w:r>
      <w:r w:rsidRPr="00F153F6">
        <w:rPr>
          <w:rFonts w:ascii="Times New Roman" w:eastAsia="Times New Roman" w:hAnsi="Times New Roman" w:cs="Times New Roman"/>
          <w:iCs/>
          <w:color w:val="000000" w:themeColor="text1"/>
          <w:sz w:val="24"/>
          <w:szCs w:val="24"/>
        </w:rPr>
        <w:t xml:space="preserve"> on organisational practices. </w:t>
      </w:r>
      <w:bookmarkStart w:id="174" w:name="OLE_LINK413"/>
      <w:bookmarkStart w:id="175" w:name="OLE_LINK414"/>
      <w:r w:rsidRPr="00F153F6">
        <w:rPr>
          <w:rFonts w:ascii="Times New Roman" w:eastAsia="Times New Roman" w:hAnsi="Times New Roman" w:cs="Times New Roman"/>
          <w:iCs/>
          <w:color w:val="000000" w:themeColor="text1"/>
          <w:sz w:val="24"/>
          <w:szCs w:val="24"/>
        </w:rPr>
        <w:t xml:space="preserve">This view treats ICT artefacts broadly as a discrete entity that can influence knowledge management. ICT artefacts here are classified by type such as communication technologies or computing technologies, and by applications such as document management system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{"citationID":"a2q0jhl0rd6","properties":{"formattedCitation":"(Sein &amp; Harindranath, 2004)","plainCitation":"(Sein &amp; Harindranath, 2004)","noteIndex":0},"citationItems":[{"id":2323,"uris":["http://zotero.org/users/5709166/items/5IEMWKTS"],"itemData":{"id":2323,"type":"article-journal","container-title":"The Information Society","DOI":"10.1080/01972240490269942","ISSN":"0197-2243, 1087-6537","issue":"1","journalAbbreviation":"The Information Society","language":"en","page":"15-24","source":"DOI.org (Crossref)","title":"Conceptualizing the ICT Artifact: Toward Understanding the Role of ICT in National Development","title-short":"Conceptualizing the ICT Artifact","volume":"20","author":[{"family":"Sein","given":"Maung K."},{"family":"Harindranath","given":"G."}],"issued":{"date-parts":[["2004",1]]}}}],"schema":"https://github.com/citation-style-language/schema/raw/master/csl-citation.json"}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(Sein &amp; Harindranath, 2004)</w:t>
      </w:r>
      <w:r w:rsidRPr="00F153F6">
        <w:rPr>
          <w:rFonts w:ascii="Times New Roman" w:hAnsi="Times New Roman" w:cs="Times New Roman"/>
          <w:color w:val="000000" w:themeColor="text1"/>
          <w:sz w:val="24"/>
          <w:szCs w:val="24"/>
        </w:rPr>
        <w:fldChar w:fldCharType="end"/>
      </w:r>
      <w:bookmarkEnd w:id="174"/>
      <w:bookmarkEnd w:id="175"/>
      <w:r w:rsidRPr="00F153F6">
        <w:rPr>
          <w:rFonts w:ascii="Times New Roman" w:eastAsia="Times New Roman" w:hAnsi="Times New Roman" w:cs="Times New Roman"/>
          <w:iCs/>
          <w:color w:val="000000" w:themeColor="text1"/>
          <w:sz w:val="24"/>
          <w:szCs w:val="24"/>
        </w:rPr>
        <w:t xml:space="preserve">. Studies that adopt this view focus on how </w:t>
      </w:r>
      <w:r w:rsidR="000A6A4E" w:rsidRPr="00F153F6">
        <w:rPr>
          <w:rFonts w:ascii="Times New Roman" w:eastAsia="Times New Roman" w:hAnsi="Times New Roman" w:cs="Times New Roman"/>
          <w:iCs/>
          <w:color w:val="000000" w:themeColor="text1"/>
          <w:sz w:val="24"/>
          <w:szCs w:val="24"/>
        </w:rPr>
        <w:t>ICT</w:t>
      </w:r>
      <w:r w:rsidRPr="00F153F6">
        <w:rPr>
          <w:rFonts w:ascii="Times New Roman" w:eastAsia="Times New Roman" w:hAnsi="Times New Roman" w:cs="Times New Roman"/>
          <w:iCs/>
          <w:color w:val="000000" w:themeColor="text1"/>
          <w:sz w:val="24"/>
          <w:szCs w:val="24"/>
        </w:rPr>
        <w:t xml:space="preserve"> as an influential entity can independently affect knowledge management processes. For example, Orlikowski and Iacono </w:t>
      </w:r>
      <w:r w:rsidRPr="00F153F6">
        <w:rPr>
          <w:rFonts w:ascii="Times New Roman" w:hAnsi="Times New Roman" w:cs="Times New Roman"/>
          <w:color w:val="000000" w:themeColor="text1"/>
          <w:sz w:val="24"/>
          <w:szCs w:val="24"/>
        </w:rPr>
        <w:fldChar w:fldCharType="begin"/>
      </w:r>
      <w:r w:rsidR="00206572" w:rsidRPr="00F153F6">
        <w:rPr>
          <w:rFonts w:ascii="Times New Roman" w:eastAsia="Times New Roman" w:hAnsi="Times New Roman" w:cs="Times New Roman"/>
          <w:iCs/>
          <w:color w:val="000000" w:themeColor="text1"/>
          <w:sz w:val="24"/>
          <w:szCs w:val="24"/>
        </w:rPr>
        <w:instrText xml:space="preserve"> ADDIN ZOTERO_ITEM CSL_CITATION {"citationID":"PJxJfubt","properties":{"formattedCitation":"(2001a)","plainCitation":"(2001a)","noteIndex":0},"citationItems":[{"id":"WjXiMXKA/tebyNsoP","uris":["http://zotero.org/users/5709166/items/WTS3Z5Y6"],"itemData":{"id":8434,"type":"article-journal","container-title":"Information Systems Research","DOI":"10.1287/isre.12.2.121.9700","ISSN":"1047-7047, 1526-5536","issue":"2","journalAbbreviation":"Information Systems Research","language":"en","page":"121-134","source":"DOI.org (Crossref)","title":"Research Commentary: Desperately Seeking the “IT” in IT Research—A Call to Theorizing the IT Artifact","title-short":"Research Commentary","volume":"12","author":[{"family":"Orlikowski","given":"Wanda J."},{"family":"Iacono","given":"C. Suzanne"}],"issued":{"date-parts":[["2001",6]]}},"suppress-author":true}],"schema":"https://github.com/citation-style-language/schema/raw/master/csl-citation.json"}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(2001)</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r w:rsidR="00B1042E" w:rsidRPr="00F153F6">
        <w:rPr>
          <w:rFonts w:ascii="Times New Roman" w:eastAsia="Times New Roman" w:hAnsi="Times New Roman" w:cs="Times New Roman"/>
          <w:iCs/>
          <w:color w:val="000000" w:themeColor="text1"/>
          <w:sz w:val="24"/>
          <w:szCs w:val="24"/>
        </w:rPr>
        <w:t>indicate</w:t>
      </w:r>
      <w:r w:rsidR="00B149A3" w:rsidRPr="00F153F6">
        <w:rPr>
          <w:rFonts w:ascii="Times New Roman" w:eastAsia="Times New Roman" w:hAnsi="Times New Roman" w:cs="Times New Roman"/>
          <w:iCs/>
          <w:color w:val="000000" w:themeColor="text1"/>
          <w:sz w:val="24"/>
          <w:szCs w:val="24"/>
        </w:rPr>
        <w:t xml:space="preserve"> that from a discrete entity perspective, ICT artefact is seen as</w:t>
      </w:r>
      <w:r w:rsidRPr="00F153F6">
        <w:rPr>
          <w:rFonts w:ascii="Times New Roman" w:eastAsia="Times New Roman" w:hAnsi="Times New Roman" w:cs="Times New Roman"/>
          <w:iCs/>
          <w:color w:val="000000" w:themeColor="text1"/>
          <w:sz w:val="24"/>
          <w:szCs w:val="24"/>
        </w:rPr>
        <w:t xml:space="preserve"> an independent tool which </w:t>
      </w:r>
      <w:r w:rsidR="00B149A3" w:rsidRPr="00F153F6">
        <w:rPr>
          <w:rFonts w:ascii="Times New Roman" w:eastAsia="Times New Roman" w:hAnsi="Times New Roman" w:cs="Times New Roman"/>
          <w:iCs/>
          <w:color w:val="000000" w:themeColor="text1"/>
          <w:sz w:val="24"/>
          <w:szCs w:val="24"/>
        </w:rPr>
        <w:t>could be</w:t>
      </w:r>
      <w:r w:rsidRPr="00F153F6">
        <w:rPr>
          <w:rFonts w:ascii="Times New Roman" w:eastAsia="Times New Roman" w:hAnsi="Times New Roman" w:cs="Times New Roman"/>
          <w:iCs/>
          <w:color w:val="000000" w:themeColor="text1"/>
          <w:sz w:val="24"/>
          <w:szCs w:val="24"/>
        </w:rPr>
        <w:t xml:space="preserve"> used to substitute labour, enhance productivity, process information, and alter social relations. Similarly</w:t>
      </w:r>
      <w:bookmarkStart w:id="176" w:name="OLE_LINK415"/>
      <w:bookmarkStart w:id="177" w:name="OLE_LINK416"/>
      <w:r w:rsidRPr="00F153F6">
        <w:rPr>
          <w:rFonts w:ascii="Times New Roman" w:eastAsia="Times New Roman" w:hAnsi="Times New Roman" w:cs="Times New Roman"/>
          <w:iCs/>
          <w:color w:val="000000" w:themeColor="text1"/>
          <w:sz w:val="24"/>
          <w:szCs w:val="24"/>
        </w:rPr>
        <w:t xml:space="preserve">, Uden and He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{"citationID":"a289osvqa7k","properties":{"formattedCitation":"(2017)","plainCitation":"(2017)","noteIndex":0},"citationItems":[{"id":2316,"uris":["http://zotero.org/users/5709166/items/4J92CFYL"],"itemData":{"id":2316,"type":"article-journal","abstract":"Purpose Current knowledge management (KM) systems cannot be used effectively for decision-making because of the lack of real-time data. This study aims to discuss how KM can benefit by embedding Internet of Things (IoT).Design/methodology/approach The paper discusses how IoT can help KM to capture data and convert data into knowledge to improve the parking service in transportation using a case study.Findings This case study related to intelligent parking service supported by IoT devices of vehicles shows that KM can play a role in turning the incoming big data collected from IoT devices into useful knowledge more quickly and effectively.Originality/value The literature review shows that there are few papers discussing how KM can benefit by embedding IoT and processing incoming big data collected from IoT devices. The case study developed in this study provides evidence to explain how IoT can help KM to capture big data and convert big data into knowledge to improve the parking service in transportation.","container-title":"Journal of Knowledge Management","DOI":"10.1108/JKM-07-2015-0291","ISSN":"1367-3270","issue":"1","note":"publisher: Emerald Publishing Limited","page":"57-70","source":"Emerald Insight","title":"How the Internet of Things can help knowledge management: a case study from the automotive domain","title-short":"How the Internet of Things can help knowledge management","volume":"21","author":[{"family":"Uden","given":"Lorna"},{"family":"He","given":"Wu"}],"issued":{"date-parts":[["2017",1,1]]}},"suppress-author":true}],"schema":"https://github.com/citation-style-language/schema/raw/master/csl-citation.json"}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(2017)</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argue that devices connected to the internet help to create the ‘internet of things’, which facilitates exchange and store of data.</w:t>
      </w:r>
      <w:bookmarkEnd w:id="176"/>
      <w:bookmarkEnd w:id="177"/>
      <w:r w:rsidRPr="00F153F6">
        <w:rPr>
          <w:rFonts w:ascii="Times New Roman" w:eastAsia="Times New Roman" w:hAnsi="Times New Roman" w:cs="Times New Roman"/>
          <w:iCs/>
          <w:color w:val="000000" w:themeColor="text1"/>
          <w:sz w:val="24"/>
          <w:szCs w:val="24"/>
        </w:rPr>
        <w:t xml:space="preserve"> </w:t>
      </w:r>
      <w:r w:rsidR="00880C24" w:rsidRPr="00F153F6">
        <w:rPr>
          <w:rFonts w:ascii="Times New Roman" w:eastAsia="Times New Roman" w:hAnsi="Times New Roman" w:cs="Times New Roman"/>
          <w:iCs/>
          <w:color w:val="000000" w:themeColor="text1"/>
          <w:sz w:val="24"/>
          <w:szCs w:val="24"/>
        </w:rPr>
        <w:t>ICT</w:t>
      </w:r>
      <w:r w:rsidRPr="00F153F6">
        <w:rPr>
          <w:rFonts w:ascii="Times New Roman" w:eastAsia="Times New Roman" w:hAnsi="Times New Roman" w:cs="Times New Roman"/>
          <w:iCs/>
          <w:color w:val="000000" w:themeColor="text1"/>
          <w:sz w:val="24"/>
          <w:szCs w:val="24"/>
        </w:rPr>
        <w:t xml:space="preserve"> in these studies can make contributions to KM independently and are separated from social contexts.</w:t>
      </w:r>
    </w:p>
    <w:p w14:paraId="78048BA3" w14:textId="77777777" w:rsidR="002C1A2F" w:rsidRPr="00F153F6" w:rsidRDefault="002C1A2F" w:rsidP="004424B4">
      <w:pPr>
        <w:pStyle w:val="Heading3"/>
        <w:spacing w:line="360" w:lineRule="auto"/>
        <w:jc w:val="both"/>
        <w:rPr>
          <w:rFonts w:ascii="Times New Roman" w:hAnsi="Times New Roman" w:cs="Times New Roman"/>
          <w:b/>
          <w:color w:val="000000" w:themeColor="text1"/>
          <w:sz w:val="28"/>
          <w:szCs w:val="28"/>
        </w:rPr>
      </w:pPr>
      <w:bookmarkStart w:id="178" w:name="_Toc118371097"/>
      <w:bookmarkStart w:id="179" w:name="_Toc133252120"/>
      <w:r w:rsidRPr="00F153F6">
        <w:rPr>
          <w:rFonts w:ascii="Times New Roman" w:hAnsi="Times New Roman" w:cs="Times New Roman"/>
          <w:b/>
          <w:color w:val="000000" w:themeColor="text1"/>
          <w:sz w:val="28"/>
          <w:szCs w:val="28"/>
        </w:rPr>
        <w:lastRenderedPageBreak/>
        <w:t>2.5.2 Mutually Dependent Ensemble view</w:t>
      </w:r>
      <w:bookmarkEnd w:id="178"/>
      <w:bookmarkEnd w:id="179"/>
    </w:p>
    <w:p w14:paraId="616DEBAB" w14:textId="38FFCFA9"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bookmarkStart w:id="180" w:name="OLE_LINK417"/>
      <w:bookmarkStart w:id="181" w:name="OLE_LINK418"/>
      <w:r w:rsidRPr="00F153F6">
        <w:rPr>
          <w:rFonts w:ascii="Times New Roman" w:eastAsia="Times New Roman" w:hAnsi="Times New Roman" w:cs="Times New Roman"/>
          <w:iCs/>
          <w:color w:val="000000" w:themeColor="text1"/>
          <w:sz w:val="24"/>
          <w:szCs w:val="24"/>
        </w:rPr>
        <w:t xml:space="preserve">An mutually dependent ensemble view conceptualises </w:t>
      </w:r>
      <w:r w:rsidR="00880C24" w:rsidRPr="00F153F6">
        <w:rPr>
          <w:rFonts w:ascii="Times New Roman" w:eastAsia="Times New Roman" w:hAnsi="Times New Roman" w:cs="Times New Roman"/>
          <w:iCs/>
          <w:color w:val="000000" w:themeColor="text1"/>
          <w:sz w:val="24"/>
          <w:szCs w:val="24"/>
        </w:rPr>
        <w:t>ICT</w:t>
      </w:r>
      <w:r w:rsidRPr="00F153F6">
        <w:rPr>
          <w:rFonts w:ascii="Times New Roman" w:eastAsia="Times New Roman" w:hAnsi="Times New Roman" w:cs="Times New Roman"/>
          <w:iCs/>
          <w:color w:val="000000" w:themeColor="text1"/>
          <w:sz w:val="24"/>
          <w:szCs w:val="24"/>
        </w:rPr>
        <w:t xml:space="preserve"> as “part of [a] complex process through which organising is accomplished”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{"citationID":"acash7f6oc","properties":{"formattedCitation":"(Orlikowski &amp; Scott, 2008, p. 446)","plainCitation":"(Orlikowski &amp; Scott, 2008, p. 446)","noteIndex":0},"citationItems":[{"id":164,"uris":["http://zotero.org/users/5709166/items/XA8SDBE7"],"itemData":{"id":164,"type":"article-journal","container-title":"Academy of Management Annals","DOI":"10.5465/19416520802211644","ISSN":"1941-6520, 1941-6067","issue":"1","journalAbbreviation":"ANNALS","language":"en","page":"433-474","source":"DOI.org (Crossref)","title":"Sociomateriality: Challenging the Separation of Technology, Work and Organization","title-short":"10 Sociomateriality","volume":"2","author":[{"family":"Orlikowski","given":"Wanda J."},{"family":"Scott","given":"Susan V."}],"issued":{"date-parts":[["2008",1]]}},"locator":"446"}],"schema":"https://github.com/citation-style-language/schema/raw/master/csl-citation.json"}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(Orlikowski &amp; Scott, 2008, p. 446)</w:t>
      </w:r>
      <w:r w:rsidRPr="00F153F6">
        <w:rPr>
          <w:rFonts w:ascii="Times New Roman" w:hAnsi="Times New Roman" w:cs="Times New Roman"/>
          <w:color w:val="000000" w:themeColor="text1"/>
          <w:sz w:val="24"/>
          <w:szCs w:val="24"/>
        </w:rPr>
        <w:fldChar w:fldCharType="end"/>
      </w:r>
      <w:bookmarkEnd w:id="180"/>
      <w:bookmarkEnd w:id="181"/>
      <w:r w:rsidRPr="00F153F6">
        <w:rPr>
          <w:rFonts w:ascii="Times New Roman" w:eastAsia="Times New Roman" w:hAnsi="Times New Roman" w:cs="Times New Roman"/>
          <w:iCs/>
          <w:color w:val="000000" w:themeColor="text1"/>
          <w:sz w:val="24"/>
          <w:szCs w:val="24"/>
        </w:rPr>
        <w:t xml:space="preserve">, and focuses on the dynamic interactions between people and technology. Such interconnections and their outcomes are mutually dependent and evolve over time. Studies adopting this view normally emphasise the interplay between aspects of ICT and organisational practices, e.g., how </w:t>
      </w:r>
      <w:r w:rsidR="00880C24" w:rsidRPr="00F153F6">
        <w:rPr>
          <w:rFonts w:ascii="Times New Roman" w:eastAsia="Times New Roman" w:hAnsi="Times New Roman" w:cs="Times New Roman"/>
          <w:iCs/>
          <w:color w:val="000000" w:themeColor="text1"/>
          <w:sz w:val="24"/>
          <w:szCs w:val="24"/>
        </w:rPr>
        <w:t>ICT</w:t>
      </w:r>
      <w:r w:rsidRPr="00F153F6">
        <w:rPr>
          <w:rFonts w:ascii="Times New Roman" w:eastAsia="Times New Roman" w:hAnsi="Times New Roman" w:cs="Times New Roman"/>
          <w:iCs/>
          <w:color w:val="000000" w:themeColor="text1"/>
          <w:sz w:val="24"/>
          <w:szCs w:val="24"/>
        </w:rPr>
        <w:t xml:space="preserve"> serve</w:t>
      </w:r>
      <w:r w:rsidR="00880C24" w:rsidRPr="00F153F6">
        <w:rPr>
          <w:rFonts w:ascii="Times New Roman" w:eastAsia="Times New Roman" w:hAnsi="Times New Roman" w:cs="Times New Roman"/>
          <w:iCs/>
          <w:color w:val="000000" w:themeColor="text1"/>
          <w:sz w:val="24"/>
          <w:szCs w:val="24"/>
        </w:rPr>
        <w:t>s</w:t>
      </w:r>
      <w:r w:rsidRPr="00F153F6">
        <w:rPr>
          <w:rFonts w:ascii="Times New Roman" w:eastAsia="Times New Roman" w:hAnsi="Times New Roman" w:cs="Times New Roman"/>
          <w:iCs/>
          <w:color w:val="000000" w:themeColor="text1"/>
          <w:sz w:val="24"/>
          <w:szCs w:val="24"/>
        </w:rPr>
        <w:t xml:space="preserve"> as objects that enable knowledge sharing across boundaries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{"citationID":"a1akmtlj1ti","properties":{"formattedCitation":"(Carlile, 2002)","plainCitation":"(Carlile, 2002)","noteIndex":0},"citationItems":[{"id":157,"uris":["http://zotero.org/users/5709166/items/M26HEKDW"],"itemData":{"id":157,"type":"article-journal","abstract":"This study explores the premise that knowledge in new product developmen</w:instrText>
      </w:r>
      <w:r w:rsidRPr="00F153F6">
        <w:rPr>
          <w:rFonts w:ascii="Times New Roman" w:eastAsia="Times New Roman" w:hAnsi="Times New Roman" w:cs="Times New Roman"/>
          <w:iCs/>
          <w:color w:val="000000" w:themeColor="text1"/>
          <w:sz w:val="24"/>
          <w:szCs w:val="24"/>
          <w:lang w:val="it-IT"/>
        </w:rPr>
        <w:instrText xml:space="preserve">t proves both a barrier to and a source of innovation. To understand the problematic nature of knowledge and the boundaries that result, an ethnographic study was used to understand how knowledge is structured differently across the four primary functions that are dependent on each other in the creation and production of a high-volume product. A pragmatic view of “knowledge in practice” is developed, describing knowledge as localized, embedded, and invested within a function and how, when working across functions, consequences often arise that generate problematic knowledge boundaries. The use of a boundary object is then described as a means of representing, learning about, and transforming knowledge to resolve the consequences that exist at a given boundary. Finally, this pragmatic view of knowledge and boundaries is proposed as a framework to revisit the differentiation and integration of knowledge.","container-title":"Organization Science","DOI":"10.1287/orsc.13.4.442.2953","ISSN":"1047-7039, 1526-5455","issue":"4","journalAbbreviation":"Organization Science","language":"en","page":"442-455","source":"DOI.org (Crossref)","title":"A Pragmatic View of Knowledge and Boundaries: Boundary Objects in New Product Development","title-short":"A Pragmatic View of Knowledge and Boundaries","volume":"13","author":[{"family":"Carlile","given":"Paul R."}],"issued":{"date-parts":[["2002",8]]}}}],"schema":"https://github.com/citation-style-language/schema/raw/master/csl-citation.json"}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lang w:val="it-IT"/>
        </w:rPr>
        <w:t>(Carlile, 2002)</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lang w:val="it-IT"/>
        </w:rPr>
        <w:t xml:space="preserve">. Goldkuhl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lang w:val="it-IT"/>
        </w:rPr>
        <w:instrText xml:space="preserve"> ADDIN ZOTERO_ITEM CSL_CITATION {"citationID":"attfgb9s8k","properties":{"formattedCitation":"(2013)","plainCitation":"(2013)","noteIndex":0},"citationItems":[{"id":268,"uris":["http://zotero.org/users/5709166/items/AP9Z8593"],"itemData":{"id":268,"type":"article-journal","abstract":"This paper investigates the notion of an ensemble artefact. This concept is proposed by Sein et al (2011) in their description of the Action Design Research method. This concept is based on the ensemble view of IT artefacts, which is described by Orlikowski &amp; Iacono (2001) together with four other views. The conceptual journey from ensemble view to ensemble artefact is found problematic and is the impetus for a conceptual inquiry conducted in this paper. The conceptual investigation is supported by the use of a case illustration of an IT artefact in the social welfare sector. The different views from Orlikowski &amp; Iacono are analysed and compared. The suggested conceptualisation of IT artefacts based on the ensemble view, made by Orlikowski &amp; Iacono, is also analysed. Based on these analyses an alternative view is articulated: A communication tool view of IT artefacts. This view is compared with the ensemble view, especially in a design research context. The notion of ensemble artefact is contested, as is the suggested use of it as a main conceptual basis in design research.","issue":"1","language":"en","page":"24","source":"Zotero","title":"From ensemble view to ensemble artefact – An inquiry on conceptualisations of the IT artefact","volume":"7","author":[{"family":"Goldkuhl","given":"Göran"}],"issued":{"date-parts":[["2013"]]}},"suppress-author":true}],"schema":"https://github.com/citation-style-language/schema/raw/master/csl-citation.json"}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lang w:val="it-IT"/>
        </w:rPr>
        <w:t>(2013)</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lang w:val="it-IT"/>
        </w:rPr>
        <w:t>,</w:t>
      </w:r>
      <w:r w:rsidRPr="00F153F6">
        <w:rPr>
          <w:rFonts w:ascii="Times New Roman" w:eastAsia="Times New Roman" w:hAnsi="Times New Roman" w:cs="Times New Roman"/>
          <w:iCs/>
          <w:color w:val="000000" w:themeColor="text1"/>
          <w:sz w:val="24"/>
          <w:szCs w:val="24"/>
          <w:lang w:val="it-IT"/>
        </w:rPr>
        <w:t xml:space="preserve"> based on this ensemble view, conceptualises ICT as a communication tool. </w:t>
      </w:r>
      <w:r w:rsidRPr="00F153F6">
        <w:rPr>
          <w:rFonts w:ascii="Times New Roman" w:eastAsia="Times New Roman" w:hAnsi="Times New Roman" w:cs="Times New Roman"/>
          <w:iCs/>
          <w:color w:val="000000" w:themeColor="text1"/>
          <w:sz w:val="24"/>
          <w:szCs w:val="24"/>
        </w:rPr>
        <w:t xml:space="preserve">He argues that the ensemble view reflects a view of ICT artifacts embedded in the contexts without considering their pragmatic aspect. A communication tool view can broaden </w:t>
      </w:r>
      <w:r w:rsidR="00656920" w:rsidRPr="00F153F6">
        <w:rPr>
          <w:rFonts w:ascii="Times New Roman" w:eastAsia="Times New Roman" w:hAnsi="Times New Roman" w:cs="Times New Roman"/>
          <w:iCs/>
          <w:color w:val="000000" w:themeColor="text1"/>
          <w:sz w:val="24"/>
          <w:szCs w:val="24"/>
        </w:rPr>
        <w:t xml:space="preserve">such ensemble view </w:t>
      </w:r>
      <w:r w:rsidRPr="00F153F6">
        <w:rPr>
          <w:rFonts w:ascii="Times New Roman" w:eastAsia="Times New Roman" w:hAnsi="Times New Roman" w:cs="Times New Roman"/>
          <w:iCs/>
          <w:color w:val="000000" w:themeColor="text1"/>
          <w:sz w:val="24"/>
          <w:szCs w:val="24"/>
        </w:rPr>
        <w:t xml:space="preserve">by not only acknowledging the interaction between artefacts and their social context, but also emphasising their pragmatic aspects in terms of social communication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{"citationID":"a2ht97ijm9b","properties":{"formattedCitation":"(Goldkuhl, 2008, 2013)","plainCitation":"(Goldkuhl, 2008, 2013)","noteIndex":0},"citationItems":[{"id":263,"uris":["http://zotero.org/users/5709166/items/FAD69ZR2"],"itemData":{"id":263,"type":"book","abstract":"This paper investigates an approach to human-computer interaction – actability theory – that emphasises human-via-computer-to-human interaction. This social action approach to HCI is confronted with affordance theory by Gibson; an ecological theory of perception. The notion of affordance is compared and related to actability. Different IT usage situations described in actability theory are critically examined. A re-conceptualisation of these situations is made and this refined conceptualisation is used to classify different usage situations of a municipal case coordination system as a small empirical illustration and test. In the last part of the paper, the definition of an actable IT system is revised. The IT affordances of different IT usage situations are clarified. Keywords: Human-computer interaction, affordance, actability, information system, social action, communication, practical theory.","source":"CiteSeer","title":"Actability Theory Meets Affordance Theory: Clarifying Hci in It Usage Situations","title-short":"Actability Theory Meets Affordance Theory","author":[{"family":"Goldkuhl","given":"Göran"}],"issued":{"date-parts":[["2008"]]}}},{"id":268,"uris":["http://zotero.org/users/5709166/items/AP9Z8593"],"itemData":{"id":268,"type":"article-journal","abstract":"This paper investigates the notion of an ensemble artefact. This concept is proposed by Sein et al (2011) in their description of the Action Design Research method. This concept is based on the ensemble view of IT artefacts, which is described by Orlikowski &amp; Iacono (2001) together with four other views. The conceptual journey from ensemble view to ensemble artefact is found problematic and is the impetus for a conceptual inquiry conducted in this paper. The conceptual investigation is supported by the use of a case illustration of an IT artefact in the social welfare sector. The different views from Orlikowski &amp; Iacono are analysed and compared. The suggested conceptualisation of IT artefacts based on the ensemble view, made by Orlikowski &amp; Iacono, is also analysed. Based on these analyses an alternative view is articulated: A communication tool view of IT artefacts. This view is compared with the ensemble view, especially in a design research context. The notion of ensemble artefact is contested, as is the suggested use of it as a main conceptual basis in design research.","issue":"1","language":"en","page":"24","source":"Zotero","title":"From ensemble view to ensemble artefact – An inquiry on conceptualisations of the IT artefact","volume":"7","author":[{"family":"Goldkuhl","given":"Göran"}],"issued":{"date-parts":[["2013"]]}}}],"schema":"https://github.com/citation-style-language/schema/raw/master/csl-citation.json"}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(Goldkuhl, 2008, 2013)</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He argues that an ICT artefact can “explicitly or implicitly carry interactor relationships” as a consequence of transforming messages among people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{"citationID":"a2nnk1qjfmd","properties":{"formattedCitation":"(Goldkuhl, 2013, p. 63)","plainCitation":"(Goldkuhl, 2013, p. 63)","noteIndex":0},"citationItems":[{"id":268,"uris":["http://zotero.org/users/5709166/items/AP9Z8593"],"itemData":{"id":268,"type":"article-journal","abstract":"This paper investigates the notion of an ensemble artefact. This concept is proposed by Sein et al (2011) in their description of the Action Design Research method. This concept is based on the ensemble view of IT artefacts, which is described by Orlikowski &amp; Iacono (2001) together with four other views. The conceptual journey from ensemble view to ensemble artefact is found problematic and is the impetus for a conceptual inquiry conducted in this paper. The conceptual investigation is supported by the use of a case illustration of an IT artefact in the social welfare sector. The different views from Orlikowski &amp; Iacono are analysed and compared. The suggested conceptualisation of IT artefacts based on the ensemble view, made by Orlikowski &amp; Iacono, is also analysed. Based on these analyses an alternative view is articulated: A communication tool view of IT artefacts. This view is compared with the ensemble view, especially in a design research context. The notion of ensemble artefact is contested, as is the suggested use of it as a main conceptual basis in design research.","issue":"1","language":"en","page":"24","source":"Zotero","title":"From ensemble view to ensemble artefact – An inquiry on conceptualisations of the IT artefact","volume":"7","author":[{"family":"Goldkuhl","given":"Göran"}],"issued":{"date-parts":[["2013"]]}},"locator":"63"}],"schema":"https://github.com/citation-style-language/schema/raw/master/csl-citation.json"}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(Goldkuhl, 2013, p. 63)</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r w:rsidR="006537A3" w:rsidRPr="00F153F6">
        <w:rPr>
          <w:rFonts w:ascii="Times New Roman" w:eastAsia="Times New Roman" w:hAnsi="Times New Roman" w:cs="Times New Roman"/>
          <w:iCs/>
          <w:color w:val="000000" w:themeColor="text1"/>
          <w:sz w:val="24"/>
          <w:szCs w:val="24"/>
        </w:rPr>
        <w:t xml:space="preserve">Silver and Markus </w:t>
      </w:r>
      <w:r w:rsidR="006537A3" w:rsidRPr="00F153F6">
        <w:rPr>
          <w:rFonts w:ascii="Times New Roman" w:hAnsi="Times New Roman" w:cs="Times New Roman"/>
          <w:color w:val="000000" w:themeColor="text1"/>
          <w:sz w:val="24"/>
          <w:szCs w:val="24"/>
        </w:rPr>
        <w:fldChar w:fldCharType="begin"/>
      </w:r>
      <w:r w:rsidR="006537A3" w:rsidRPr="00F153F6">
        <w:rPr>
          <w:rFonts w:ascii="Times New Roman" w:eastAsia="Times New Roman" w:hAnsi="Times New Roman" w:cs="Times New Roman"/>
          <w:iCs/>
          <w:color w:val="000000" w:themeColor="text1"/>
          <w:sz w:val="24"/>
          <w:szCs w:val="24"/>
        </w:rPr>
        <w:instrText xml:space="preserve"> ADDIN ZOTERO_ITEM CSL_CITATION {"citationID":"a2am6a1eno3","properties":{"formattedCitation":"(2013)","plainCitation":"(2013)","noteIndex":0},"citationItems":[{"id":262,"uris":["http://zotero.org/users/5709166/items/ST742PJ9"],"itemData":{"id":262,"type":"article-journal","abstract":"Goldkuhl (2013) raises several interesting issues related to conceptualizing the IT artifact. Using his analysis as a starting point, we present four additional observations: (1) So-called \"IT artifacts\" have both technical and social design features and are therefore better regarded as \"SocioTechnical (ST) artifacts\". (2) Those who deploy and employ ST artifacts do so to achieve desired consequences while avoiding undesirable ones. Along with the ST artifact, consequences - positive or negative, whether intended or not - constitute a central but underresearched topic. (3) Studying the ST artefact - consequences connection has the potential to be a unifying force in the IS field. In particular, design science needs to integrate this issue into its study of ST artifacts. (4) The study and practice of anticipating ST consequences must not be limited to existing ST artifacts. Inventors must also anticipate consequences while designing new technologies that have yet to be instantiated.","issue":"1","language":"en","page":"8","source":"Zotero","title":"Conceptualizing the SocioTechnical (ST) Artifact","volume":"7","author":[{"family":"Silver","given":"Mark S."},{"family":"Markus","given":"M. Lynne"}],"issued":{"date-parts":[["2013"]]}},"suppress-author":true}],"schema":"https://github.com/citation-style-language/schema/raw/master/csl-citation.json"} </w:instrText>
      </w:r>
      <w:r w:rsidR="006537A3" w:rsidRPr="00F153F6">
        <w:rPr>
          <w:rFonts w:ascii="Times New Roman" w:hAnsi="Times New Roman" w:cs="Times New Roman"/>
          <w:color w:val="000000" w:themeColor="text1"/>
          <w:sz w:val="24"/>
          <w:szCs w:val="24"/>
        </w:rPr>
        <w:fldChar w:fldCharType="separate"/>
      </w:r>
      <w:r w:rsidR="006537A3" w:rsidRPr="00F153F6">
        <w:rPr>
          <w:rFonts w:ascii="Times New Roman" w:hAnsi="Times New Roman" w:cs="Times New Roman"/>
          <w:color w:val="000000" w:themeColor="text1"/>
          <w:sz w:val="24"/>
          <w:szCs w:val="24"/>
        </w:rPr>
        <w:t>(2013)</w:t>
      </w:r>
      <w:r w:rsidR="006537A3" w:rsidRPr="00F153F6">
        <w:rPr>
          <w:rFonts w:ascii="Times New Roman" w:hAnsi="Times New Roman" w:cs="Times New Roman"/>
          <w:color w:val="000000" w:themeColor="text1"/>
          <w:sz w:val="24"/>
          <w:szCs w:val="24"/>
        </w:rPr>
        <w:fldChar w:fldCharType="end"/>
      </w:r>
      <w:r w:rsidR="006537A3" w:rsidRPr="00F153F6">
        <w:rPr>
          <w:rFonts w:ascii="Times New Roman" w:eastAsia="Times New Roman" w:hAnsi="Times New Roman" w:cs="Times New Roman"/>
          <w:iCs/>
          <w:color w:val="000000" w:themeColor="text1"/>
          <w:sz w:val="24"/>
          <w:szCs w:val="24"/>
        </w:rPr>
        <w:t xml:space="preserve"> concur with this view, whilst arguing that IT artefacts have the same importance in both technical and social characteristics that together shape the anticipating consequences of the technology. They thereby reconceptualised ICTs as Socio</w:t>
      </w:r>
      <w:r w:rsidR="00475BD5" w:rsidRPr="00F153F6">
        <w:rPr>
          <w:rFonts w:ascii="Times New Roman" w:eastAsia="Times New Roman" w:hAnsi="Times New Roman" w:cs="Times New Roman"/>
          <w:iCs/>
          <w:color w:val="000000" w:themeColor="text1"/>
          <w:sz w:val="24"/>
          <w:szCs w:val="24"/>
        </w:rPr>
        <w:t>-</w:t>
      </w:r>
      <w:r w:rsidR="006537A3" w:rsidRPr="00F153F6">
        <w:rPr>
          <w:rFonts w:ascii="Times New Roman" w:eastAsia="Times New Roman" w:hAnsi="Times New Roman" w:cs="Times New Roman"/>
          <w:iCs/>
          <w:color w:val="000000" w:themeColor="text1"/>
          <w:sz w:val="24"/>
          <w:szCs w:val="24"/>
        </w:rPr>
        <w:t>Technical artefacts (ST artefacts), which indicates that both social and technical characteristics need to be equally treated to mutually impact organisational practices.</w:t>
      </w:r>
    </w:p>
    <w:p w14:paraId="4888D88F" w14:textId="77777777" w:rsidR="000543CB" w:rsidRPr="00F153F6" w:rsidRDefault="000543CB" w:rsidP="004424B4">
      <w:pPr>
        <w:spacing w:line="360" w:lineRule="auto"/>
        <w:jc w:val="both"/>
        <w:rPr>
          <w:rFonts w:ascii="Times New Roman" w:eastAsia="Times New Roman" w:hAnsi="Times New Roman" w:cs="Times New Roman"/>
          <w:iCs/>
          <w:color w:val="000000" w:themeColor="text1"/>
          <w:sz w:val="24"/>
          <w:szCs w:val="24"/>
        </w:rPr>
      </w:pPr>
    </w:p>
    <w:p w14:paraId="50F6D7E9" w14:textId="1D5C5E4D" w:rsidR="002C1A2F" w:rsidRPr="00F153F6" w:rsidRDefault="002C1A2F" w:rsidP="000543CB">
      <w:pPr>
        <w:pStyle w:val="Heading3"/>
        <w:spacing w:line="360" w:lineRule="auto"/>
        <w:ind w:firstLine="720"/>
        <w:jc w:val="both"/>
        <w:rPr>
          <w:rFonts w:ascii="Times New Roman" w:hAnsi="Times New Roman" w:cs="Times New Roman"/>
          <w:b/>
          <w:color w:val="000000" w:themeColor="text1"/>
          <w:sz w:val="28"/>
          <w:szCs w:val="28"/>
        </w:rPr>
      </w:pPr>
      <w:bookmarkStart w:id="182" w:name="_Toc118371098"/>
      <w:bookmarkStart w:id="183" w:name="_Toc133252121"/>
      <w:r w:rsidRPr="00F153F6">
        <w:rPr>
          <w:rFonts w:ascii="Times New Roman" w:hAnsi="Times New Roman" w:cs="Times New Roman"/>
          <w:b/>
          <w:color w:val="000000" w:themeColor="text1"/>
          <w:sz w:val="28"/>
          <w:szCs w:val="28"/>
        </w:rPr>
        <w:t>2.5.3 Structure View</w:t>
      </w:r>
      <w:bookmarkEnd w:id="182"/>
      <w:bookmarkEnd w:id="183"/>
    </w:p>
    <w:p w14:paraId="28C5E8DA" w14:textId="5B80F193"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A structure view conceptualise ICT as technolog</w:t>
      </w:r>
      <w:r w:rsidR="00880C24" w:rsidRPr="00F153F6">
        <w:rPr>
          <w:rFonts w:ascii="Times New Roman" w:eastAsia="Times New Roman" w:hAnsi="Times New Roman" w:cs="Times New Roman"/>
          <w:iCs/>
          <w:color w:val="000000" w:themeColor="text1"/>
          <w:sz w:val="24"/>
          <w:szCs w:val="24"/>
        </w:rPr>
        <w:t>y</w:t>
      </w:r>
      <w:r w:rsidRPr="00F153F6">
        <w:rPr>
          <w:rFonts w:ascii="Times New Roman" w:eastAsia="Times New Roman" w:hAnsi="Times New Roman" w:cs="Times New Roman"/>
          <w:iCs/>
          <w:color w:val="000000" w:themeColor="text1"/>
          <w:sz w:val="24"/>
          <w:szCs w:val="24"/>
        </w:rPr>
        <w:t xml:space="preserve"> that embody social structures </w:t>
      </w:r>
      <w:r w:rsidRPr="00F153F6">
        <w:rPr>
          <w:rFonts w:ascii="Times New Roman" w:hAnsi="Times New Roman" w:cs="Times New Roman"/>
          <w:color w:val="000000" w:themeColor="text1"/>
          <w:sz w:val="24"/>
          <w:szCs w:val="24"/>
        </w:rPr>
        <w:fldChar w:fldCharType="begin"/>
      </w:r>
      <w:r w:rsidR="00206572" w:rsidRPr="00F153F6">
        <w:rPr>
          <w:rFonts w:ascii="Times New Roman" w:eastAsia="Times New Roman" w:hAnsi="Times New Roman" w:cs="Times New Roman"/>
          <w:iCs/>
          <w:color w:val="000000" w:themeColor="text1"/>
          <w:sz w:val="24"/>
          <w:szCs w:val="24"/>
        </w:rPr>
        <w:instrText xml:space="preserve"> ADDIN ZOTERO_ITEM CSL_CITATION {"citationID":"a2hlhqtg5h5","properties":{"formattedCitation":"(Orlikowski &amp; Iacono, 2001a)","plainCitation":"(Orlikowski &amp; Iacono, 2001a)","noteIndex":0},"citationItems":[{"id":"WjXiMXKA/tebyNsoP","uris":["http://zotero.org/users/5709166/items/WTS3Z5Y6"],"itemData":{"id":"wvlBYmWP/6VJmhAVV","type":"article-journal","container-title":"Information Systems Research","DOI":"10.1287/isre.12.2.121.9700","ISSN":"1047-7047, 1526-5536","issue":"2","journalAbbreviation":"Information Systems Research","language":"en","page":"121-134","source":"DOI.org (Crossref)","title":"Research Commentary: Desperately Seeking the “IT” in IT Research—A Call to Theorizing the IT Artifact","title-short":"Research Commentary","volume":"12","author":[{"family":"Orlikowski","given":"Wanda J."},{"family":"Iacono","given":"C. Suzanne"}],"issued":{"date-parts":[["2001",6]]}}}],"schema":"https://github.com/citation-style-language/schema/raw/master/csl-citation.json"}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(Orlikowski &amp; Iacono, 2001)</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In light of social structuration theory proposed by Giddens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{"citationID":"a2bmkr2ac07","properties":{"formattedCitation":"(1984)","plainCitation":"(1984)","noteIndex":0},"citationItems":[{"id":155,"uris":["http://zotero.org/users/5709166/items/F6NKRYDB"],"itemData":{"id":155,"type":"book","abstract":"Anthony Giddens has been in the forefront of developments in social theory for the past decade. In \"The Constitution of Society\" he outlines the distinctive position he has evolved during that period and offers a full statement of a major new perspective in social thought, a synthesis and elaboration of ideas touched on in previous works but described here for the first time in an integrated and comprehensive form. A particular feature is Giddens's concern to connect abstract problems of theory to an interpretation of the nature of empirical method in the social sciences. In presenting his own ideas, Giddens mounts a critical attack on some of the more orthodox sociological views. \"The Constitution of Society\" is an invaluable reference book for all those concerned with the basic issues in contemporary social theory.","ISBN":"978-0-520-05292-5","language":"en","note":"Google-Books-ID: x2bf4g9Z6ZwC","number-of-pages":"448","publisher":"University of California Press","source":"Google Books","title":"The Constitution of Society: Outline of the Theory of Structuration","title-short":"The Constitution of Society","author":[{"family":"Giddens","given":"Anthony"}],"issued":{"date-parts":[["1984"]]}},"suppress-author":true}],"schema":"https://github.com/citation-style-language/schema/raw/master/csl-citation.json"}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(1984)</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bookmarkStart w:id="184" w:name="OLE_LINK165"/>
      <w:bookmarkStart w:id="185" w:name="OLE_LINK166"/>
      <w:r w:rsidRPr="00F153F6">
        <w:rPr>
          <w:rFonts w:ascii="Times New Roman" w:eastAsia="Times New Roman" w:hAnsi="Times New Roman" w:cs="Times New Roman"/>
          <w:iCs/>
          <w:color w:val="000000" w:themeColor="text1"/>
          <w:sz w:val="24"/>
          <w:szCs w:val="24"/>
        </w:rPr>
        <w:t xml:space="preserve">the structure view argues that social structures </w:t>
      </w:r>
      <w:bookmarkEnd w:id="184"/>
      <w:bookmarkEnd w:id="185"/>
      <w:r w:rsidRPr="00F153F6">
        <w:rPr>
          <w:rFonts w:ascii="Times New Roman" w:eastAsia="Times New Roman" w:hAnsi="Times New Roman" w:cs="Times New Roman"/>
          <w:iCs/>
          <w:color w:val="000000" w:themeColor="text1"/>
          <w:sz w:val="24"/>
          <w:szCs w:val="24"/>
        </w:rPr>
        <w:t xml:space="preserve">conceptualised as rules and resources </w:t>
      </w:r>
      <w:bookmarkStart w:id="186" w:name="OLE_LINK421"/>
      <w:bookmarkStart w:id="187" w:name="OLE_LINK422"/>
      <w:r w:rsidRPr="00F153F6">
        <w:rPr>
          <w:rFonts w:ascii="Times New Roman" w:eastAsia="Times New Roman" w:hAnsi="Times New Roman" w:cs="Times New Roman"/>
          <w:iCs/>
          <w:color w:val="000000" w:themeColor="text1"/>
          <w:sz w:val="24"/>
          <w:szCs w:val="24"/>
        </w:rPr>
        <w:t xml:space="preserve">are constructed into technology by artefact designers and appropriated finally by users as they interact with the technology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{"citationID":"avhkjsj3h3","properties":{"formattedCitation":"(Tchounikine, 2017)","plainCitation":"(Tchounikine, 2017)","noteIndex":0},"citationItems":[{"id":154,"uris":["http://zotero.org/users/5709166/items/4C77YNYS"],"itemData":{"id":154,"type":"article-journal","container-title":"Human–Computer Interaction","DOI":"10.1080/07370024.2016.1203263","ISSN":"0737-0024, 1532-7051","issue":"4","journalAbbreviation":"Human–Computer Interaction","language":"en","page":"155-195","source":"DOI.org (Crossref)","title":"Designing for Appropriation: A Theoretical Account","title-short":"Designing for Appropriation","volume":"32","author":[{"family":"Tchounikine","given":"Pierre"}],"issued":{"date-parts":[["2017",7,4]]}}}],"schema":"https://github.com/citation-style-language/schema/raw/master/csl-citation.json"}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(Tchounikine, 2017)</w:t>
      </w:r>
      <w:r w:rsidRPr="00F153F6">
        <w:rPr>
          <w:rFonts w:ascii="Times New Roman" w:hAnsi="Times New Roman" w:cs="Times New Roman"/>
          <w:color w:val="000000" w:themeColor="text1"/>
          <w:sz w:val="24"/>
          <w:szCs w:val="24"/>
        </w:rPr>
        <w:fldChar w:fldCharType="end"/>
      </w:r>
      <w:bookmarkEnd w:id="186"/>
      <w:bookmarkEnd w:id="187"/>
      <w:r w:rsidRPr="00F153F6">
        <w:rPr>
          <w:rFonts w:ascii="Times New Roman" w:eastAsia="Times New Roman"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t>DeSanctis and Poole</w:t>
      </w:r>
      <w:r w:rsidRPr="00F153F6">
        <w:rPr>
          <w:rFonts w:ascii="Times New Roman" w:eastAsia="Times New Roman"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{"citationID":"a2hj9heq251","properties":{"formattedCitation":"(1994)","plainCitation":"(1994)","noteIndex":0},"citationItems":[{"id":153,"uris":["http://zotero.org/users/5709166/items/XZWAIZDJ"],"itemData":{"id":153,"type":"article-journal","abstract":"The past decade has brought advanced information technologies, which include electronic messaging systems, executive information systems, collaborative systems, group decision support systems, and other technologies that use sophisticated information management to enable multiparty participation in organization activities. Developers and users of these systems hold high hopes for their potential to change organizations for the better, but actual changes often do not occur, or occur inconsistently. We propose adaptive structuration theory (AST) as a viable approach for studying the role of advanced information technologies in organization change. AST examines the change process from two vantage points: (1) the types of structures that are provided by advanced technologies, and (2) the structures that actually emerge in human action as people interact with these technologies. To illustrate the principles of AST, we consider the small group meeting and the use of a group decision support system (GDSS). A GDSS is an interesting technology for study because it can be structured in a myriad of ways, and social interaction unfolds as the GDSS is used. Both the structure of the technology and the emergent structure of social action can be studied. We begin by positioning AST among competing theoretical perspectives of technology and change. Next, we describe the theoretical roots and scope of the theory as it is applied to GDSS use and state the essential assumptions, concepts, and propositions of AST. We outline an analytic strategy for applying AST principles and provide an illustration of how our analytic approach can shed light on the impacts of advanced technologies on organizations. A major strength of AST is that it expounds the nature of social structures within advanced information technologies and the key interaction processes that figure in their use. By capturing these processes and tracing their impacts, we can reveal the complexity of technology-organization relationships. We can attain a better understanding of how to implement technologies, and we may also be able to develop improved designs or educational programs that promote productive adaptations.","archive":"JSTOR","container-title":"Organization Science","ISSN":"1047-7039","issue":"2","note":"publisher: INFORMS","page":"121-147","source":"JSTOR","title":"Capturing the Complexity in Advanced Technology Use: Adaptive Structuration Theory","title-short":"Capturing the Complexity in Advanced Technology Use","volume":"5","author":[{"family":"DeSanctis","given":"Gerardine"},{"family":"Poole","given":"Marshall Scott"}],"issued":{"date-parts":[["1994"]]}},"suppress-author":true}],"schema":"https://github.com/citation-style-language/schema/raw/master/csl-citation.json"}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(1994)</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w:t>
      </w:r>
      <w:r w:rsidRPr="00F153F6">
        <w:rPr>
          <w:rFonts w:ascii="Times New Roman" w:eastAsia="Times New Roman" w:hAnsi="Times New Roman" w:cs="Times New Roman"/>
          <w:iCs/>
          <w:color w:val="000000" w:themeColor="text1"/>
          <w:sz w:val="24"/>
          <w:szCs w:val="24"/>
        </w:rPr>
        <w:t xml:space="preserve"> based on this theory, propose an adaptive structuration theory (AST) in which the use of technology is also a modality of structuration. The structure that a technology provides can be classified in two ways: by its structural features and by its spirit. Structural features are specific types of capabilities provided by the technology, while spirit refers to the normative frame in relation to behaviours that are appropriate for the ICT, i.e. something that is interpreted by users as a value of the technology (e.g., how people interpret ICT’s features, how to interact as they use </w:t>
      </w:r>
      <w:r w:rsidRPr="00F153F6">
        <w:rPr>
          <w:rFonts w:ascii="Times New Roman" w:eastAsia="Times New Roman" w:hAnsi="Times New Roman" w:cs="Times New Roman"/>
          <w:iCs/>
          <w:color w:val="000000" w:themeColor="text1"/>
          <w:sz w:val="24"/>
          <w:szCs w:val="24"/>
        </w:rPr>
        <w:lastRenderedPageBreak/>
        <w:t xml:space="preserve">the ICT)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{"citationID":"a1bnfcqkior","properties":{"formattedCitation":"(DeSanctis &amp; Poole, 1994; Fulk &amp; Steinfield, 1990)","plainCitation":"(DeSanctis &amp; Poole, 1994; Fulk &amp; Steinfield, 1990)","noteIndex":0},"citationItems":[{"id":153,"uris":["http://zotero.org/users/5709166/items/XZWAIZDJ"],"itemData":{"id":153,"type":"article-journal","abstract":"The past decade has brought advanced information technologies, which include electronic messaging systems, executive information systems, collaborative systems, group decision support systems, and other technologies that use sophisticated information management to enable multiparty participation in organization activities. Developers and users of these systems hold high hopes for their potential to change organizations for the better, but actual changes often do not occur, or occur inconsistently. We propose adaptive structuration theory (AST) as a viable approach for studying the role of advanced information technologies in organization change. AST examines the change process from two vantage points: (1) the types of structures that are provided by advanced technologies, and (2) the structures that actually emerge in human action as people interact with these technologies. To illustrate the principles of AST, we consider the small group meeting and the use of a group decision support system (GDSS). A GDSS is an interesting technology for study because it can be structured in a myriad of ways, and social interaction unfolds as the GDSS is used. Both the structure of the technology and the emergent structure of social action can be studied. We begin by positioning AST among competing theoretical perspectives of technology and change. Next, we describe the theoretical roots and scope of the theory as it is applied to GDSS use and state the essential assumptions, concepts, and propositions of AST. We outline an analytic strategy for applying AST principles and provide an illustration of how our analytic approach can shed light on the impacts of advanced technologies on organizations. A major strength of AST is that it expounds the nature of social structures within advanced information technologies and the key interaction processes that figure in their use. By capturing these processes and tracing their impacts, we can reveal the complexity of technology-organization relationships. We can attain a better understanding of how to implement technologies, and we may also be able to develop improved designs or educational programs that promote productive adaptations.","archive":"JSTOR","container-title":"Organization Science","ISSN":"1047-7039","issue":"2","note":"publisher: INFORMS","page":"121-147","source":"JSTOR","title":"Capturing the Complexity in Advanced Technology Use: Adaptive Structuration Theory","title-short":"Capturing the Complexity in Advanced Technology Use","volume":"5","author":[{"family":"DeSanctis","given":"Gerardine"},{"family":"Poole","given":"Marshall Scott"}],"issued":{"date-parts":[["1994"]]}}},{"id":152,"uris":["http://zotero.org/users/5709166/items/TQVNM5HP"],"itemData":{"id":152,"type":"book","abstract":"How do technology and organization interact to shape organizational structures and processes? What organizational, political and social processes constrain technological development? What forces shape the articulation of organizational and technological systems?  Answering these and other pivotal questions, this volume centres on the role of theory for advancing our knowledge of communication technology in organizations at several levels - micro, group and macro. The distinguished contributors examine richly diverse topics, including telecommunications, communication networks and new media, the use of group decision support systems and discretionary databases.","ISBN":"978-1-4522-5246-9","language":"en","note":"Google-Books-ID: teNyAwAAQBAJ","number-of-pages":"329","publisher":"SAGE Publications","source":"Google Books","title":"Organizations and Communication Technology","author":[{"family":"Fulk","given":"Janet"},{"family":"Steinfield","given":"Charles W."}],"issued":{"date-parts":[["1990",3,1]]}}}],"schema":"https://github.com/citation-style-language/schema/raw/master/csl-citation.json"}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(DeSanctis &amp; Poole, 1994; Fulk &amp; Steinfield, 1990)</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t>Markus et al.</w:t>
      </w:r>
      <w:r w:rsidRPr="00F153F6">
        <w:rPr>
          <w:rFonts w:ascii="Times New Roman" w:eastAsia="Times New Roman"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fldChar w:fldCharType="begin"/>
      </w:r>
      <w:r w:rsidR="00287480" w:rsidRPr="00F153F6">
        <w:rPr>
          <w:rFonts w:ascii="Times New Roman" w:eastAsia="Times New Roman" w:hAnsi="Times New Roman" w:cs="Times New Roman"/>
          <w:iCs/>
          <w:color w:val="000000" w:themeColor="text1"/>
          <w:sz w:val="24"/>
          <w:szCs w:val="24"/>
        </w:rPr>
        <w:instrText xml:space="preserve"> ADDIN ZOTERO_ITEM CSL_CITATION {"citationID":"aadodptsq8","properties":{"formattedCitation":"(2008)","plainCitation":"(2008)","noteIndex":0},"citationItems":[{"id":151,"uris":["http://zotero.org/users/5709166/items/LG935HG3"],"itemData":{"id":151,"type":"article-journal","abstract":"Gerardine DeSanctis and Marshall Scott Poole made an important contribution to the study of IT uses and effects with their insightful concepts of “structural features” and “spirit.” Unlike their concept of “appropriation,” which has found broad acceptance in the IS community, the concepts of structural features and spirit have not been widely used. Published concerns that the concepts are not consistent with basic assumptions in Giddens’ structuration theory, on which the concepts were based, could account for their neglect. However, concepts like structural features and spirit are indispensable for any program of research that attempts to show how IT artifacts can, together with other influences, contribute to the consequences of IT use. Addressing the criticisms that have been leveled against these concepts is, therefore, important. In this paper we unpack DeSanctis and Poole’s concepts and propose redefining them as three new concepts: technical objects, functional affordances, and symbolic expressions. We believe this reconceptualization addresses several concerns about the original concepts, while retaining the core insights of DeSanctis and Poole’s innovative analysis.","container-title":"Journal of the Association for Information Systems","DOI":"10.17705/1jais.00176","ISSN":"15369323","issue":"10","journalAbbreviation":"JAIS","language":"en","page":"609-632","source":"DOI.org (Crossref)","title":"A Foundation for the Study of IT Effects: A New Look at DeSanctis and Poole’s Concepts of Structural Features and Spirit","title-short":"A Foundation for the Study of IT Effects","volume":"9","author":[{"family":"Markus","given":"M. Lynne"},{"family":"Silver","given":"Mark"}],"issued":{"date-parts":[["2008",10]]}},"suppress-author":true}],"schema":"https://github.com/citation-style-language/schema/raw/master/csl-citation.json"}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(2008)</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argue that DeSanctis &amp; Poole’s work is a very insightful start point to explain ICT use and its effects for organisational practices, but also that IC</w:t>
      </w:r>
      <w:r w:rsidR="005E5673" w:rsidRPr="00F153F6">
        <w:rPr>
          <w:rFonts w:ascii="Times New Roman" w:eastAsia="Times New Roman" w:hAnsi="Times New Roman" w:cs="Times New Roman"/>
          <w:iCs/>
          <w:color w:val="000000" w:themeColor="text1"/>
          <w:sz w:val="24"/>
          <w:szCs w:val="24"/>
        </w:rPr>
        <w:t>T</w:t>
      </w:r>
      <w:r w:rsidRPr="00F153F6">
        <w:rPr>
          <w:rFonts w:ascii="Times New Roman" w:eastAsia="Times New Roman" w:hAnsi="Times New Roman" w:cs="Times New Roman"/>
          <w:iCs/>
          <w:color w:val="000000" w:themeColor="text1"/>
          <w:sz w:val="24"/>
          <w:szCs w:val="24"/>
        </w:rPr>
        <w:t xml:space="preserve"> use requires more comprehensive understanding. </w:t>
      </w:r>
    </w:p>
    <w:p w14:paraId="4B82B98D" w14:textId="77777777" w:rsidR="002C1A2F" w:rsidRPr="00F153F6" w:rsidRDefault="002C1A2F" w:rsidP="004424B4">
      <w:pPr>
        <w:pStyle w:val="Heading3"/>
        <w:spacing w:line="360" w:lineRule="auto"/>
        <w:jc w:val="both"/>
        <w:rPr>
          <w:rFonts w:ascii="Times New Roman" w:hAnsi="Times New Roman" w:cs="Times New Roman"/>
          <w:b/>
          <w:color w:val="000000" w:themeColor="text1"/>
          <w:sz w:val="28"/>
          <w:szCs w:val="28"/>
        </w:rPr>
      </w:pPr>
      <w:bookmarkStart w:id="188" w:name="_Toc118371099"/>
      <w:bookmarkStart w:id="189" w:name="_Toc133252122"/>
      <w:r w:rsidRPr="00F153F6">
        <w:rPr>
          <w:rFonts w:ascii="Times New Roman" w:hAnsi="Times New Roman" w:cs="Times New Roman"/>
          <w:b/>
          <w:color w:val="000000" w:themeColor="text1"/>
          <w:sz w:val="28"/>
          <w:szCs w:val="28"/>
        </w:rPr>
        <w:t>2.5.4 Materiality view</w:t>
      </w:r>
      <w:bookmarkEnd w:id="188"/>
      <w:bookmarkEnd w:id="189"/>
    </w:p>
    <w:p w14:paraId="71154590" w14:textId="6F08D6B3"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The materiality view focuses on micro-level studies of technologies in organisational practices, which emphasises </w:t>
      </w:r>
      <w:r w:rsidR="005E5673" w:rsidRPr="00F153F6">
        <w:rPr>
          <w:rFonts w:ascii="Times New Roman" w:eastAsia="Times New Roman" w:hAnsi="Times New Roman" w:cs="Times New Roman"/>
          <w:iCs/>
          <w:color w:val="000000" w:themeColor="text1"/>
          <w:sz w:val="24"/>
          <w:szCs w:val="24"/>
        </w:rPr>
        <w:t>the materiality as</w:t>
      </w:r>
      <w:r w:rsidRPr="00F153F6">
        <w:rPr>
          <w:rFonts w:ascii="Times New Roman" w:eastAsia="Times New Roman" w:hAnsi="Times New Roman" w:cs="Times New Roman"/>
          <w:iCs/>
          <w:color w:val="000000" w:themeColor="text1"/>
          <w:sz w:val="24"/>
          <w:szCs w:val="24"/>
        </w:rPr>
        <w:t xml:space="preserve"> something i</w:t>
      </w:r>
      <w:bookmarkStart w:id="190" w:name="OLE_LINK140"/>
      <w:bookmarkStart w:id="191" w:name="OLE_LINK141"/>
      <w:r w:rsidRPr="00F153F6">
        <w:rPr>
          <w:rFonts w:ascii="Times New Roman" w:eastAsia="Times New Roman" w:hAnsi="Times New Roman" w:cs="Times New Roman"/>
          <w:iCs/>
          <w:color w:val="000000" w:themeColor="text1"/>
          <w:sz w:val="24"/>
          <w:szCs w:val="24"/>
        </w:rPr>
        <w:t>ntrinsic to the technology</w:t>
      </w:r>
      <w:bookmarkEnd w:id="190"/>
      <w:bookmarkEnd w:id="191"/>
      <w:r w:rsidRPr="00F153F6">
        <w:rPr>
          <w:rFonts w:ascii="Times New Roman" w:eastAsia="Times New Roman"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{"citationID":"a28565lhs2d","properties":{"formattedCitation":"(K\\uc0\\u252{}chler, 2008)","plainCitation":"(Küchler, 2008)","noteIndex":0},"citationItems":[{"id":173,"uris":["http://zotero.org/users/5709166/items/JXIXMGAZ"],"itemData":{"id":173,"type":"article-journal","container-title":"Theory, Culture &amp; Society","DOI":"10.1177/0263276407085159","ISSN":"0263-2764","issue":"1","journalAbbreviation":"Theory, Culture &amp; Society","note":"publisher: SAGE Publications Ltd","page":"101-120","source":"SAGE Journals","title":"Technological Materiality: Beyond the Dualist Paradigm","title-short":"Technological Materiality","volume":"25","author":[{"family":"Küchler","given":"Susanne"}],"issued":{"date-parts":[["2008",1,1]]}}}],"schema":"https://github.com/citation-style-language/schema/raw/master/csl-citation.json"}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(Küchler, 2008)</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Volkoff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{"citationID":"avn91j4rnb","properties":{"formattedCitation":"(2007)","plainCitation":"(2007)","noteIndex":0},"citationItems":[{"id":171,"uris":["http://zotero.org/users/5709166/items/AKG3MTCX"],"itemData":{"id":171,"type":"article-journal","container-title":"Organization Science","DOI":"10.1287/orsc.1070.0288","ISSN":"1047-7039, 1526-5455","issue":"5","journalAbbreviation":"Organization Science","language":"en","page":"832-848","source":"DOI.org (Crossref)","title":"Technological Embeddedness and Organizational Change","volume":"18","author":[{"family":"Volkoff","given":"Olga"},{"family":"Strong","given":"Diane M."},{"family":"Elmes","given":"Michael B."}],"issued":{"date-parts":[["2007",10]]}},"suppress-author":true}],"schema":"https://github.com/citation-style-language/schema/raw/master/csl-citation.json"}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(2007)</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argues that there are material aspects introduced by technologies that impact organisational routines. These material aspects are claimed to be material properties of technologies that are inscribed into technological artefacts, and reflect the epistemological and ontological worldview of technology developers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{"citationID":"a1h5j7295j9","properties":{"formattedCitation":"(Jarrahi, 2015)","plainCitation":"(Jarrahi, 2015)","noteIndex":0},"citationItems":[{"id":172,"uris":["http://zotero.org/users/5709166/items/28EF9C6C"],"itemData":{"id":172,"type":"paper-conference","abstract":"This paper explores the role of digital and physical materiality in relation to the use of Fit bit activity tracking devices. Materiality concerns properties of a technology that transcend space, time, and particularities of the contexts. Our objective, in particular, is to examine how digital and physical properties may play a role in shaping user's perception and actions around the use of Fit bit devices. The primary findings are (1) both digital and physical material properties of the device together provide a material framework, which constrains and enables users' activities, and (2) both forms of materiality are contingent upon the design/form of the device. As a result the materiality of digital information cannot be studied without examining its entwining with the information technology that records, processes, shares, and represents it.","container-title":"2015 48th Hawaii International Conference on System Sciences","DOI":"10.1109/HICSS.2015.214","event-title":"2015 48th Hawaii International Conference on System Sciences","note":"ISSN: 1530-1605","page":"1768-1777","source":"IEEE Xplore","title":"Digital and Physical Materiality of Information Technologies: The Case of Fitbit Activity Tracking Devices","title-short":"Digital and Physical Materiality of Information Technologies","author":[{"family":"Jarrahi","given":"Mohammad Hossein"}],"issued":{"date-parts":[["2015",1]]}}}],"schema":"https://github.com/citation-style-language/schema/raw/master/csl-citation.json"}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(Jarrahi, 2015)</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Therefore, </w:t>
      </w:r>
      <w:bookmarkStart w:id="192" w:name="OLE_LINK424"/>
      <w:bookmarkStart w:id="193" w:name="OLE_LINK423"/>
      <w:r w:rsidRPr="00F153F6">
        <w:rPr>
          <w:rFonts w:ascii="Times New Roman" w:eastAsia="Times New Roman" w:hAnsi="Times New Roman" w:cs="Times New Roman"/>
          <w:iCs/>
          <w:color w:val="000000" w:themeColor="text1"/>
          <w:sz w:val="24"/>
          <w:szCs w:val="24"/>
        </w:rPr>
        <w:t xml:space="preserve">a materiality view of ICT artefacts refers to ICT’s digital or physical materials that “are arranged into particular forms that endure across differences in time and place” </w:t>
      </w:r>
      <w:bookmarkStart w:id="194" w:name="OLE_LINK142"/>
      <w:bookmarkStart w:id="195" w:name="OLE_LINK143"/>
      <w:bookmarkStart w:id="196" w:name="OLE_LINK148"/>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{"citationID":"a225u974uav","properties":{"formattedCitation":"(Leonardi et al., 2012, p. 29)","plainCitation":"(Leonardi et al., 2012, p. 29)","noteIndex":0},"citationItems":[{"id":174,"uris":["http://zotero.org/users/5709166/items/7TXSVG6N"],"itemData":{"id":174,"type":"book","abstract":"Ask a person on the street whether new technologies bring about important social change and you are likely to hear a resounding \"yes.\" But the answer is less definitive amongst academics who study technology and social practice. Scholarly writing has been heavily influenced by the ideology of technological determinism - the belief that some types or technologically driven social changes are inevitable and cannot be stopped. Rather than argue for or against notions of determinism, the authors in this book ask how the materiality (the arrangement of physical, digital, or rhetorical materials into particular forms that endure across differences in place and time) of technologies, ranging from computer-simulation tools and social media, to ranking devices and rumours, is actually implicated in the process of formal and informal organizing. The book builds a new theoretical framework to consider the important socio-technical changes confronting people's everyday experiences in and outside of work. Leading scholars in the field contribute original chapters examining the complex interactions between technology and the social, between artefact and humans. The discussion spans multiple disciplines, including management, information systems, informatics, communication, sociology, and the history of technology, and opens up a new area of research regarding the relationship between materiality and organizing.","ISBN":"978-0-19-164067-4","language":"en","note":"Google-Books-ID: SEdoAgAAQBAJ","number-of-pages":"380","publisher":"OUP Oxford","source":"Google Books","title":"Materiality and Organizing: Social Interaction in a Technological World","title-short":"Materiality and Organizing","author":[{"family":"Leonardi","given":"Paul M."},{"family":"Nardi","given":"Bonnie A."},{"family":"Kallinikos","given":"Jannis"}],"issued":{"date-parts":[["2012",11,22]]}},"locator":"29"}],"schema":"https://github.com/citation-style-language/schema/raw/master/csl-citation.json"}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(Leonardi et al., 2012, p. 29)</w:t>
      </w:r>
      <w:r w:rsidRPr="00F153F6">
        <w:rPr>
          <w:rFonts w:ascii="Times New Roman" w:hAnsi="Times New Roman" w:cs="Times New Roman"/>
          <w:color w:val="000000" w:themeColor="text1"/>
          <w:sz w:val="24"/>
          <w:szCs w:val="24"/>
        </w:rPr>
        <w:fldChar w:fldCharType="end"/>
      </w:r>
      <w:bookmarkEnd w:id="192"/>
      <w:bookmarkEnd w:id="193"/>
      <w:bookmarkEnd w:id="194"/>
      <w:bookmarkEnd w:id="195"/>
      <w:bookmarkEnd w:id="196"/>
      <w:r w:rsidRPr="00F153F6">
        <w:rPr>
          <w:rFonts w:ascii="Times New Roman" w:eastAsia="Times New Roman" w:hAnsi="Times New Roman" w:cs="Times New Roman"/>
          <w:iCs/>
          <w:color w:val="000000" w:themeColor="text1"/>
          <w:sz w:val="24"/>
          <w:szCs w:val="24"/>
        </w:rPr>
        <w:t xml:space="preserve">. In other words, the materiality view conceptualises ICT as technologies that have a fixed materiality and that their features will be available to all users in the same way. A materiality view of ICT </w:t>
      </w:r>
      <w:r w:rsidR="003D6A11" w:rsidRPr="00F153F6">
        <w:rPr>
          <w:rFonts w:ascii="Times New Roman" w:eastAsia="Times New Roman" w:hAnsi="Times New Roman" w:cs="Times New Roman"/>
          <w:iCs/>
          <w:color w:val="000000" w:themeColor="text1"/>
          <w:sz w:val="24"/>
          <w:szCs w:val="24"/>
        </w:rPr>
        <w:t>shows that ICT with its materiality can</w:t>
      </w:r>
      <w:r w:rsidRPr="00F153F6">
        <w:rPr>
          <w:rFonts w:ascii="Times New Roman" w:eastAsia="Times New Roman" w:hAnsi="Times New Roman" w:cs="Times New Roman"/>
          <w:iCs/>
          <w:color w:val="000000" w:themeColor="text1"/>
          <w:sz w:val="24"/>
          <w:szCs w:val="24"/>
        </w:rPr>
        <w:t xml:space="preserve"> facilitate knowledge </w:t>
      </w:r>
      <w:r w:rsidR="003D6A11" w:rsidRPr="00F153F6">
        <w:rPr>
          <w:rFonts w:ascii="Times New Roman" w:eastAsia="Times New Roman" w:hAnsi="Times New Roman" w:cs="Times New Roman"/>
          <w:iCs/>
          <w:color w:val="000000" w:themeColor="text1"/>
          <w:sz w:val="24"/>
          <w:szCs w:val="24"/>
        </w:rPr>
        <w:t>works in the same way that endure over time and space for all users</w:t>
      </w:r>
      <w:r w:rsidRPr="00F153F6">
        <w:rPr>
          <w:rFonts w:ascii="Times New Roman" w:eastAsia="Times New Roman" w:hAnsi="Times New Roman" w:cs="Times New Roman"/>
          <w:iCs/>
          <w:color w:val="000000" w:themeColor="text1"/>
          <w:sz w:val="24"/>
          <w:szCs w:val="24"/>
        </w:rPr>
        <w:t xml:space="preserve"> in collaborations. For example, Lee and Amjadi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{"citationID":"abrbh1v1r1","properties":{"formattedCitation":"(2014)","plainCitation":"(2014)","noteIndex":0},"citationItems":[{"id":169,"uris":["http://zotero.org/users/5709166/items/RCGCY69D"],"itemData":{"id":169,"type":"article-journal","container-title":"European Management Journal","DOI":"10.1016/j.emj.2014.01.004","ISSN":"02632373","issue":"5","journalAbbreviation":"European Management Journal","language":"en","page":"723-734","source":"DOI.org (Crossref)","title":"The role of materiality: Knowing through objects in work practice","title-short":"The role of materiality","volume":"32","author":[{"family":"Lee","given":"Ching-Fang"},{"family":"Amjadi","given":"Mansour"}],"issued":{"date-parts":[["2014",10]]}},"suppress-author":true}],"schema":"https://github.com/citation-style-language/schema/raw/master/csl-citation.json"}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(2014)</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argue that objects such as email or project management system have material knowing (e.g. activating interpretations, stimulating collaborative practices, and sparking experimental activities), and these </w:t>
      </w:r>
      <w:r w:rsidR="003D6A11" w:rsidRPr="00F153F6">
        <w:rPr>
          <w:rFonts w:ascii="Times New Roman" w:eastAsia="Times New Roman" w:hAnsi="Times New Roman" w:cs="Times New Roman"/>
          <w:iCs/>
          <w:color w:val="000000" w:themeColor="text1"/>
          <w:sz w:val="24"/>
          <w:szCs w:val="24"/>
        </w:rPr>
        <w:t xml:space="preserve">things can be used for all users to support their knowledge exchange works. </w:t>
      </w:r>
    </w:p>
    <w:p w14:paraId="53A5733B" w14:textId="77777777" w:rsidR="000543CB" w:rsidRPr="00F153F6" w:rsidRDefault="000543CB" w:rsidP="004424B4">
      <w:pPr>
        <w:spacing w:line="360" w:lineRule="auto"/>
        <w:jc w:val="both"/>
        <w:rPr>
          <w:rFonts w:ascii="Times New Roman" w:eastAsia="Times New Roman" w:hAnsi="Times New Roman" w:cs="Times New Roman"/>
          <w:iCs/>
          <w:color w:val="000000" w:themeColor="text1"/>
          <w:sz w:val="24"/>
          <w:szCs w:val="24"/>
        </w:rPr>
      </w:pPr>
    </w:p>
    <w:p w14:paraId="581AA25E" w14:textId="77777777" w:rsidR="002C1A2F" w:rsidRPr="00F153F6" w:rsidRDefault="002C1A2F" w:rsidP="000543CB">
      <w:pPr>
        <w:pStyle w:val="Heading3"/>
        <w:spacing w:line="360" w:lineRule="auto"/>
        <w:ind w:firstLine="720"/>
        <w:jc w:val="both"/>
        <w:rPr>
          <w:rFonts w:ascii="Times New Roman" w:hAnsi="Times New Roman" w:cs="Times New Roman"/>
          <w:b/>
          <w:color w:val="000000" w:themeColor="text1"/>
          <w:sz w:val="28"/>
          <w:szCs w:val="28"/>
        </w:rPr>
      </w:pPr>
      <w:bookmarkStart w:id="197" w:name="_Toc118371100"/>
      <w:bookmarkStart w:id="198" w:name="_Toc133252123"/>
      <w:r w:rsidRPr="00F153F6">
        <w:rPr>
          <w:rFonts w:ascii="Times New Roman" w:hAnsi="Times New Roman" w:cs="Times New Roman"/>
          <w:b/>
          <w:color w:val="000000" w:themeColor="text1"/>
          <w:sz w:val="28"/>
          <w:szCs w:val="28"/>
        </w:rPr>
        <w:t>2.5.5 Sociomateriality view</w:t>
      </w:r>
      <w:bookmarkEnd w:id="197"/>
      <w:bookmarkEnd w:id="198"/>
    </w:p>
    <w:p w14:paraId="28E475FB" w14:textId="44AEF8BE"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A sociomateriality view is proposed mainly to combat the problem that technology with only material properties cannot always bring predictable effects to organisational practices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{"citationID":"adbsgh40u","properties":{"formattedCitation":"(Leonardi et al., 2012)","plainCitation":"(Leonardi et al., 2012)","noteIndex":0},"citationItems":[{"id":174,"uris":["http://zotero.org/users/5709166/items/7TXSVG6N"],"itemData":{"id":174,"type":"book","abstract":"Ask a person on the street whether new technologies bring about important social change and you are likely to hear a resounding \"yes.\" But the answer is less definitive amongst academics who study technology and social practice. Scholarly writing has been heavily influenced by the ideology of technological determinism - the belief that some types or technologically driven social changes are inevitable and cannot be stopped. Rather than argue for or against notions of determinism, the authors in this book ask how the materiality (the arrangement of physical, digital, or rhetorical materials into particular forms that endure across differences in place and time) of technologies, ranging from computer-simulation tools and social media, to ranking devices and rumours, is actually implicated in the process of formal and informal organizing. The book builds a new theoretical framework to consider the important socio-technical changes confronting people's everyday experiences in and outside of work. Leading scholars in the field contribute original chapters examining the complex interactions between technology and the social, between artefact and humans. The discussion spans multiple disciplines, including management, information systems, informatics, communication, sociology, and the history of technology, and opens up a new area of research regarding the relationship between materiality and organizing.","ISBN":"978-0-19-164067-4","language":"en","note":"Google-Books-ID: SEdoAgAAQBAJ","number-of-pages":"380","publisher":"OUP Oxford","source":"Google Books","title":"Materiality and Organizing: Social Interaction in a Technological World","title-short":"Materiality and Organizing","author":[{"family":"Leonardi","given":"Paul M."},{"family":"Nardi","given":"Bonnie A."},{"family":"Kallinikos","given":"Jannis"}],"issued":{"date-parts":[["2012",11,22]]}}}],"schema":"https://github.com/citation-style-language/schema/raw/master/csl-citation.json"}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(Leonardi et al., 2012)</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Materiality takes on meaning and has effects as it becomes enmeshed in a variety of social phenomena. Therefore, all materiality should be considered as social, since materiality is created, interpreted and used in social processes </w:t>
      </w:r>
      <w:bookmarkStart w:id="199" w:name="OLE_LINK152"/>
      <w:bookmarkStart w:id="200" w:name="OLE_LINK153"/>
      <w:bookmarkStart w:id="201" w:name="OLE_LINK158"/>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{"citationID":"px4BQstA","properties":{"formattedCitation":"(Leonardi et al., 2012)","plainCitation":"(Leonardi et al., 2012)","noteIndex":0},"citationItems":[{"id":174,"uris":["http://zotero.org/users/5709166/items/7TXSVG6N"],"itemData":{"id":174,"type":"book","abstract":"Ask a person on the street whether new technologies bring about important social change and you are likely to hear a resounding \"yes.\" But the answer is less definitive amongst academics who study technology and social practice. Scholarly writing has been heavily influenced by the ideology of technological determinism - the belief that some types or technologically driven social changes are inevitable and cannot be stopped. Rather than argue for or against notions of determinism, the authors in this book ask how the materiality (the arrangement of physical, digital, or rhetorical materials into particular forms that endure across differences in place and time) of technologies, ranging from computer-simulation tools and social media, to ranking devices and rumours, is actually implicated in the process of formal and informal organizing. The book builds a new theoretical framework to consider the important socio-technical changes confronting people's everyday experiences in and outside of work. Leading scholars in the field contribute original chapters examining the complex interactions between technology and the social, between artefact and humans. The discussion spans multiple disciplines, including management, information systems, informatics, communication, sociology, and the history of technology, and opens up a new area of research regarding the relationship between materiality and organizing.","ISBN":"978-0-19-164067-4","language":"en","note":"Google-Books-ID: SEdoAgAAQBAJ","number-of-pages":"380","publisher":"OUP Oxford","source":"Google Books","title":"Materiality and Organizing: Social Interaction in a Technological World","title-short":"Materiality and Organizing","author":[{"family":"Leonardi","given":"Paul M."},{"family":"Nardi","given":"Bonnie A."},{"family":"Kallinikos","given":"Jannis"}],"issued":{"date-parts":[["2012",11,22]]}}}],"schema":"https://github.com/citation-style-language/schema/raw/master/csl-citation.json"}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(Leonardi et al., 2012)</w:t>
      </w:r>
      <w:r w:rsidRPr="00F153F6">
        <w:rPr>
          <w:rFonts w:ascii="Times New Roman" w:hAnsi="Times New Roman" w:cs="Times New Roman"/>
          <w:color w:val="000000" w:themeColor="text1"/>
          <w:sz w:val="24"/>
          <w:szCs w:val="24"/>
        </w:rPr>
        <w:fldChar w:fldCharType="end"/>
      </w:r>
      <w:bookmarkEnd w:id="199"/>
      <w:bookmarkEnd w:id="200"/>
      <w:bookmarkEnd w:id="201"/>
      <w:r w:rsidRPr="00F153F6">
        <w:rPr>
          <w:rFonts w:ascii="Times New Roman" w:eastAsia="Times New Roman" w:hAnsi="Times New Roman" w:cs="Times New Roman"/>
          <w:iCs/>
          <w:color w:val="000000" w:themeColor="text1"/>
          <w:sz w:val="24"/>
          <w:szCs w:val="24"/>
        </w:rPr>
        <w:t xml:space="preserve">. </w:t>
      </w:r>
      <w:bookmarkStart w:id="202" w:name="OLE_LINK149"/>
      <w:bookmarkStart w:id="203" w:name="OLE_LINK150"/>
      <w:r w:rsidRPr="00F153F6">
        <w:rPr>
          <w:rFonts w:ascii="Times New Roman" w:eastAsia="Times New Roman" w:hAnsi="Times New Roman" w:cs="Times New Roman"/>
          <w:iCs/>
          <w:color w:val="000000" w:themeColor="text1"/>
          <w:sz w:val="24"/>
          <w:szCs w:val="24"/>
        </w:rPr>
        <w:t>Sociomateriality indicates an enactment of a set of activities that meld materiality with social contexts</w:t>
      </w:r>
      <w:bookmarkEnd w:id="202"/>
      <w:bookmarkEnd w:id="203"/>
      <w:r w:rsidRPr="00F153F6">
        <w:rPr>
          <w:rFonts w:ascii="Times New Roman" w:eastAsia="Times New Roman"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{"citationID":"aons4gevcf","properties":{"formattedCitation":"(Ayoko &amp; Ashkanasy, 2019)","plainCitation":"(Ayoko &amp; Ashkanasy, 2019)","noteIndex":0},"citationItems":[{"id":165,"uris":["http://zotero.org/users/5709166/items/RHSM9WYI"],"itemData":{"id":165,"type":"book","abstract":"This book looks at how the physical environment of work shapes organizational behaviour, demonstrating that our physical surroundings at work can have a big influence on employee productivity, performance and wellbeing. Drawing upon the latest research, Organizational Behaviour and the Physical Environment provides comprehensive coverage of the different aspects of the physical environment at work – the buildings, furnishings, equipment, lighting, air quality and their configurations. From theories of psychological ownership and work design, to cultural issues and technology in the workplace, its international range of contributors provide voices from Australasia, North America, Europe and the Middle East. This book will be invaluable supplementary reading for advanced students, researchers and practitioners across the fields of organizational behaviour, HRM, organizational and environmental psychology, and workspace design.","ISBN":"978-1-351-68236-7","language":"en","note":"Google-Books-ID: QZqfDwAAQBAJ","number-of-pages":"654","publisher":"Routledge","source":"Google Books","title":"Organizational Behaviour and the Physical Environment","author":[{"family":"Ayoko","given":"Oluremi B."},{"family":"Ashkanasy","given":"Neal M."}],"issued":{"date-parts":[["2019",6,27]]}}}],"schema":"https://github.com/citation-style-language/schema/raw/master/csl-citation.json"}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(Ayoko &amp; Ashkanasy, 2019)</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 sociomateriality view thereby conceptualises ICT artefacts as technologies whose materiality is shaped by social practices, and the focus is on how materiality is intrinsic to organisational activities or relations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{"citationID":"a28252k1tdb","properties":{"formattedCitation":"(Orlikowski &amp; Scott, 2008)","plainCitation":"(Orlikowski &amp; Scott, 2008)","noteIndex":0},"citationItems":[{"id":164,"uris":["http://zotero.org/users/5709166/items/XA8SDBE7"],"itemData":{"id":164,"type":"article-journal","container-title":"Academy of Management Annals","DOI":"10.5465/19416520802211644","ISSN":"1941-6520, 1941-6067","issue":"1","journalAbbreviation":"ANNALS","language":"en","page":"433-474","source":"DOI.org (Crossref)","title":"Sociomateriality: Challenging the Separation of Technology, Work and Organization","title-short":"10 Sociomateriality","volume":"2","author":[{"family":"Orlikowski","given":"Wanda J."},{"family":"Scott","given":"Susan V."}],"issued":{"date-parts":[["2008",1]]}}}],"schema":"https://github.com/citation-style-language/schema/raw/master/csl-citation.json"}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(Orlikowski &amp; Scott, 2008)</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Technologies are constituted through the particular </w:t>
      </w:r>
      <w:bookmarkStart w:id="204" w:name="OLE_LINK154"/>
      <w:bookmarkStart w:id="205" w:name="OLE_LINK155"/>
      <w:r w:rsidRPr="00F153F6">
        <w:rPr>
          <w:rFonts w:ascii="Times New Roman" w:eastAsia="Times New Roman" w:hAnsi="Times New Roman" w:cs="Times New Roman"/>
          <w:iCs/>
          <w:color w:val="000000" w:themeColor="text1"/>
          <w:sz w:val="24"/>
          <w:szCs w:val="24"/>
        </w:rPr>
        <w:t xml:space="preserve">imbrication of social and material agencies </w:t>
      </w:r>
      <w:bookmarkEnd w:id="204"/>
      <w:bookmarkEnd w:id="205"/>
      <w:r w:rsidRPr="00F153F6">
        <w:rPr>
          <w:rFonts w:ascii="Times New Roman" w:eastAsia="Times New Roman" w:hAnsi="Times New Roman" w:cs="Times New Roman"/>
          <w:iCs/>
          <w:color w:val="000000" w:themeColor="text1"/>
          <w:sz w:val="24"/>
          <w:szCs w:val="24"/>
        </w:rPr>
        <w:t xml:space="preserve">in practice (i.e., sociomaterial practice)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{"citationID":"amqh3qte50","properties":{"formattedCitation":"(Leonardi, 2011b; Orlikowski, 2007)","plainCitation":"(Leonardi, 2011b; Orlikowski, 2007)","noteIndex":0},"citationItems":[{"id":159,"uris":["http://zotero.org/users/5709166/items/ZN9XZ2PS"],"itemData":{"id":159,"type":"article-journal","abstract":"Employees in many contemporary organizations work with flexible routines and flexible technologies. When those employees find that they are unable to achieve their goals in the current environment, how do they decide whether they should change the composition of their routines or the materiality of the technologies with which they work? The perspective advanced in this paper suggests that the answer to this question depends on how human and material agencies—the basic building blocks common to both routines and technologies—are imbricated. Imbrication of human and material agencies creates infrastructure in the form of routines and technologies that people use to carry out their work. Routine or technological infrastructure used at any given moment is the result of previous imbrications of human and material agencies. People draw on this infrastructure to construct a perception that a technology either constrains their ability to achieve their goals, or that the technology affords the possibility of achieving new goals. The case of a computer simulation technology for automotive design used to illustrate this framework suggests that perceptions of constraint lead people to change their technologies while perceptions of affordance lead people to change their routines. This imbrication metaphor is used to suggest how a human agency approach to technology can usefully incorporate notions of material agency into its explanations of organizational change.","archive":"JSTOR","container-title":"MIS Quarterly","DOI":"10.2307/23043493","ISSN":"0276-7783","issue":"1","note":"publisher: Management Information Systems Research Center, University of Minnesota","page":"147-167","source":"JSTOR","title":"When Flexible Routines Meet Flexible Technologies: Affordance, Constraint, and the Imbrication of Human and Material Agencies","title-short":"When Flexible Routines Meet Flexible Technologies","volume":"35","author":[{"family":"Leonardi","given":"Paul M."}],"issued":{"date-parts":[["2011"]]}}},{"id":160,"uris":["http://zotero.org/users/5709166/items/JBFUSMSV"],"itemData":{"id":160,"type":"article-journal","abstract":"In this essay, I begin with the premise that everyday organizing is inextricably bound up with materiality and contend that this relationship is inadequately reflected in organizational studies that tend to ignore it, take it for granted, or treat it as a special case. The result is an understanding of organizing and its conditions and consequences that is necessarily limited. I then argue for an alternative approach, one that posits the constitutive entanglement of the social and the material in everyday life. I draw on some empirical examples to help ground and illustrate this approach in practice and conclude by suggesting that a reconfiguration of our conventional assumptions and considerations of materiality will help us more effectively recognize and understand the multiple, emergent, and shifting sociomaterial assemblages entailed in contemporary organizing.","container-title":"Organization Studies","DOI":"10.1177/0170840607081138","ISSN":"0170-8406","issue":"9","journalAbbreviation":"Organization Studies","note":"publisher: SAGE Publications Ltd","page":"1435-1448","source":"SAGE Journals","title":"Sociomaterial Practices: Exploring Technology at Work","title-short":"Sociomaterial Practices","volume":"28","author":[{"family":"Orlikowski","given":"Wanda J."}],"issued":{"date-parts":[["2007",9,1]]}}}],"schema":"https://github.com/citation-style-language/schema/raw/master/csl-citation.json"}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(Leonardi, 2011; Orlikowski, 2007)</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Social agency </w:t>
      </w:r>
      <w:r w:rsidRPr="00F153F6">
        <w:rPr>
          <w:rFonts w:ascii="Times New Roman" w:eastAsia="Times New Roman" w:hAnsi="Times New Roman" w:cs="Times New Roman"/>
          <w:iCs/>
          <w:color w:val="000000" w:themeColor="text1"/>
          <w:sz w:val="24"/>
          <w:szCs w:val="24"/>
        </w:rPr>
        <w:lastRenderedPageBreak/>
        <w:t xml:space="preserve">refers to the coordinated human intentionality, formed in partial response to perceptions of technologies’ material agency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{"citationID":"a1mefmgobu0","properties":{"formattedCitation":"(Leonardi, 2013)","plainCitation":"(Leonardi, 2013)","noteIndex":0},"citationItems":[{"id":161,"uris":["http://zotero.org/users/5709166/items/2AD5MBTF"],"itemData":{"id":161,"type":"article-journal","abstract":"This paper compares two alternative theoretical foundations upon which the study of sociomateriality can be built: agential realism and critical realism. It begins by providing a brief overview of the sociomaterial perspective on organizational practices and considers why this perspective holds great appeal at this point in time. I then engage with Mutch's (2013) critique of the agential realist foundation upon which most current discussions of sociomateriality are constructed to highlight what practical problems are generated when authors attempt to map agential realism's philosophical discussion onto empirical phenomena. Next, I attempt to make explicit what Mutch leaves implicit in his paper: how building studies of sociomateriality on the theoretical foundation offered by critical realism can, potentially, overcome some of the practical problems created by a footing on agential realism. Finally, I push Mutch's arguments one step further to compare what practical consequences arise when researchers attempt to construct studies of sociomateriality on either of these two theoretical foundations. I suggest that there are important implications for what one can study, how one can study it, and how scholars can contribute to theory on technology and organizing based on the theoretical foundation they choose to build upon.","container-title":"Information and Organization","DOI":"10.1016/j.infoandorg.2013.02.002","ISSN":"1471-7727","issue":"2","journalAbbreviation":"Information and Organization","language":"en","page":"59-76","source":"ScienceDirect","title":"Theoretical foundations for the study of sociomateriality","volume":"23","author":[{"family":"Leonardi","given":"Paul M."}],"issued":{"date-parts":[["2013",4,1]]}}}],"schema":"https://github.com/citation-style-language/schema/raw/master/csl-citation.json"}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(Leonardi, 2013)</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Material agency is distinct from materiality in that materiality refers to the arrangement of physical or digital materials into particular forms, while material agency refers to the way in which technology’s materiality acts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{"citationID":"a1f08d0dkg6","properties":{"formattedCitation":"(Hassan, 2016)","plainCitation":"(Hassan, 2016)","noteIndex":0},"citationItems":[{"id":162,"uris":["http://zotero.org/users/5709166/items/HJ2GVD4L"],"itemData":{"id":162,"type":"article-journal","container-title":"The DATA BASE for Advances in Information Systems","title":"Editorial: A Brief History of the Material in Sociomateriality","URL":"https://dl.acm.org/doi/pdf/10.1145/3025099.3025101?casa_token=-u4TVQsn2l4AAAAA:oKv5LShjGy-flAJvbsKifm8J5EjN4dZprnQUT9r0pxbL83b8aU9mic2hT-WkVcH2HkQ9X4Bcm8fo","volume":"47","author":[{"family":"Hassan","given":"Nik Rushdi"}],"accessed":{"date-parts":[["2020",9,3]]},"issued":{"date-parts":[["2016"]]}}}],"schema":"https://github.com/citation-style-language/schema/raw/master/csl-citation.json"}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(Hassan, 2016)</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Materiality refers to the fixity of an artefact that will not change over contexts, while material agencies refer to the function of a technical artefact that will and often changes over different contexts depending on how people perceive the affordances and constraints of the artefact. The material agency and social agency are entangled and mutually constitute intra-action of ICT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{"citationID":"a1us6gvcclm","properties":{"formattedCitation":"(Barad, 2007)","plainCitation":"(Barad, 2007)","noteIndex":0},"citationItems":[{"id":163,"uris":["http://zotero.org/users/5709166/items/7VGM8HFV"],"itemData":{"id":163,"type":"book","abstract":"Meeting the Universe Halfway is an ambitious book with far-reaching implications for numerous fields in the natural sciences, social sciences, and humanities. In this volume, Karen Barad, theoretical physicist and feminist theorist, elaborates her theory of agential realism. Offering an account of the world as a whole rather than as composed of separate natural and social realms, agential realism is at once a new epistemology, ontology, and ethics. The starting point for Barad’s analysis is the philosophical framework of quantum physicist Niels Bohr. Barad extends and partially revises Bohr’s philosophical views in light of current scholarship in physics, science studies, and the philosophy of science as well as feminist, poststructuralist, and other critical social theories. In the process, she significantly reworks understandings of space, time, matter, causality, agency, subjectivity, and objectivity.In an agential realist account, the world is made of entanglements of “social” and “natural” agencies, where the distinction between the two emerges out of specific intra-actions. Intra-activity is an inexhaustible dynamism that configures and reconfigures relations of space-time-matter. In explaining intra-activity, Barad reveals questions about how nature and culture interact and change over time to be fundamentally misguided. And she reframes understanding of the nature of scientific and political practices and their “interrelationship.” Thus she pays particular attention to the responsible practice of science, and she emphasizes changes in the understanding of political practices, critically reworking Judith Butler’s influential theory of performativity. Finally, Barad uses agential realism to produce a new interpretation of quantum physics, demonstrating that agential realism is more than a means of reflecting on science; it can be used to actually do science.","ISBN":"978-0-8223-3917-5","language":"en","note":"Google-Books-ID: 4qYorOpfB6EC","number-of-pages":"548","publisher":"Duke University Press","source":"Google Books","title":"Meeting the Universe Halfway: Quantum Physics and the Entanglement of Matter and Meaning","title-short":"Meeting the Universe Halfway","author":[{"family":"Barad","given":"Karen"}],"issued":{"date-parts":[["2007",7,11]]}}}],"schema":"https://github.com/citation-style-language/schema/raw/master/csl-citation.json"}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(Barad, 2007)</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r w:rsidR="005E5673" w:rsidRPr="00F153F6">
        <w:rPr>
          <w:rFonts w:ascii="Times New Roman" w:eastAsia="Times New Roman" w:hAnsi="Times New Roman" w:cs="Times New Roman"/>
          <w:iCs/>
          <w:color w:val="000000" w:themeColor="text1"/>
          <w:sz w:val="24"/>
          <w:szCs w:val="24"/>
        </w:rPr>
        <w:t xml:space="preserve">Building on the view of sociomateriality, Orlikowski </w:t>
      </w:r>
      <w:r w:rsidR="005E5673" w:rsidRPr="00F153F6">
        <w:rPr>
          <w:rFonts w:ascii="Times New Roman" w:hAnsi="Times New Roman" w:cs="Times New Roman"/>
          <w:color w:val="000000" w:themeColor="text1"/>
          <w:sz w:val="24"/>
          <w:szCs w:val="24"/>
        </w:rPr>
        <w:fldChar w:fldCharType="begin"/>
      </w:r>
      <w:r w:rsidR="005E5673" w:rsidRPr="00F153F6">
        <w:rPr>
          <w:rFonts w:ascii="Times New Roman" w:eastAsia="Times New Roman" w:hAnsi="Times New Roman" w:cs="Times New Roman"/>
          <w:iCs/>
          <w:color w:val="000000" w:themeColor="text1"/>
          <w:sz w:val="24"/>
          <w:szCs w:val="24"/>
        </w:rPr>
        <w:instrText xml:space="preserve"> ADDIN ZOTERO_ITEM CSL_CITATION {"citationID":"a2q602navv3","properties":{"formattedCitation":"(2006)","plainCitation":"(2006)","noteIndex":0},"citationItems":[{"id":170,"uris":["http://zotero.org/users/5709166/items/LJEGGXSV"],"itemData":{"id":170,"type":"article-journal","container-title":"European Journal of Information Systems","DOI":"10.1057/palgrave.ejis.3000639","ISSN":"0960-085X, 1476-9344","issue":"5","journalAbbreviation":"European Journal of Information Systems","language":"en","page":"460-466","source":"DOI.org (Crossref)","title":"Material knowing: the scaffolding of human knowledgeability","title-short":"Material knowing","volume":"15","author":[{"family":"Orlikowski","given":"Wanda J"}],"issued":{"date-parts":[["2006",10]]}},"suppress-author":true}],"schema":"https://github.com/citation-style-language/schema/raw/master/csl-citation.json"} </w:instrText>
      </w:r>
      <w:r w:rsidR="005E5673" w:rsidRPr="00F153F6">
        <w:rPr>
          <w:rFonts w:ascii="Times New Roman" w:hAnsi="Times New Roman" w:cs="Times New Roman"/>
          <w:color w:val="000000" w:themeColor="text1"/>
          <w:sz w:val="24"/>
          <w:szCs w:val="24"/>
        </w:rPr>
        <w:fldChar w:fldCharType="separate"/>
      </w:r>
      <w:r w:rsidR="005E5673" w:rsidRPr="00F153F6">
        <w:rPr>
          <w:rFonts w:ascii="Times New Roman" w:hAnsi="Times New Roman" w:cs="Times New Roman"/>
          <w:color w:val="000000" w:themeColor="text1"/>
          <w:sz w:val="24"/>
          <w:szCs w:val="24"/>
        </w:rPr>
        <w:t>(2006)</w:t>
      </w:r>
      <w:r w:rsidR="005E5673" w:rsidRPr="00F153F6">
        <w:rPr>
          <w:rFonts w:ascii="Times New Roman" w:hAnsi="Times New Roman" w:cs="Times New Roman"/>
          <w:color w:val="000000" w:themeColor="text1"/>
          <w:sz w:val="24"/>
          <w:szCs w:val="24"/>
        </w:rPr>
        <w:fldChar w:fldCharType="end"/>
      </w:r>
      <w:r w:rsidR="005E5673" w:rsidRPr="00F153F6">
        <w:rPr>
          <w:rFonts w:ascii="Times New Roman" w:eastAsia="Times New Roman" w:hAnsi="Times New Roman" w:cs="Times New Roman"/>
          <w:iCs/>
          <w:color w:val="000000" w:themeColor="text1"/>
          <w:sz w:val="24"/>
          <w:szCs w:val="24"/>
        </w:rPr>
        <w:t xml:space="preserve"> argues that knowledge also can be viewed as </w:t>
      </w:r>
      <w:r w:rsidR="003D6A11" w:rsidRPr="00F153F6">
        <w:rPr>
          <w:rFonts w:ascii="Times New Roman" w:eastAsia="Times New Roman" w:hAnsi="Times New Roman" w:cs="Times New Roman"/>
          <w:iCs/>
          <w:color w:val="000000" w:themeColor="text1"/>
          <w:sz w:val="24"/>
          <w:szCs w:val="24"/>
        </w:rPr>
        <w:t xml:space="preserve">not only social but also </w:t>
      </w:r>
      <w:r w:rsidR="005E5673" w:rsidRPr="00F153F6">
        <w:rPr>
          <w:rFonts w:ascii="Times New Roman" w:eastAsia="Times New Roman" w:hAnsi="Times New Roman" w:cs="Times New Roman"/>
          <w:iCs/>
          <w:color w:val="000000" w:themeColor="text1"/>
          <w:sz w:val="24"/>
          <w:szCs w:val="24"/>
        </w:rPr>
        <w:t>material (material knowing).</w:t>
      </w:r>
    </w:p>
    <w:p w14:paraId="5F8ED88D" w14:textId="77777777" w:rsidR="002C1A2F" w:rsidRPr="00F153F6" w:rsidRDefault="002C1A2F" w:rsidP="004424B4">
      <w:pPr>
        <w:pStyle w:val="Heading3"/>
        <w:spacing w:line="360" w:lineRule="auto"/>
        <w:jc w:val="both"/>
        <w:rPr>
          <w:rFonts w:ascii="Times New Roman" w:hAnsi="Times New Roman" w:cs="Times New Roman"/>
          <w:b/>
          <w:color w:val="000000" w:themeColor="text1"/>
          <w:sz w:val="28"/>
          <w:szCs w:val="28"/>
        </w:rPr>
      </w:pPr>
      <w:bookmarkStart w:id="206" w:name="OLE_LINK134"/>
      <w:bookmarkStart w:id="207" w:name="OLE_LINK135"/>
      <w:bookmarkStart w:id="208" w:name="_Toc118371101"/>
      <w:bookmarkStart w:id="209" w:name="_Toc133252124"/>
      <w:r w:rsidRPr="00F153F6">
        <w:rPr>
          <w:rFonts w:ascii="Times New Roman" w:hAnsi="Times New Roman" w:cs="Times New Roman"/>
          <w:b/>
          <w:color w:val="000000" w:themeColor="text1"/>
          <w:sz w:val="28"/>
          <w:szCs w:val="28"/>
        </w:rPr>
        <w:t xml:space="preserve">2.5.6 Sociotechnical System </w:t>
      </w:r>
      <w:bookmarkEnd w:id="206"/>
      <w:bookmarkEnd w:id="207"/>
      <w:r w:rsidRPr="00F153F6">
        <w:rPr>
          <w:rFonts w:ascii="Times New Roman" w:hAnsi="Times New Roman" w:cs="Times New Roman"/>
          <w:b/>
          <w:color w:val="000000" w:themeColor="text1"/>
          <w:sz w:val="28"/>
          <w:szCs w:val="28"/>
        </w:rPr>
        <w:t>View</w:t>
      </w:r>
      <w:bookmarkEnd w:id="208"/>
      <w:bookmarkEnd w:id="209"/>
    </w:p>
    <w:p w14:paraId="2925FD82" w14:textId="0DCC9292"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bookmarkStart w:id="210" w:name="OLE_LINK144"/>
      <w:bookmarkStart w:id="211" w:name="OLE_LINK145"/>
      <w:r w:rsidRPr="00F153F6">
        <w:rPr>
          <w:rFonts w:ascii="Times New Roman" w:eastAsia="Times New Roman" w:hAnsi="Times New Roman" w:cs="Times New Roman"/>
          <w:iCs/>
          <w:color w:val="000000" w:themeColor="text1"/>
          <w:sz w:val="24"/>
          <w:szCs w:val="24"/>
        </w:rPr>
        <w:t xml:space="preserve">Technologies are always used in some specific context </w:t>
      </w:r>
      <w:bookmarkEnd w:id="210"/>
      <w:bookmarkEnd w:id="211"/>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{"citationID":"a281kob5gv4","properties":{"formattedCitation":"(Fuenfschilling &amp; Truffer, 2016)","plainCitation":"(Fuenfschilling &amp; Truffer, 2016)","noteIndex":0},"citationItems":[{"id":168,"uris":["http://zotero.org/users/5709166/items/3ZTBSBCH"],"itemData":{"id":168,"type":"article-journal","abstract":"Literature on socio-technical transitions has primarily emphasized the co-determination of institutions and technologies. In this paper, we want to focus on how actors play a mediating role between these two pillars of a socio-technical system. By introducing the theoretical concept of institutional work, we contribute to the conceptualization and empirical assessment of agency processes in socio-technical systems. We illustrate this approach by analyzing recent developments in the Australian urban water sector, where seawater desalination technology has experienced an unexpected, but rapid diffusion to all major cities, often interpreted as a reaction to a major multi-year drought. However, the drought broke and left all but one plant unused. This has led many commentators wonder how such a massive investment – which is likely to limit alternative development trajectories in the sector for the coming decades – could have happened so quickly and why other, potentially more sustainable technologies, have not been able to use the momentum of the crisis to break through. A comparative analysis between seawater desalination and its main rival wastewater recycling in regard to processes of institutional work provides valuable insight into how technology, actors and institutions mutually shaped each other.","container-title":"Technological Forecasting and Social Change","DOI":"10.1016/j.techfore.2015.11.023","ISSN":"0040-1625","journalAbbreviation":"Technological Forecasting and Social Change","language":"en","page":"298-312","source":"ScienceDirect","title":"The interplay of institutions, actors and technologies in socio-technical systems — An analysis of transformations in the Australian urban water sector","volume":"103","author":[{"family":"Fuenfschilling","given":"Lea"},{"family":"Truffer","given":"Bernhard"}],"issued":{"date-parts":[["2016",2,1]]}}}],"schema":"https://github.com/citation-style-language/schema/raw/master/csl-citation.json"}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(Fuenfschilling &amp; Truffer, 2016)</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This view conceptualises ICTs in terms of the technology itself and its social context. Information systems are involved in local contexts in which social actors and commitments can greatly shape the form of ICT artefacts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{"citationID":"a6vkasapa7","properties":{"formattedCitation":"(Kallinikos, 2002; Pozzebon &amp; Diniz, 2012)","plainCitation":"(Kallinikos, 2002; Pozzebon &amp; Diniz, 2012)","noteIndex":0},"citationItems":[{"id":273,"uris":["http://zotero.org/users/5709166/items/SSUAGUDR"],"itemData":{"id":273,"type":"article-journal","abstract":"The argument presented in this article is that the premises governing human-technology interaction partly derive from the distinctive ways by which each technology defines a domain of reference, and organizes and codifies knowledge and experience within it. While social in its origins and its implications, technology constitutes a distinct realm of human experience that is not reducible to social or institutional relations. Drawing on Goodman’s (1976, 1978) cognitive philosophy the article proposes a scheme for analyzing the very architecture of items and relations underlying the constitution of cognition-based artifacts. Such an analysis is used as a basis for inferring the malleability and negotiability of technologies and the forms by which they admit human involvement and participation.","language":"en","page":"8","source":"Zotero","title":"Reopening the Black Box of Technology Artifacts and Human Agency","author":[{"family":"Kallinikos","given":"Jannis"}],"issued":{"date-parts":[["2002"]]}}},{"id":271,"uris":["http://zotero.org/users/5709166/items/CH5ATWJF"],"itemData":{"id":271,"type":"article-journal","container-title":"BAR - Brazilian Administration Review","DOI":"10.1590/S1807-76922012000300004","ISSN":"1807-7692","issue":"3","language":"en","note":"publisher: Associação Nacional de Pós-Graduação e Pesquisa em Administração - ANPAD","page":"287-307","source":"SciELO","title":"Theorizing ICT and society in the Brazilian context: a multilevel, pluralistic and remixable framework","title-short":"Theorizing ICT and society in the Brazilian context","volume":"9","author":[{"family":"Pozzebon","given":"Marlei"},{"family":"Diniz","given":"Eduardo Henrique"}],"issued":{"date-parts":[["2012",9]]}}}],"schema":"https://github.com/citation-style-language/schema/raw/master/csl-citation.json"}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(Kallinikos, 2002; Pozzebon &amp; Diniz, 2012)</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t>Fuenfschilling and Truffer</w:t>
      </w:r>
      <w:r w:rsidRPr="00F153F6">
        <w:rPr>
          <w:rFonts w:ascii="Times New Roman" w:eastAsia="Times New Roman"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{"citationID":"a2o8mooub4q","properties":{"formattedCitation":"(2016)","plainCitation":"(2016)","noteIndex":0},"citationItems":[{"id":168,"uris":["http://zotero.org/users/5709166/items/3ZTBSBCH"],"itemData":{"id":168,"type":"article-journal","abstract":"Literature on socio-technical transitions has primarily emphasized the co-determination of institutions and technologies. In this paper, we want to focus on how actors play a mediating role between these two pillars of a socio-technical system. By introducing the theoretical concept of institutional work, we contribute to the conceptualization and empirical assessment of agency processes in socio-technical systems. We illustrate this approach by analyzing recent developments in the Australian urban water sector, where seawater desalination technology has experienced an unexpected, but rapid diffusion to all major cities, often interpreted as a reaction to a major multi-year drought. However, the drought broke and left all but one plant unused. This has led many commentators wonder how such a massive investment – which is likely to limit alternative development trajectories in the sector for the coming decades – could have happened so quickly and why other, potentially more sustainable technologies, have not been able to use the momentum of the crisis to break through. A comparative analysis between seawater desalination and its main rival wastewater recycling in regard to processes of institutional work provides valuable insight into how technology, actors and institutions mutually shaped each other.","container-title":"Technological Forecasting and Social Change","DOI":"10.1016/j.techfore.2015.11.023","ISSN":"0040-1625","journalAbbreviation":"Technological Forecasting and Social Change","language":"en","page":"298-312","source":"ScienceDirect","title":"The interplay of institutions, actors and technologies in socio-technical systems — An analysis of transformations in the Australian urban water sector","volume":"103","author":[{"family":"Fuenfschilling","given":"Lea"},{"family":"Truffer","given":"Bernhard"}],"issued":{"date-parts":[["2016",2,1]]}},"suppress-author":true}],"schema":"https://github.com/citation-style-language/schema/raw/master/csl-citation.json"}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(2016)</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argue that technology evolves with a social system that emphasises an institutional change, and a socio-technical system can reflect such co-alignment of technology and institutions. </w:t>
      </w:r>
      <w:bookmarkStart w:id="212" w:name="OLE_LINK426"/>
      <w:bookmarkStart w:id="213" w:name="OLE_LINK425"/>
      <w:r w:rsidRPr="00F153F6">
        <w:rPr>
          <w:rFonts w:ascii="Times New Roman" w:eastAsia="Times New Roman" w:hAnsi="Times New Roman" w:cs="Times New Roman"/>
          <w:iCs/>
          <w:color w:val="000000" w:themeColor="text1"/>
          <w:sz w:val="24"/>
          <w:szCs w:val="24"/>
        </w:rPr>
        <w:t xml:space="preserve">ICTs are thereby conceptualised as sociotechnical systems that encompass both a technical subsystem and a social subsystem </w:t>
      </w:r>
      <w:bookmarkStart w:id="214" w:name="OLE_LINK159"/>
      <w:bookmarkStart w:id="215" w:name="OLE_LINK160"/>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{"citationID":"T7QatEgh","properties":{"formattedCitation":"(Leonardi et al., 2012)","plainCitation":"(Leonardi et al., 2012)","noteIndex":0},"citationItems":[{"id":174,"uris":["http://zotero.org/users/5709166/items/7TXSVG6N"],"itemData":{"id":174,"type":"book","abstract":"Ask a person on the street whether new technologies bring about important social change and you are likely to hear a resounding \"yes.\" But the answer is less definitive amongst academics who study technology and social practice. Scholarly writing has been heavily influenced by the ideology of technological determinism - the belief that some types or technologically driven social changes are inevitable and cannot be stopped. Rather than argue for or against notions of determinism, the authors in this book ask how the materiality (the arrangement of physical, digital, or rhetorical materials into particular forms that endure across differences in place and time) of technologies, ranging from computer-simulation tools and social media, to ranking devices and rumours, is actually implicated in the process of formal and informal organizing. The book builds a new theoretical framework to consider the important socio-technical changes confronting people's everyday experiences in and outside of work. Leading scholars in the field contribute original chapters examining the complex interactions between technology and the social, between artefact and humans. The discussion spans multiple disciplines, including management, information systems, informatics, communication, sociology, and the history of technology, and opens up a new area of research regarding the relationship between materiality and organizing.","ISBN":"978-0-19-164067-4","language":"en","note":"Google-Books-ID: SEdoAgAAQBAJ","number-of-pages":"380","publisher":"OUP Oxford","source":"Google Books","title":"Materiality and Organizing: Social Interaction in a Technological World","title-short":"Materiality and Organizing","author":[{"family":"Leonardi","given":"Paul M."},{"family":"Nardi","given":"Bonnie A."},{"family":"Kallinikos","given":"Jannis"}],"issued":{"date-parts":[["2012",11,22]]}}}],"schema":"https://github.com/citation-style-language/schema/raw/master/csl-citation.json"}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(Leonardi et al., 2012)</w:t>
      </w:r>
      <w:r w:rsidRPr="00F153F6">
        <w:rPr>
          <w:rFonts w:ascii="Times New Roman" w:hAnsi="Times New Roman" w:cs="Times New Roman"/>
          <w:color w:val="000000" w:themeColor="text1"/>
          <w:sz w:val="24"/>
          <w:szCs w:val="24"/>
        </w:rPr>
        <w:fldChar w:fldCharType="end"/>
      </w:r>
      <w:bookmarkEnd w:id="214"/>
      <w:bookmarkEnd w:id="215"/>
      <w:r w:rsidRPr="00F153F6">
        <w:rPr>
          <w:rFonts w:ascii="Times New Roman" w:eastAsia="Times New Roman" w:hAnsi="Times New Roman" w:cs="Times New Roman"/>
          <w:iCs/>
          <w:color w:val="000000" w:themeColor="text1"/>
          <w:sz w:val="24"/>
          <w:szCs w:val="24"/>
        </w:rPr>
        <w:t>. A technical subsystem refers to the ICT artefact</w:t>
      </w:r>
      <w:r w:rsidR="006537A3" w:rsidRPr="00F153F6">
        <w:rPr>
          <w:rFonts w:ascii="Times New Roman" w:eastAsia="Times New Roman" w:hAnsi="Times New Roman" w:cs="Times New Roman"/>
          <w:iCs/>
          <w:color w:val="000000" w:themeColor="text1"/>
          <w:sz w:val="24"/>
          <w:szCs w:val="24"/>
        </w:rPr>
        <w:t xml:space="preserve"> and the tasks conducted by engaging the artefacts (i.e., sociomaterial practices)</w:t>
      </w:r>
      <w:r w:rsidRPr="00F153F6">
        <w:rPr>
          <w:rFonts w:ascii="Times New Roman" w:eastAsia="Times New Roman" w:hAnsi="Times New Roman" w:cs="Times New Roman"/>
          <w:iCs/>
          <w:color w:val="000000" w:themeColor="text1"/>
          <w:sz w:val="24"/>
          <w:szCs w:val="24"/>
        </w:rPr>
        <w:t xml:space="preserve">. A social subsystem refers to the unfolding social constructions in relation to institutions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{"citationID":"JwLw4wiW","properties":{"formattedCitation":"(Fuenfschilling &amp; Truffer, 2016)","plainCitation":"(Fuenfschilling &amp; Truffer, 2016)","noteIndex":0},"citationItems":[{"id":168,"uris":["http://zotero.org/users/5709166/items/3ZTBSBCH"],"itemData":{"id":168,"type":"article-journal","abstract":"Literature on socio-technical transitions has primarily emphasized the co-determination of institutions and technologies. In this paper, we want to focus on how actors play a mediating role between these two pillars of a socio-technical system. By introducing the theoretical concept of institutional work, we contribute to the conceptualization and empirical assessment of agency processes in socio-technical systems. We illustrate this approach by analyzing recent developments in the Australian urban water sector, where seawater desalination technology has experienced an unexpected, but rapid diffusion to all major cities, often interpreted as a reaction to a major multi-year drought. However, the drought broke and left all but one plant unused. This has led many commentators wonder how such a massive investment – which is likely to limit alternative development trajectories in the sector for the coming decades – could have happened so quickly and why other, potentially more sustainable technologies, have not been able to use the momentum of the crisis to break through. A comparative analysis between seawater desalination and its main rival wastewater recycling in regard to processes of institutional work provides valuable insight into how technology, actors and institutions mutually shaped each other.","container-title":"Technological Forecasting and Social Change","DOI":"10.1016/j.techfore.2015.11.023","ISSN":"0040-1625","journalAbbreviation":"Technological Forecasting and Social Change","language":"en","page":"298-312","source":"ScienceDirect","title":"The interplay of institutions, actors and technologies in socio-technical systems — An analysis of transformations in the Australian urban water sector","volume":"103","author":[{"family":"Fuenfschilling","given":"Lea"},{"family":"Truffer","given":"Bernhard"}],"issued":{"date-parts":[["2016",2,1]]}}}],"schema":"https://github.com/citation-style-language/schema/raw/master/csl-citation.json"}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(Fuenfschilling &amp; Truffer, 2016)</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i.e., how communication patterns, hierarchies or power relations change as people relate to each other.</w:t>
      </w:r>
      <w:bookmarkEnd w:id="212"/>
      <w:bookmarkEnd w:id="213"/>
      <w:r w:rsidRPr="00F153F6">
        <w:rPr>
          <w:rFonts w:ascii="Times New Roman" w:eastAsia="Times New Roman" w:hAnsi="Times New Roman" w:cs="Times New Roman"/>
          <w:iCs/>
          <w:color w:val="000000" w:themeColor="text1"/>
          <w:sz w:val="24"/>
          <w:szCs w:val="24"/>
        </w:rPr>
        <w:t xml:space="preserve"> A sociotechnical system view raises the degree of a technical subsystem to a macro-level understanding. Studies adopting this view focus on how properties of social subsystem (e.g. norms, rules) can be strengthened through an imbrication of material agencies and social agencies in technical subsystem of ICT towards a ‘joint optimisation’ </w:t>
      </w:r>
      <w:bookmarkStart w:id="216" w:name="OLE_LINK163"/>
      <w:bookmarkStart w:id="217" w:name="OLE_LINK164"/>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{"citationID":"JEugJX2X","properties":{"formattedCitation":"(Leonardi et al., 2012)","plainCitation":"(Leonardi et al., 2012)","noteIndex":0},"citationItems":[{"id":174,"uris":["http://zotero.org/users/5709166/items/7TXSVG6N"],"itemData":{"id":174,"type":"book","abstract":"Ask a person on the street whether new technologies bring about important social change and you are likely to hear a resounding \"yes.\" But the answer is less definitive amongst academics who study technology and social practice. Scholarly writing has been heavily influenced by the ideology of technological determinism - the belief that some types or technologically driven social changes are inevitable and cannot be stopped. Rather than argue for or against notions of determinism, the authors in this book ask how the materiality (the arrangement of physical, digital, or rhetorical materials into particular forms that endure across differences in place and time) of technologies, ranging from computer-simulation tools and social media, to ranking devices and rumours, is actually implicated in the process of formal and informal organizing. The book builds a new theoretical framework to consider the important socio-technical changes confronting people's everyday experiences in and outside of work. Leading scholars in the field contribute original chapters examining the complex interactions between technology and the social, between artefact and humans. The discussion spans multiple disciplines, including management, information systems, informatics, communication, sociology, and the history of technology, and opens up a new area of research regarding the relationship between materiality and organizing.","ISBN":"978-0-19-164067-4","language":"en","note":"Google-Books-ID: SEdoAgAAQBAJ","number-of-pages":"380","publisher":"OUP Oxford","source":"Google Books","title":"Materiality and Organizing: Social Interaction in a Technological World","title-short":"Materiality and Organizing","author":[{"family":"Leonardi","given":"Paul M."},{"family":"Nardi","given":"Bonnie A."},{"family":"Kallinikos","given":"Jannis"}],"issued":{"date-parts":[["2012",11,22]]}}}],"schema":"https://github.com/citation-style-language/schema/raw/master/csl-citation.json"}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(Leonardi et al., 2012)</w:t>
      </w:r>
      <w:r w:rsidRPr="00F153F6">
        <w:rPr>
          <w:rFonts w:ascii="Times New Roman" w:hAnsi="Times New Roman" w:cs="Times New Roman"/>
          <w:color w:val="000000" w:themeColor="text1"/>
          <w:sz w:val="24"/>
          <w:szCs w:val="24"/>
        </w:rPr>
        <w:fldChar w:fldCharType="end"/>
      </w:r>
      <w:bookmarkEnd w:id="216"/>
      <w:bookmarkEnd w:id="217"/>
      <w:r w:rsidRPr="00F153F6">
        <w:rPr>
          <w:rFonts w:ascii="Times New Roman" w:eastAsia="Times New Roman" w:hAnsi="Times New Roman" w:cs="Times New Roman"/>
          <w:iCs/>
          <w:color w:val="000000" w:themeColor="text1"/>
          <w:sz w:val="24"/>
          <w:szCs w:val="24"/>
        </w:rPr>
        <w:t xml:space="preserve">. Studies embracing this view consider ICT artefacts as </w:t>
      </w:r>
      <w:r w:rsidR="006537A3" w:rsidRPr="00F153F6">
        <w:rPr>
          <w:rFonts w:ascii="Times New Roman" w:eastAsia="Times New Roman" w:hAnsi="Times New Roman" w:cs="Times New Roman"/>
          <w:iCs/>
          <w:color w:val="000000" w:themeColor="text1"/>
          <w:sz w:val="24"/>
          <w:szCs w:val="24"/>
        </w:rPr>
        <w:t>embedded into</w:t>
      </w:r>
      <w:r w:rsidRPr="00F153F6">
        <w:rPr>
          <w:rFonts w:ascii="Times New Roman" w:eastAsia="Times New Roman" w:hAnsi="Times New Roman" w:cs="Times New Roman"/>
          <w:iCs/>
          <w:color w:val="000000" w:themeColor="text1"/>
          <w:sz w:val="24"/>
          <w:szCs w:val="24"/>
        </w:rPr>
        <w:t xml:space="preserve"> both technical</w:t>
      </w:r>
      <w:r w:rsidR="006537A3" w:rsidRPr="00F153F6">
        <w:rPr>
          <w:rFonts w:ascii="Times New Roman" w:eastAsia="Times New Roman" w:hAnsi="Times New Roman" w:cs="Times New Roman"/>
          <w:iCs/>
          <w:color w:val="000000" w:themeColor="text1"/>
          <w:sz w:val="24"/>
          <w:szCs w:val="24"/>
        </w:rPr>
        <w:t xml:space="preserve"> system</w:t>
      </w:r>
      <w:r w:rsidRPr="00F153F6">
        <w:rPr>
          <w:rFonts w:ascii="Times New Roman" w:eastAsia="Times New Roman" w:hAnsi="Times New Roman" w:cs="Times New Roman"/>
          <w:iCs/>
          <w:color w:val="000000" w:themeColor="text1"/>
          <w:sz w:val="24"/>
          <w:szCs w:val="24"/>
        </w:rPr>
        <w:t xml:space="preserve"> and social </w:t>
      </w:r>
      <w:r w:rsidR="006537A3" w:rsidRPr="00F153F6">
        <w:rPr>
          <w:rFonts w:ascii="Times New Roman" w:eastAsia="Times New Roman" w:hAnsi="Times New Roman" w:cs="Times New Roman"/>
          <w:iCs/>
          <w:color w:val="000000" w:themeColor="text1"/>
          <w:sz w:val="24"/>
          <w:szCs w:val="24"/>
        </w:rPr>
        <w:t>system towards a joint optimisation</w:t>
      </w:r>
      <w:r w:rsidRPr="00F153F6">
        <w:rPr>
          <w:rFonts w:ascii="Times New Roman" w:eastAsia="Times New Roman" w:hAnsi="Times New Roman" w:cs="Times New Roman"/>
          <w:iCs/>
          <w:color w:val="000000" w:themeColor="text1"/>
          <w:sz w:val="24"/>
          <w:szCs w:val="24"/>
        </w:rPr>
        <w:t xml:space="preserve">. </w:t>
      </w:r>
    </w:p>
    <w:p w14:paraId="161DD240" w14:textId="77777777" w:rsidR="000543CB" w:rsidRPr="00F153F6" w:rsidRDefault="000543CB" w:rsidP="004424B4">
      <w:pPr>
        <w:spacing w:line="360" w:lineRule="auto"/>
        <w:jc w:val="both"/>
        <w:rPr>
          <w:rFonts w:ascii="Times New Roman" w:eastAsia="Times New Roman" w:hAnsi="Times New Roman" w:cs="Times New Roman"/>
          <w:iCs/>
          <w:color w:val="000000" w:themeColor="text1"/>
          <w:sz w:val="24"/>
          <w:szCs w:val="24"/>
        </w:rPr>
      </w:pPr>
    </w:p>
    <w:p w14:paraId="317B2E8F" w14:textId="77777777" w:rsidR="002C1A2F" w:rsidRPr="00F153F6" w:rsidRDefault="002C1A2F" w:rsidP="000543CB">
      <w:pPr>
        <w:pStyle w:val="Heading3"/>
        <w:spacing w:line="360" w:lineRule="auto"/>
        <w:ind w:firstLine="720"/>
        <w:jc w:val="both"/>
        <w:rPr>
          <w:rFonts w:ascii="Times New Roman" w:hAnsi="Times New Roman" w:cs="Times New Roman"/>
          <w:b/>
          <w:color w:val="000000" w:themeColor="text1"/>
          <w:sz w:val="28"/>
          <w:szCs w:val="28"/>
        </w:rPr>
      </w:pPr>
      <w:bookmarkStart w:id="218" w:name="_Toc118371102"/>
      <w:bookmarkStart w:id="219" w:name="_Toc133252125"/>
      <w:r w:rsidRPr="00F153F6">
        <w:rPr>
          <w:rFonts w:ascii="Times New Roman" w:hAnsi="Times New Roman" w:cs="Times New Roman"/>
          <w:b/>
          <w:color w:val="000000" w:themeColor="text1"/>
          <w:sz w:val="28"/>
          <w:szCs w:val="28"/>
        </w:rPr>
        <w:lastRenderedPageBreak/>
        <w:t>2.5.7 Affordance View</w:t>
      </w:r>
      <w:bookmarkEnd w:id="218"/>
      <w:bookmarkEnd w:id="219"/>
    </w:p>
    <w:p w14:paraId="6F597B5A" w14:textId="5F1AAA53" w:rsidR="005E5673" w:rsidRPr="00F153F6" w:rsidRDefault="002C1A2F" w:rsidP="005E5673">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An affordance view considers ICT as having properties that afford goal-directed actors certain action possibilities to meet their goals </w:t>
      </w:r>
      <w:r w:rsidRPr="00F153F6">
        <w:rPr>
          <w:rFonts w:ascii="Times New Roman" w:hAnsi="Times New Roman" w:cs="Times New Roman"/>
          <w:color w:val="000000" w:themeColor="text1"/>
          <w:sz w:val="24"/>
          <w:szCs w:val="24"/>
        </w:rPr>
        <w:fldChar w:fldCharType="begin"/>
      </w:r>
      <w:r w:rsidR="00F56D3B" w:rsidRPr="00F153F6">
        <w:rPr>
          <w:rFonts w:ascii="Times New Roman" w:eastAsia="Times New Roman" w:hAnsi="Times New Roman" w:cs="Times New Roman"/>
          <w:iCs/>
          <w:color w:val="000000" w:themeColor="text1"/>
          <w:sz w:val="24"/>
          <w:szCs w:val="24"/>
        </w:rPr>
        <w:instrText xml:space="preserve"> ADDIN ZOTERO_ITEM CSL_CITATION {"citationID":"OeZfLTKv","properties":{"formattedCitation":"(Volkoff &amp; Strong, 2017)","plainCitation":"(Volkoff &amp; Strong, 2017)","noteIndex":0},"citationItems":[{"id":10198,"uris":["http://zotero.org/users/5709166/items/BDAFLBCH"],"itemData":{"id":10198,"type":"chapter","abstract":"In this chapter we provide an overview of Affordance Theory, and provide guidance to IS researchers on how to use it properly and productively in their research. We start by examining the core features of Gibson’s original theory and considering some of the challenges we encounter when translating it from ecological psychology to IS. We then distill these observations into six principles for appropriately applying an affordance lens for IS research, after which we discuss three unresolved issues and our views on how these might be addressed. The chapter then comments on the critical realist underpinnings of affordance theory, and how researchers who are not critical realists might utilize an affordance lens nonetheless. It concludes by identifying research opportunities enabled by the application of an affordance lens, and the observation that by finally having a tool that allows us to include the IT artifact appropriately, our theories become of real value to practitioners.","container-title":"The Routledge Companion to Management Information Systems","edition":"1","event-place":"Abingdon, Oxon ; New York, NY : Routledge, 2017.","ISBN":"978-1-315-61936-1","language":"en","note":"DOI: 10.4324/9781315619361-18","page":"232-245","publisher":"Routledge","publisher-place":"Abingdon, Oxon ; New York, NY : Routledge, 2017.","source":"DOI.org (Crossref)","title":"Affordance theory and how to use it in IS research","URL":"https://www.taylorfrancis.com/books/9781317213727/chapters/10.4324/9781315619361-18","editor":[{"family":"Galliers","given":"Robert D."},{"family":"Stein","given":"Mari-Klara"}],"author":[{"family":"Volkoff","given":"Olga"},{"family":"Strong","given":"Diane M."}],"accessed":{"date-parts":[["2022",8,22]]},"issued":{"date-parts":[["2017",8,15]]}}}],"schema":"https://github.com/citation-style-language/schema/raw/master/csl-citation.json"}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(Volkoff &amp; Strong, 2017)</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Affordances are perceived as action possibilities that ICT afford actors to achieve their goals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{"citationID":"aftion079f","properties":{"formattedCitation":"(Fayard &amp; Weeks, 2014)","plainCitation":"(Fayard &amp; Weeks, 2014)","noteIndex":0},"citationItems":[{"id":9981,"uris":["http://zotero.org/users/5709166/items/BY6HE559"],"itemData":{"id":9981,"type":"article-journal","abstract":"This paper argues that Gibson's concept of affordance inserts a powerful conceptual lens for the study of sociomateriality as enacted in contemporary organizational practices. Our objective in this paper is to develop a comprehensive view of affordances that builds upon the existing conceptualizations in the psychology, human–computer interaction, sociology and information systems literatures and extend them in three important ways. First, we show that taking an integrative interpretation of affordance as dispositional and relational, rather than the standard unidimensional interpretation, provides a theoretical articulation of how the material and the social influence each other. Second, we propose to broaden the focus from the affordances of technology to the affordances for practice provided jointly by technology and organizing. This means considering social affordances alongside technological affordances. Finally, we argue that the best way to integrate the study of social and technological affordances is not to stretch Gibson's original concept to include the social but rather to complement it with a sociological concept that fits it neatly: Bourdieu's idea of habitus. Our claim is that the concepts of affordance and habitus complement and complete each other. Affordance offers a useful way of thinking about how practice is patterned by the social and physical construction of technology and the material environment and habitus offers a useful way of thinking about how practice is patterned by social and symbolic structures. We describe how affordances and habitus may be used together to provide a theoretical apparatus to study practice as a sociomaterial entanglement, thus adding to the methodological toolkit of scholars embracing a sociomaterial perspectives.","container-title":"Information and Organization","DOI":"10.1016/j.infoandorg.2014.10.001","ISSN":"1471-7727","issue":"4","journalAbbreviation":"Information and Organization","language":"en","page":"236-249","source":"ScienceDirect","title":"Affordances for practice","volume":"24","author":[{"family":"Fayard","given":"Anne-Laure"},{"family":"Weeks","given":"John"}],"issued":{"date-parts":[["2014",10,1]]}}}],"schema":"https://github.com/citation-style-language/schema/raw/master/csl-citation.json"}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(Fayard &amp; Weeks, 2014)</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As a relational construct, ICT affordances only exist in the relation between actors and ICTs – how actors with a certain purpose may perceive an ICT in terms of how it can be used </w:t>
      </w:r>
      <w:r w:rsidRPr="00F153F6">
        <w:rPr>
          <w:rFonts w:ascii="Times New Roman" w:hAnsi="Times New Roman" w:cs="Times New Roman"/>
          <w:color w:val="000000" w:themeColor="text1"/>
          <w:sz w:val="24"/>
          <w:szCs w:val="24"/>
        </w:rPr>
        <w:fldChar w:fldCharType="begin"/>
      </w:r>
      <w:r w:rsidR="00B73834" w:rsidRPr="00F153F6">
        <w:rPr>
          <w:rFonts w:ascii="Times New Roman" w:eastAsia="Times New Roman" w:hAnsi="Times New Roman" w:cs="Times New Roman"/>
          <w:iCs/>
          <w:color w:val="000000" w:themeColor="text1"/>
          <w:sz w:val="24"/>
          <w:szCs w:val="24"/>
        </w:rPr>
        <w:instrText xml:space="preserve"> ADDIN ZOTERO_ITEM CSL_CITATION {"citationID":"a1iq8k0oqrq","properties":{"formattedCitation":"(C. B. Gibson et al., 2021)","plainCitation":"(C. B. Gibson et al., 2021)","dontUpdate":true,"noteIndex":0},"citationItems":[{"id":9799,"uris":["http://zotero.org/users/5709166/items/2MGCEYF6"],"itemData":{"id":9799,"type":"article-journal","abstract":"Despite the dynamic nature of knowledge-related activities and the availability of a variety of communication technologies, many global teams habitually use technology in the same way across activities. However, as teams move through cycles of accumulating, integrating, and implementing knowledge, the purposes for communication technologies change. Current theorizing and empirical work on team knowledge management has yet to develop a dynamic theory that incorporates these changes. By conducting a multiwave, mixed method analysis of 48 global teams, we develop a theory of how global teams sustain effectiveness through technology affordance processes. We found that effective teams are those that recognize cues indicating change is necessary and coevolve a symbiosis between new activities, new purposes for interaction, and new uses of communication technologies. This coevolution of purpose with technology use forms new affordances, which enable the team to move on to new knowledge management activities and sustain effectiveness. Our theory more realistically models the dynamics of staying connected while sharing, combining, and implementing knowledge across the globe.","container-title":"Organization Science","DOI":"10.1287/orsc.2021.1478","ISSN":"1047-7039, 1526-5455","journalAbbreviation":"Organization Science","language":"en","page":"orsc.2021.1478","source":"DOI.org (Crossref)","title":"Sustaining Effectiveness in Global Teams: The Coevolution of Knowledge Management Activities and Technology Affordances","title-short":"Sustaining Effectiveness in Global Teams","author":[{"family":"Gibson","given":"Cristina B."},{"family":"Dunlop","given":"Patrick D."},{"family":"Majchrzak","given":"Ann"},{"family":"Chia","given":"Terence"}],"issued":{"date-parts":[["2021",8,11]]}}}],"schema":"https://github.com/citation-style-language/schema/raw/master/csl-citation.json"}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(Gibson et al., 2021)</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w:t>
      </w:r>
      <w:r w:rsidR="00245D41" w:rsidRPr="00F153F6">
        <w:rPr>
          <w:rFonts w:ascii="Times New Roman" w:eastAsia="Times New Roman" w:hAnsi="Times New Roman" w:cs="Times New Roman"/>
          <w:iCs/>
          <w:color w:val="000000" w:themeColor="text1"/>
          <w:sz w:val="24"/>
          <w:szCs w:val="24"/>
        </w:rPr>
        <w:t xml:space="preserve"> </w:t>
      </w:r>
      <w:r w:rsidR="005E5673" w:rsidRPr="00F153F6">
        <w:rPr>
          <w:rFonts w:ascii="Times New Roman" w:eastAsia="Times New Roman" w:hAnsi="Times New Roman" w:cs="Times New Roman"/>
          <w:iCs/>
          <w:color w:val="000000" w:themeColor="text1"/>
          <w:sz w:val="24"/>
          <w:szCs w:val="24"/>
        </w:rPr>
        <w:t xml:space="preserve">In light of Affordance Theory, defined as “the acts or behaviours that are afforded or permitted by an object, place, or event” </w:t>
      </w:r>
      <w:r w:rsidR="005E5673" w:rsidRPr="00F153F6">
        <w:rPr>
          <w:rFonts w:ascii="Times New Roman" w:hAnsi="Times New Roman" w:cs="Times New Roman"/>
          <w:color w:val="000000" w:themeColor="text1"/>
          <w:sz w:val="24"/>
          <w:szCs w:val="24"/>
        </w:rPr>
        <w:fldChar w:fldCharType="begin"/>
      </w:r>
      <w:r w:rsidR="005E5673" w:rsidRPr="00F153F6">
        <w:rPr>
          <w:rFonts w:ascii="Times New Roman" w:eastAsia="Times New Roman" w:hAnsi="Times New Roman" w:cs="Times New Roman"/>
          <w:iCs/>
          <w:color w:val="000000" w:themeColor="text1"/>
          <w:sz w:val="24"/>
          <w:szCs w:val="24"/>
        </w:rPr>
        <w:instrText xml:space="preserve"> ADDIN ZOTERO_ITEM CSL_CITATION {"citationID":"a1gh7kc65dr","properties":{"formattedCitation":"(Michaels &amp; Carello, 1981, p. 17)","plainCitation":"(Michaels &amp; Carello, 1981, p. 17)","noteIndex":0},"citationItems":[{"id":149,"uris":["http://zotero.org/users/5709166/items/856L8ETM"],"itemData":{"id":149,"type":"book","call-number":"BF311 .M496","collection-title":"Century psychology series","event-place":"Englewood Cliffs, N.J","ISBN":"978-0-13-214791-0","language":"en","number-of-pages":"200","publisher":"Prentice-Hall","publisher-place":"Englewood Cliffs, N.J","source":"Library of Congress ISBN","title":"Direct perception","author":[{"family":"Michaels","given":"Claire F."},{"family":"Carello","given":"Claudia"}],"issued":{"date-parts":[["1981"]]}},"locator":"17"}],"schema":"https://github.com/citation-style-language/schema/raw/master/csl-citation.json"} </w:instrText>
      </w:r>
      <w:r w:rsidR="005E5673" w:rsidRPr="00F153F6">
        <w:rPr>
          <w:rFonts w:ascii="Times New Roman" w:hAnsi="Times New Roman" w:cs="Times New Roman"/>
          <w:color w:val="000000" w:themeColor="text1"/>
          <w:sz w:val="24"/>
          <w:szCs w:val="24"/>
        </w:rPr>
        <w:fldChar w:fldCharType="separate"/>
      </w:r>
      <w:r w:rsidR="005E5673" w:rsidRPr="00F153F6">
        <w:rPr>
          <w:rFonts w:ascii="Times New Roman" w:hAnsi="Times New Roman" w:cs="Times New Roman"/>
          <w:color w:val="000000" w:themeColor="text1"/>
          <w:sz w:val="24"/>
          <w:szCs w:val="24"/>
        </w:rPr>
        <w:t>(Michaels &amp; Carello, 1981, p. 17)</w:t>
      </w:r>
      <w:r w:rsidR="005E5673" w:rsidRPr="00F153F6">
        <w:rPr>
          <w:rFonts w:ascii="Times New Roman" w:hAnsi="Times New Roman" w:cs="Times New Roman"/>
          <w:color w:val="000000" w:themeColor="text1"/>
          <w:sz w:val="24"/>
          <w:szCs w:val="24"/>
        </w:rPr>
        <w:fldChar w:fldCharType="end"/>
      </w:r>
      <w:r w:rsidR="005E5673" w:rsidRPr="00F153F6">
        <w:rPr>
          <w:rFonts w:ascii="Times New Roman" w:eastAsia="Times New Roman" w:hAnsi="Times New Roman" w:cs="Times New Roman"/>
          <w:iCs/>
          <w:color w:val="000000" w:themeColor="text1"/>
          <w:sz w:val="24"/>
          <w:szCs w:val="24"/>
        </w:rPr>
        <w:t xml:space="preserve">, Markus &amp; Silver </w:t>
      </w:r>
      <w:r w:rsidR="005E5673" w:rsidRPr="00F153F6">
        <w:rPr>
          <w:rFonts w:ascii="Times New Roman" w:eastAsia="Times New Roman" w:hAnsi="Times New Roman" w:cs="Times New Roman"/>
          <w:iCs/>
          <w:color w:val="000000" w:themeColor="text1"/>
          <w:sz w:val="24"/>
          <w:szCs w:val="24"/>
        </w:rPr>
        <w:fldChar w:fldCharType="begin"/>
      </w:r>
      <w:r w:rsidR="005E5673" w:rsidRPr="00F153F6">
        <w:rPr>
          <w:rFonts w:ascii="Times New Roman" w:eastAsia="Times New Roman" w:hAnsi="Times New Roman" w:cs="Times New Roman"/>
          <w:iCs/>
          <w:color w:val="000000" w:themeColor="text1"/>
          <w:sz w:val="24"/>
          <w:szCs w:val="24"/>
        </w:rPr>
        <w:instrText xml:space="preserve"> ADDIN ZOTERO_ITEM CSL_CITATION {"citationID":"aHnI4PZL","properties":{"formattedCitation":"(2008)","plainCitation":"(2008)","noteIndex":0},"citationItems":[{"id":151,"uris":["http://zotero.org/users/5709166/items/LG935HG3"],"itemData":{"id":151,"type":"article-journal","abstract":"Gerardine DeSanctis and Marshall Scott Poole made an important contribution to the study of IT uses and effects with their insightful concepts of “structural features” and “spirit.” Unlike their concept of “appropriation,” which has found broad acceptance in the IS community, the concepts of structural features and spirit have not been widely used. Published concerns that the concepts are not consistent with basic assumptions in Giddens’ structuration theory, on which the concepts were based, could account for their neglect. However, concepts like structural features and spirit are indispensable for any program of research that attempts to show how IT artifacts can, together with other influences, contribute to the consequences of IT use. Addressing the criticisms that have been leveled against these concepts is, therefore, important. In this paper we unpack DeSanctis and Poole’s concepts and propose redefining them as three new concepts: technical objects, functional affordances, and symbolic expressions. We believe this reconceptualization addresses several concerns about the original concepts, while retaining the core insights of DeSanctis and Poole’s innovative analysis.","container-title":"Journal of the Association for Information Systems","DOI":"10.17705/1jais.00176","ISSN":"15369323","issue":"10","journalAbbreviation":"JAIS","language":"en","page":"609-632","source":"DOI.org (Crossref)","title":"A Foundation for the Study of IT Effects: A New Look at DeSanctis and Poole’s Concepts of Structural Features and Spirit","title-short":"A Foundation for the Study of IT Effects","volume":"9","author":[{"family":"Markus","given":"M. Lynne"},{"family":"Silver","given":"Mark"}],"issued":{"date-parts":[["2008",10]]}},"label":"page","suppress-author":true}],"schema":"https://github.com/citation-style-language/schema/raw/master/csl-citation.json"} </w:instrText>
      </w:r>
      <w:r w:rsidR="005E5673" w:rsidRPr="00F153F6">
        <w:rPr>
          <w:rFonts w:ascii="Times New Roman" w:eastAsia="Times New Roman" w:hAnsi="Times New Roman" w:cs="Times New Roman"/>
          <w:iCs/>
          <w:color w:val="000000" w:themeColor="text1"/>
          <w:sz w:val="24"/>
          <w:szCs w:val="24"/>
        </w:rPr>
        <w:fldChar w:fldCharType="separate"/>
      </w:r>
      <w:r w:rsidR="005E5673" w:rsidRPr="00F153F6">
        <w:rPr>
          <w:rFonts w:ascii="Times New Roman" w:hAnsi="Times New Roman" w:cs="Times New Roman"/>
          <w:sz w:val="24"/>
          <w:szCs w:val="24"/>
        </w:rPr>
        <w:t>(2008)</w:t>
      </w:r>
      <w:r w:rsidR="005E5673" w:rsidRPr="00F153F6">
        <w:rPr>
          <w:rFonts w:ascii="Times New Roman" w:eastAsia="Times New Roman" w:hAnsi="Times New Roman" w:cs="Times New Roman"/>
          <w:iCs/>
          <w:color w:val="000000" w:themeColor="text1"/>
          <w:sz w:val="24"/>
          <w:szCs w:val="24"/>
        </w:rPr>
        <w:fldChar w:fldCharType="end"/>
      </w:r>
      <w:r w:rsidR="005E5673" w:rsidRPr="00F153F6">
        <w:rPr>
          <w:rFonts w:ascii="Times New Roman" w:eastAsia="Times New Roman" w:hAnsi="Times New Roman" w:cs="Times New Roman"/>
          <w:iCs/>
          <w:color w:val="000000" w:themeColor="text1"/>
          <w:sz w:val="24"/>
          <w:szCs w:val="24"/>
        </w:rPr>
        <w:t xml:space="preserve"> extended those concepts in adaptive structuration theory to technical objects, functional affordance, and symbolic expressions. Technical object refers to real things that constitute the ICT artefact such as materials in both physical and digital (e.g., printers, representation on screen). Functional affordance refers to a relationship between technical objects and users, defined as “the possibilities for goal-oriented action afforded to specified user groups by technical objects” </w:t>
      </w:r>
      <w:r w:rsidR="005E5673" w:rsidRPr="00F153F6">
        <w:rPr>
          <w:rFonts w:ascii="Times New Roman" w:hAnsi="Times New Roman" w:cs="Times New Roman"/>
          <w:color w:val="000000" w:themeColor="text1"/>
          <w:sz w:val="24"/>
          <w:szCs w:val="24"/>
        </w:rPr>
        <w:fldChar w:fldCharType="begin"/>
      </w:r>
      <w:r w:rsidR="005E5673" w:rsidRPr="00F153F6">
        <w:rPr>
          <w:rFonts w:ascii="Times New Roman" w:eastAsia="Times New Roman" w:hAnsi="Times New Roman" w:cs="Times New Roman"/>
          <w:iCs/>
          <w:color w:val="000000" w:themeColor="text1"/>
          <w:sz w:val="24"/>
          <w:szCs w:val="24"/>
        </w:rPr>
        <w:instrText xml:space="preserve"> ADDIN ZOTERO_ITEM CSL_CITATION {"citationID":"a19ini035vs","properties":{"formattedCitation":"(Markus &amp; Silver, 2008, p. 622)","plainCitation":"(Markus &amp; Silver, 2008, p. 622)","noteIndex":0},"citationItems":[{"id":151,"uris":["http://zotero.org/users/5709166/items/LG935HG3"],"itemData":{"id":151,"type":"article-journal","abstract":"Gerardine DeSanctis and Marshall Scott Poole made an important contribution to the study of IT uses and effects with their insightful concepts of “structural features” and “spirit.” Unlike their concept of “appropriation,” which has found broad acceptance in the IS community, the concepts of structural features and spirit have not been widely used. Published concerns that the concepts are not consistent with basic assumptions in Giddens’ structuration theory, on which the concepts were based, could account for their neglect. However, concepts like structural features and spirit are indispensable for any program of research that attempts to show how IT artifacts can, together with other influences, contribute to the consequences of IT use. Addressing the criticisms that have been leveled against these concepts is, therefore, important. In this paper we unpack DeSanctis and Poole’s concepts and propose redefining them as three new concepts: technical objects, functional affordances, and symbolic expressions. We believe this reconceptualization addresses several concerns about the original concepts, while retaining the core insights of DeSanctis and Poole’s innovative analysis.","container-title":"Journal of the Association for Information Systems","DOI":"10.17705/1jais.00176","ISSN":"15369323","issue":"10","journalAbbreviation":"JAIS","language":"en","page":"609-632","source":"DOI.org (Crossref)","title":"A Foundation for the Study of IT Effects: A New Look at DeSanctis and Poole’s Concepts of Structural Features and Spirit","title-short":"A Foundation for the Study of IT Effects","volume":"9","author":[{"family":"Markus","given":"M. Lynne"},{"family":"Silver","given":"Mark"}],"issued":{"date-parts":[["2008",10]]}},"locator":"622"}],"schema":"https://github.com/citation-style-language/schema/raw/master/csl-citation.json"} </w:instrText>
      </w:r>
      <w:r w:rsidR="005E5673" w:rsidRPr="00F153F6">
        <w:rPr>
          <w:rFonts w:ascii="Times New Roman" w:hAnsi="Times New Roman" w:cs="Times New Roman"/>
          <w:color w:val="000000" w:themeColor="text1"/>
          <w:sz w:val="24"/>
          <w:szCs w:val="24"/>
        </w:rPr>
        <w:fldChar w:fldCharType="separate"/>
      </w:r>
      <w:r w:rsidR="005E5673" w:rsidRPr="00F153F6">
        <w:rPr>
          <w:rFonts w:ascii="Times New Roman" w:hAnsi="Times New Roman" w:cs="Times New Roman"/>
          <w:sz w:val="24"/>
          <w:szCs w:val="24"/>
        </w:rPr>
        <w:t>(Markus &amp; Silver, 2008, p. 622)</w:t>
      </w:r>
      <w:r w:rsidR="005E5673" w:rsidRPr="00F153F6">
        <w:rPr>
          <w:rFonts w:ascii="Times New Roman" w:hAnsi="Times New Roman" w:cs="Times New Roman"/>
          <w:color w:val="000000" w:themeColor="text1"/>
          <w:sz w:val="24"/>
          <w:szCs w:val="24"/>
        </w:rPr>
        <w:fldChar w:fldCharType="end"/>
      </w:r>
      <w:r w:rsidR="005E5673" w:rsidRPr="00F153F6">
        <w:rPr>
          <w:rFonts w:ascii="Times New Roman" w:eastAsia="Times New Roman" w:hAnsi="Times New Roman" w:cs="Times New Roman"/>
          <w:iCs/>
          <w:color w:val="000000" w:themeColor="text1"/>
          <w:sz w:val="24"/>
          <w:szCs w:val="24"/>
        </w:rPr>
        <w:t xml:space="preserve">. Functional affordance can be viewed as a relational concept that links ICT artefacts to how users may utilise them. Symbolic expressions refer to “the communicative possibilities of a technical object for a specified user group” </w:t>
      </w:r>
      <w:r w:rsidR="005E5673" w:rsidRPr="00F153F6">
        <w:rPr>
          <w:rFonts w:ascii="Times New Roman" w:eastAsia="Times New Roman" w:hAnsi="Times New Roman" w:cs="Times New Roman"/>
          <w:iCs/>
          <w:color w:val="000000" w:themeColor="text1"/>
          <w:sz w:val="24"/>
          <w:szCs w:val="24"/>
        </w:rPr>
        <w:fldChar w:fldCharType="begin"/>
      </w:r>
      <w:r w:rsidR="005E5673" w:rsidRPr="00F153F6">
        <w:rPr>
          <w:rFonts w:ascii="Times New Roman" w:eastAsia="Times New Roman" w:hAnsi="Times New Roman" w:cs="Times New Roman"/>
          <w:iCs/>
          <w:color w:val="000000" w:themeColor="text1"/>
          <w:sz w:val="24"/>
          <w:szCs w:val="24"/>
        </w:rPr>
        <w:instrText xml:space="preserve"> ADDIN ZOTERO_ITEM CSL_CITATION {"citationID":"assq2v42ge","properties":{"formattedCitation":"(Markus &amp; Silver, 2008, p. 623)","plainCitation":"(Markus &amp; Silver, 2008, p. 623)","noteIndex":0},"citationItems":[{"id":151,"uris":["http://zotero.org/users/5709166/items/LG935HG3"],"itemData":{"id":151,"type":"article-journal","abstract":"Gerardine DeSanctis and Marshall Scott Poole made an important contribution to the study of IT uses and effects with their insightful concepts of “structural features” and “spirit.” Unlike their concept of “appropriation,” which has found broad acceptance in the IS community, the concepts of structural features and spirit have not been widely used. Published concerns that the concepts are not consistent with basic assumptions in Giddens’ structuration theory, on which the concepts were based, could account for their neglect. However, concepts like structural features and spirit are indispensable for any program of research that attempts to show how IT artifacts can, together with other influences, contribute to the consequences of IT use. Addressing the criticisms that have been leveled against these concepts is, therefore, important. In this paper we unpack DeSanctis and Poole’s concepts and propose redefining them as three new concepts: technical objects, functional affordances, and symbolic expressions. We believe this reconceptualization addresses several concerns about the original concepts, while retaining the core insights of DeSanctis and Poole’s innovative analysis.","container-title":"Journal of the Association for Information Systems","DOI":"10.17705/1jais.00176","ISSN":"15369323","issue":"10","journalAbbreviation":"JAIS","language":"en","page":"609-632","source":"DOI.org (Crossref)","title":"A Foundation for the Study of IT Effects: A New Look at DeSanctis and Poole’s Concepts of Structural Features and Spirit","title-short":"A Foundation for the Study of IT Effects","volume":"9","author":[{"family":"Markus","given":"M. Lynne"},{"family":"Silver","given":"Mark"}],"issued":{"date-parts":[["2008",10]]}},"locator":"623","label":"page"}],"schema":"https://github.com/citation-style-language/schema/raw/master/csl-citation.json"} </w:instrText>
      </w:r>
      <w:r w:rsidR="005E5673" w:rsidRPr="00F153F6">
        <w:rPr>
          <w:rFonts w:ascii="Times New Roman" w:eastAsia="Times New Roman" w:hAnsi="Times New Roman" w:cs="Times New Roman"/>
          <w:iCs/>
          <w:color w:val="000000" w:themeColor="text1"/>
          <w:sz w:val="24"/>
          <w:szCs w:val="24"/>
        </w:rPr>
        <w:fldChar w:fldCharType="separate"/>
      </w:r>
      <w:r w:rsidR="005E5673" w:rsidRPr="00F153F6">
        <w:rPr>
          <w:rFonts w:ascii="Times New Roman" w:hAnsi="Times New Roman" w:cs="Times New Roman"/>
          <w:sz w:val="24"/>
          <w:szCs w:val="24"/>
        </w:rPr>
        <w:t>(Markus &amp; Silver, 2008, p. 623)</w:t>
      </w:r>
      <w:r w:rsidR="005E5673" w:rsidRPr="00F153F6">
        <w:rPr>
          <w:rFonts w:ascii="Times New Roman" w:eastAsia="Times New Roman" w:hAnsi="Times New Roman" w:cs="Times New Roman"/>
          <w:iCs/>
          <w:color w:val="000000" w:themeColor="text1"/>
          <w:sz w:val="24"/>
          <w:szCs w:val="24"/>
        </w:rPr>
        <w:fldChar w:fldCharType="end"/>
      </w:r>
      <w:r w:rsidR="005E5673" w:rsidRPr="00F153F6">
        <w:rPr>
          <w:rFonts w:ascii="Times New Roman" w:eastAsia="Times New Roman" w:hAnsi="Times New Roman" w:cs="Times New Roman"/>
          <w:iCs/>
          <w:color w:val="000000" w:themeColor="text1"/>
          <w:sz w:val="24"/>
          <w:szCs w:val="24"/>
        </w:rPr>
        <w:t xml:space="preserve">. This is also a relational concept that links ICT artefacts to how users may interpret them. Further, Stendal et al. </w:t>
      </w:r>
      <w:r w:rsidR="005E5673" w:rsidRPr="00F153F6">
        <w:rPr>
          <w:rFonts w:ascii="Times New Roman" w:hAnsi="Times New Roman" w:cs="Times New Roman"/>
          <w:color w:val="000000" w:themeColor="text1"/>
          <w:sz w:val="24"/>
          <w:szCs w:val="24"/>
        </w:rPr>
        <w:fldChar w:fldCharType="begin"/>
      </w:r>
      <w:r w:rsidR="005E5673" w:rsidRPr="00F153F6">
        <w:rPr>
          <w:rFonts w:ascii="Times New Roman" w:eastAsia="Times New Roman" w:hAnsi="Times New Roman" w:cs="Times New Roman"/>
          <w:iCs/>
          <w:color w:val="000000" w:themeColor="text1"/>
          <w:sz w:val="24"/>
          <w:szCs w:val="24"/>
        </w:rPr>
        <w:instrText xml:space="preserve"> ADDIN ZOTERO_ITEM CSL_CITATION {"citationID":"a2j7f3oitf3","properties":{"formattedCitation":"(2016)","plainCitation":"(2016)","noteIndex":0},"citationItems":[{"id":148,"uris":["http://zotero.org/users/5709166/items/5GHKZRRA"],"itemData":{"id":148,"type":"paper-conference","container-title":"2016 49th Hawaii International Conference on System Sciences (HICSS)","DOI":"10.1109/HICSS.2016.651","event-place":"Koloa, HI, USA","event-title":"2016 49th Hawaii International Conference on System Sciences (HICSS)","ISBN":"978-0-7695-5670-3","page":"5270-5277","publisher":"IEEE","publisher-place":"Koloa, HI, USA","source":"DOI.org (Crossref)","title":"Analyzing the Concept of Affordances in Information Systems","URL":"http://ieeexplore.ieee.org/document/7427839/","author":[{"family":"Stendal","given":"Karen"},{"family":"Thapa","given":"Devinder"},{"family":"Lanamaki","given":"Arto"}],"accessed":{"date-parts":[["2020",9,3]]},"issued":{"date-parts":[["2016",1]]}},"suppress-author":true}],"schema":"https://github.com/citation-style-language/schema/raw/master/csl-citation.json"} </w:instrText>
      </w:r>
      <w:r w:rsidR="005E5673" w:rsidRPr="00F153F6">
        <w:rPr>
          <w:rFonts w:ascii="Times New Roman" w:hAnsi="Times New Roman" w:cs="Times New Roman"/>
          <w:color w:val="000000" w:themeColor="text1"/>
          <w:sz w:val="24"/>
          <w:szCs w:val="24"/>
        </w:rPr>
        <w:fldChar w:fldCharType="separate"/>
      </w:r>
      <w:r w:rsidR="005E5673" w:rsidRPr="00F153F6">
        <w:rPr>
          <w:rFonts w:ascii="Times New Roman" w:hAnsi="Times New Roman" w:cs="Times New Roman"/>
          <w:color w:val="000000" w:themeColor="text1"/>
          <w:sz w:val="24"/>
          <w:szCs w:val="24"/>
        </w:rPr>
        <w:t>(2016)</w:t>
      </w:r>
      <w:r w:rsidR="005E5673" w:rsidRPr="00F153F6">
        <w:rPr>
          <w:rFonts w:ascii="Times New Roman" w:hAnsi="Times New Roman" w:cs="Times New Roman"/>
          <w:color w:val="000000" w:themeColor="text1"/>
          <w:sz w:val="24"/>
          <w:szCs w:val="24"/>
        </w:rPr>
        <w:fldChar w:fldCharType="end"/>
      </w:r>
      <w:r w:rsidR="005E5673" w:rsidRPr="00F153F6">
        <w:rPr>
          <w:rFonts w:ascii="Times New Roman" w:eastAsia="Times New Roman" w:hAnsi="Times New Roman" w:cs="Times New Roman"/>
          <w:iCs/>
          <w:color w:val="000000" w:themeColor="text1"/>
          <w:sz w:val="24"/>
          <w:szCs w:val="24"/>
        </w:rPr>
        <w:t xml:space="preserve"> approaches functional affordances as distinguishable from non-functional affordances that are independent of a specific functionality (e.g. social affordances).</w:t>
      </w:r>
    </w:p>
    <w:p w14:paraId="5DB5DE9E" w14:textId="4488C570" w:rsidR="002C1A2F" w:rsidRPr="00F153F6" w:rsidRDefault="00245D41"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There </w:t>
      </w:r>
      <w:r w:rsidR="00843882" w:rsidRPr="00F153F6">
        <w:rPr>
          <w:rFonts w:ascii="Times New Roman" w:eastAsia="Times New Roman" w:hAnsi="Times New Roman" w:cs="Times New Roman"/>
          <w:iCs/>
          <w:color w:val="000000" w:themeColor="text1"/>
          <w:sz w:val="24"/>
          <w:szCs w:val="24"/>
        </w:rPr>
        <w:t>is</w:t>
      </w:r>
      <w:r w:rsidRPr="00F153F6">
        <w:rPr>
          <w:rFonts w:ascii="Times New Roman" w:eastAsia="Times New Roman" w:hAnsi="Times New Roman" w:cs="Times New Roman"/>
          <w:iCs/>
          <w:color w:val="000000" w:themeColor="text1"/>
          <w:sz w:val="24"/>
          <w:szCs w:val="24"/>
        </w:rPr>
        <w:t xml:space="preserve"> a temporal-</w:t>
      </w:r>
      <w:r w:rsidR="00CC6D56" w:rsidRPr="00F153F6">
        <w:rPr>
          <w:rFonts w:ascii="Times New Roman" w:eastAsia="Times New Roman" w:hAnsi="Times New Roman" w:cs="Times New Roman"/>
          <w:iCs/>
          <w:color w:val="000000" w:themeColor="text1"/>
          <w:sz w:val="24"/>
          <w:szCs w:val="24"/>
        </w:rPr>
        <w:t>causal</w:t>
      </w:r>
      <w:r w:rsidRPr="00F153F6">
        <w:rPr>
          <w:rFonts w:ascii="Times New Roman" w:eastAsia="Times New Roman" w:hAnsi="Times New Roman" w:cs="Times New Roman"/>
          <w:iCs/>
          <w:color w:val="000000" w:themeColor="text1"/>
          <w:sz w:val="24"/>
          <w:szCs w:val="24"/>
        </w:rPr>
        <w:t xml:space="preserve"> relationship that is rooted in</w:t>
      </w:r>
      <w:r w:rsidR="00843882" w:rsidRPr="00F153F6">
        <w:rPr>
          <w:rFonts w:ascii="Times New Roman" w:eastAsia="Times New Roman" w:hAnsi="Times New Roman" w:cs="Times New Roman"/>
          <w:iCs/>
          <w:color w:val="000000" w:themeColor="text1"/>
          <w:sz w:val="24"/>
          <w:szCs w:val="24"/>
        </w:rPr>
        <w:t xml:space="preserve"> the enactment of</w:t>
      </w:r>
      <w:r w:rsidR="005E5673" w:rsidRPr="00F153F6">
        <w:rPr>
          <w:rFonts w:ascii="Times New Roman" w:eastAsia="Times New Roman" w:hAnsi="Times New Roman" w:cs="Times New Roman"/>
          <w:iCs/>
          <w:color w:val="000000" w:themeColor="text1"/>
          <w:sz w:val="24"/>
          <w:szCs w:val="24"/>
        </w:rPr>
        <w:t xml:space="preserve"> a</w:t>
      </w:r>
      <w:r w:rsidR="00843882" w:rsidRPr="00F153F6">
        <w:rPr>
          <w:rFonts w:ascii="Times New Roman" w:eastAsia="Times New Roman" w:hAnsi="Times New Roman" w:cs="Times New Roman"/>
          <w:iCs/>
          <w:color w:val="000000" w:themeColor="text1"/>
          <w:sz w:val="24"/>
          <w:szCs w:val="24"/>
        </w:rPr>
        <w:t xml:space="preserve"> technology affordance: affordances existence, perception, actualization, and effects </w:t>
      </w:r>
      <w:r w:rsidR="00843882" w:rsidRPr="00F153F6">
        <w:rPr>
          <w:rFonts w:ascii="Times New Roman" w:eastAsia="Times New Roman" w:hAnsi="Times New Roman" w:cs="Times New Roman"/>
          <w:iCs/>
          <w:color w:val="000000" w:themeColor="text1"/>
          <w:sz w:val="24"/>
          <w:szCs w:val="24"/>
        </w:rPr>
        <w:fldChar w:fldCharType="begin"/>
      </w:r>
      <w:r w:rsidR="00843882" w:rsidRPr="00F153F6">
        <w:rPr>
          <w:rFonts w:ascii="Times New Roman" w:eastAsia="Times New Roman" w:hAnsi="Times New Roman" w:cs="Times New Roman"/>
          <w:iCs/>
          <w:color w:val="000000" w:themeColor="text1"/>
          <w:sz w:val="24"/>
          <w:szCs w:val="24"/>
        </w:rPr>
        <w:instrText xml:space="preserve"> ADDIN ZOTERO_ITEM CSL_CITATION {"citationID":"QuqAqgd5","properties":{"formattedCitation":"(Pozzi et al., 2014)","plainCitation":"(Pozzi et al., 2014)","noteIndex":0},"citationItems":[{"id":10387,"uris":["http://zotero.org/users/5709166/items/ZBU7I95H"],"itemData":{"id":10387,"type":"paper-conference","abstract":"The growing interest of IS researchers in using the theory of Affordances for studying the uses and consequences of the IT artefact calls for an integrative view on the subject. The originating literature is dispersed and the definition of the concept of affordance varies in these studies.","container-title":"AMCIS 2014 Proceedings","event-place":"Savannah","event-title":"Twentieth Americas Conference on Information Systems","language":"en","page":"14","publisher-place":"Savannah","source":"Zotero","title":"Affordance Theory in the IS Discipline: a Review and Synthesis of the Literature","author":[{"family":"Pozzi","given":"Giulia"},{"family":"Pigni","given":"Federico"},{"family":"Vitari","given":"Claudio"}],"issued":{"date-parts":[["2014"]]}}}],"schema":"https://github.com/citation-style-language/schema/raw/master/csl-citation.json"} </w:instrText>
      </w:r>
      <w:r w:rsidR="00843882" w:rsidRPr="00F153F6">
        <w:rPr>
          <w:rFonts w:ascii="Times New Roman" w:eastAsia="Times New Roman" w:hAnsi="Times New Roman" w:cs="Times New Roman"/>
          <w:iCs/>
          <w:color w:val="000000" w:themeColor="text1"/>
          <w:sz w:val="24"/>
          <w:szCs w:val="24"/>
        </w:rPr>
        <w:fldChar w:fldCharType="separate"/>
      </w:r>
      <w:r w:rsidR="00843882" w:rsidRPr="00F153F6">
        <w:rPr>
          <w:rFonts w:ascii="Times New Roman" w:hAnsi="Times New Roman" w:cs="Times New Roman"/>
          <w:sz w:val="24"/>
          <w:szCs w:val="24"/>
        </w:rPr>
        <w:t>(Pozzi et al., 2014)</w:t>
      </w:r>
      <w:r w:rsidR="00843882" w:rsidRPr="00F153F6">
        <w:rPr>
          <w:rFonts w:ascii="Times New Roman" w:eastAsia="Times New Roman" w:hAnsi="Times New Roman" w:cs="Times New Roman"/>
          <w:iCs/>
          <w:color w:val="000000" w:themeColor="text1"/>
          <w:sz w:val="24"/>
          <w:szCs w:val="24"/>
        </w:rPr>
        <w:fldChar w:fldCharType="end"/>
      </w:r>
      <w:r w:rsidR="00843882" w:rsidRPr="00F153F6">
        <w:rPr>
          <w:rFonts w:ascii="Times New Roman" w:eastAsia="Times New Roman" w:hAnsi="Times New Roman" w:cs="Times New Roman"/>
          <w:iCs/>
          <w:color w:val="000000" w:themeColor="text1"/>
          <w:sz w:val="24"/>
          <w:szCs w:val="24"/>
        </w:rPr>
        <w:t>. Affordance existence shows a cognitive process through which ICT users realise action possibilities when they interact with the ICT</w:t>
      </w:r>
      <w:r w:rsidR="00CC6D56" w:rsidRPr="00F153F6">
        <w:rPr>
          <w:rFonts w:ascii="Times New Roman" w:eastAsia="Times New Roman" w:hAnsi="Times New Roman" w:cs="Times New Roman"/>
          <w:iCs/>
          <w:color w:val="000000" w:themeColor="text1"/>
          <w:sz w:val="24"/>
          <w:szCs w:val="24"/>
        </w:rPr>
        <w:t xml:space="preserve"> </w:t>
      </w:r>
      <w:r w:rsidR="00CC6D56" w:rsidRPr="00F153F6">
        <w:rPr>
          <w:rFonts w:ascii="Times New Roman" w:eastAsia="Times New Roman" w:hAnsi="Times New Roman" w:cs="Times New Roman"/>
          <w:iCs/>
          <w:color w:val="000000" w:themeColor="text1"/>
          <w:sz w:val="24"/>
          <w:szCs w:val="24"/>
        </w:rPr>
        <w:fldChar w:fldCharType="begin"/>
      </w:r>
      <w:r w:rsidR="00CC6D56" w:rsidRPr="00F153F6">
        <w:rPr>
          <w:rFonts w:ascii="Times New Roman" w:eastAsia="Times New Roman" w:hAnsi="Times New Roman" w:cs="Times New Roman"/>
          <w:iCs/>
          <w:color w:val="000000" w:themeColor="text1"/>
          <w:sz w:val="24"/>
          <w:szCs w:val="24"/>
        </w:rPr>
        <w:instrText xml:space="preserve"> ADDIN ZOTERO_ITEM CSL_CITATION {"citationID":"FGOE6AAW","properties":{"formattedCitation":"(Davern et al., 2012)","plainCitation":"(Davern et al., 2012)","noteIndex":0},"citationItems":[{"id":10392,"uris":["http://zotero.org/users/5709166/items/8LPPYLTJ"],"itemData":{"id":10392,"type":"article-journal","abstract":"We explore the history of cognitive research in information systems (IS) across three major research streams in which cognitive processes are of paramount importance: developing software, decision support, and human-computer interaction. Through our historical analysis, we identify \"enduring questions\" in each area. The enduring questions motivated long-standing areas of inquiry within a particular research stream. These questions, while perhaps unapparent to the authors cited, become evident when one adopts an historical perspective. While research in all three areas was influenced by changes in technologies, research techniques, and the contexts of use, these enduring questions remain fundamental to our understanding of how to develop, reason with, and interact with IS. In synthesizing common themes across the three streams, we draw out four cognitive qualities of information technology: interactivity, fit, cooperativity, and affordances. Together these cognitive qualities reflect IT's ability to influence cognitive processes and ultimately task performance. Extrapolating from our historical analysis and looking at the operation of these cognitive qualities in concert, we envisage a bright future for cognitive research in IS: a future in which the study of cognition in IS extends beyond the individual to consider cognition distributed across teams, communities and systems, and a future involving the study of rich and dynamic social and organizational contexts in which the interplay between cognition, emotion, and attitudes provides a deeper explanation of behavior with IS. [PUBLICATION ABSTRACT]","container-title":"Journal of the Association for Information Systems","ISSN":"15369323","issue":"4","language":"English","license":"Copyright Association for Information Systems Apr 2012","note":"number-of-pages: 42\npublisher-place: Atlanta, United States\npublisher: Association for Information Systems\nsection: Special Issue","page":"273-314","source":"ProQuest","title":"Cognition Matters: Enduring Questions in Cognitive IS Research","title-short":"Cognition Matters","volume":"13","author":[{"family":"Davern","given":"Michael"},{"family":"Shaft","given":"Teresa"},{"family":"Te'eni","given":"Dov"}],"issued":{"date-parts":[["2012",4]]}}}],"schema":"https://github.com/citation-style-language/schema/raw/master/csl-citation.json"} </w:instrText>
      </w:r>
      <w:r w:rsidR="00CC6D56" w:rsidRPr="00F153F6">
        <w:rPr>
          <w:rFonts w:ascii="Times New Roman" w:eastAsia="Times New Roman" w:hAnsi="Times New Roman" w:cs="Times New Roman"/>
          <w:iCs/>
          <w:color w:val="000000" w:themeColor="text1"/>
          <w:sz w:val="24"/>
          <w:szCs w:val="24"/>
        </w:rPr>
        <w:fldChar w:fldCharType="separate"/>
      </w:r>
      <w:r w:rsidR="00CC6D56" w:rsidRPr="00F153F6">
        <w:rPr>
          <w:rFonts w:ascii="Times New Roman" w:hAnsi="Times New Roman" w:cs="Times New Roman"/>
          <w:sz w:val="24"/>
          <w:szCs w:val="24"/>
        </w:rPr>
        <w:t>(Davern et al., 2012)</w:t>
      </w:r>
      <w:r w:rsidR="00CC6D56" w:rsidRPr="00F153F6">
        <w:rPr>
          <w:rFonts w:ascii="Times New Roman" w:eastAsia="Times New Roman" w:hAnsi="Times New Roman" w:cs="Times New Roman"/>
          <w:iCs/>
          <w:color w:val="000000" w:themeColor="text1"/>
          <w:sz w:val="24"/>
          <w:szCs w:val="24"/>
        </w:rPr>
        <w:fldChar w:fldCharType="end"/>
      </w:r>
      <w:r w:rsidR="00843882" w:rsidRPr="00F153F6">
        <w:rPr>
          <w:rFonts w:ascii="Times New Roman" w:eastAsia="Times New Roman" w:hAnsi="Times New Roman" w:cs="Times New Roman"/>
          <w:iCs/>
          <w:color w:val="000000" w:themeColor="text1"/>
          <w:sz w:val="24"/>
          <w:szCs w:val="24"/>
        </w:rPr>
        <w:t>. Affordance perception indicates a process of recognition of the affordance existence</w:t>
      </w:r>
      <w:r w:rsidR="00CC6D56" w:rsidRPr="00F153F6">
        <w:rPr>
          <w:rFonts w:ascii="Times New Roman" w:eastAsia="Times New Roman" w:hAnsi="Times New Roman" w:cs="Times New Roman"/>
          <w:iCs/>
          <w:color w:val="000000" w:themeColor="text1"/>
          <w:sz w:val="24"/>
          <w:szCs w:val="24"/>
        </w:rPr>
        <w:t xml:space="preserve"> </w:t>
      </w:r>
      <w:r w:rsidR="00CC6D56" w:rsidRPr="00F153F6">
        <w:rPr>
          <w:rFonts w:ascii="Times New Roman" w:eastAsia="Times New Roman" w:hAnsi="Times New Roman" w:cs="Times New Roman"/>
          <w:iCs/>
          <w:color w:val="000000" w:themeColor="text1"/>
          <w:sz w:val="24"/>
          <w:szCs w:val="24"/>
        </w:rPr>
        <w:fldChar w:fldCharType="begin"/>
      </w:r>
      <w:r w:rsidR="00CC6D56" w:rsidRPr="00F153F6">
        <w:rPr>
          <w:rFonts w:ascii="Times New Roman" w:eastAsia="Times New Roman" w:hAnsi="Times New Roman" w:cs="Times New Roman"/>
          <w:iCs/>
          <w:color w:val="000000" w:themeColor="text1"/>
          <w:sz w:val="24"/>
          <w:szCs w:val="24"/>
        </w:rPr>
        <w:instrText xml:space="preserve"> ADDIN ZOTERO_ITEM CSL_CITATION {"citationID":"FcNTX7Wa","properties":{"formattedCitation":"(Greeno, 1994)","plainCitation":"(Greeno, 1994)","noteIndex":0},"citationItems":[{"id":10391,"uris":["http://zotero.org/users/5709166/items/ZVZSPNJD"],"itemData":{"id":10391,"type":"article-journal","container-title":"Psychological Review","issue":"2","page":"336-342","title":"Gibson’s Affordances","volume":"101","author":[{"family":"Greeno","given":"James G."}],"issued":{"date-parts":[["1994"]]}}}],"schema":"https://github.com/citation-style-language/schema/raw/master/csl-citation.json"} </w:instrText>
      </w:r>
      <w:r w:rsidR="00CC6D56" w:rsidRPr="00F153F6">
        <w:rPr>
          <w:rFonts w:ascii="Times New Roman" w:eastAsia="Times New Roman" w:hAnsi="Times New Roman" w:cs="Times New Roman"/>
          <w:iCs/>
          <w:color w:val="000000" w:themeColor="text1"/>
          <w:sz w:val="24"/>
          <w:szCs w:val="24"/>
        </w:rPr>
        <w:fldChar w:fldCharType="separate"/>
      </w:r>
      <w:r w:rsidR="00CC6D56" w:rsidRPr="00F153F6">
        <w:rPr>
          <w:rFonts w:ascii="Times New Roman" w:hAnsi="Times New Roman" w:cs="Times New Roman"/>
          <w:sz w:val="24"/>
          <w:szCs w:val="24"/>
        </w:rPr>
        <w:t>(Greeno, 1994)</w:t>
      </w:r>
      <w:r w:rsidR="00CC6D56" w:rsidRPr="00F153F6">
        <w:rPr>
          <w:rFonts w:ascii="Times New Roman" w:eastAsia="Times New Roman" w:hAnsi="Times New Roman" w:cs="Times New Roman"/>
          <w:iCs/>
          <w:color w:val="000000" w:themeColor="text1"/>
          <w:sz w:val="24"/>
          <w:szCs w:val="24"/>
        </w:rPr>
        <w:fldChar w:fldCharType="end"/>
      </w:r>
      <w:r w:rsidR="00843882" w:rsidRPr="00F153F6">
        <w:rPr>
          <w:rFonts w:ascii="Times New Roman" w:eastAsia="Times New Roman" w:hAnsi="Times New Roman" w:cs="Times New Roman"/>
          <w:iCs/>
          <w:color w:val="000000" w:themeColor="text1"/>
          <w:sz w:val="24"/>
          <w:szCs w:val="24"/>
        </w:rPr>
        <w:t xml:space="preserve">. For example, the </w:t>
      </w:r>
      <w:r w:rsidR="00287480" w:rsidRPr="00F153F6">
        <w:rPr>
          <w:rFonts w:ascii="Times New Roman" w:eastAsia="Times New Roman" w:hAnsi="Times New Roman" w:cs="Times New Roman"/>
          <w:iCs/>
          <w:color w:val="000000" w:themeColor="text1"/>
          <w:sz w:val="24"/>
          <w:szCs w:val="24"/>
        </w:rPr>
        <w:t>symbolic</w:t>
      </w:r>
      <w:r w:rsidR="00843882" w:rsidRPr="00F153F6">
        <w:rPr>
          <w:rFonts w:ascii="Times New Roman" w:eastAsia="Times New Roman" w:hAnsi="Times New Roman" w:cs="Times New Roman"/>
          <w:iCs/>
          <w:color w:val="000000" w:themeColor="text1"/>
          <w:sz w:val="24"/>
          <w:szCs w:val="24"/>
        </w:rPr>
        <w:t xml:space="preserve"> expression of an object allows actors to recognise whether an affordance is exist or not </w:t>
      </w:r>
      <w:r w:rsidR="00843882" w:rsidRPr="00F153F6">
        <w:rPr>
          <w:rFonts w:ascii="Times New Roman" w:eastAsia="Times New Roman" w:hAnsi="Times New Roman" w:cs="Times New Roman"/>
          <w:iCs/>
          <w:color w:val="000000" w:themeColor="text1"/>
          <w:sz w:val="24"/>
          <w:szCs w:val="24"/>
        </w:rPr>
        <w:fldChar w:fldCharType="begin"/>
      </w:r>
      <w:r w:rsidR="00287480" w:rsidRPr="00F153F6">
        <w:rPr>
          <w:rFonts w:ascii="Times New Roman" w:eastAsia="Times New Roman" w:hAnsi="Times New Roman" w:cs="Times New Roman"/>
          <w:iCs/>
          <w:color w:val="000000" w:themeColor="text1"/>
          <w:sz w:val="24"/>
          <w:szCs w:val="24"/>
        </w:rPr>
        <w:instrText xml:space="preserve"> ADDIN ZOTERO_ITEM CSL_CITATION {"citationID":"vke64AjR","properties":{"formattedCitation":"(Markus &amp; Silver, 2008)","plainCitation":"(Markus &amp; Silver, 2008)","noteIndex":0},"citationItems":[{"id":151,"uris":["http://zotero.org/users/5709166/items/LG935HG3"],"itemData":{"id":151,"type":"article-journal","abstract":"Gerardine DeSanctis and Marshall Scott Poole made an important contribution to the study of IT uses and effects with their insightful concepts of “structural features” and “spirit.” Unlike their concept of “appropriation,” which has found broad acceptance in the IS community, the concepts of structural features and spirit have not been widely used. Published concerns that the concepts are not consistent with basic assumptions in Giddens’ structuration theory, on which the concepts were based, could account for their neglect. However, concepts like structural features and spirit are indispensable for any program of research that attempts to show how IT artifacts can, together with other influences, contribute to the consequences of IT use. Addressing the criticisms that have been leveled against these concepts is, therefore, important. In this paper we unpack DeSanctis and Poole’s concepts and propose redefining them as three new concepts: technical objects, functional affordances, and symbolic expressions. We believe this reconceptualization addresses several concerns about the original concepts, while retaining the core insights of DeSanctis and Poole’s innovative analysis.","container-title":"Journal of the Association for Information Systems","DOI":"10.17705/1jais.00176","ISSN":"15369323","issue":"10","journalAbbreviation":"JAIS","language":"en","page":"609-632","source":"DOI.org (Crossref)","title":"A Foundation for the Study of IT Effects: A New Look at DeSanctis and Poole’s Concepts of Structural Features and Spirit","title-short":"A Foundation for the Study of IT Effects","volume":"9","author":[{"family":"Markus","given":"M. Lynne"},{"family":"Silver","given":"Mark"}],"issued":{"date-parts":[["2008",10]]}},"label":"page"}],"schema":"https://github.com/citation-style-language/schema/raw/master/csl-citation.json"} </w:instrText>
      </w:r>
      <w:r w:rsidR="00843882" w:rsidRPr="00F153F6">
        <w:rPr>
          <w:rFonts w:ascii="Times New Roman" w:eastAsia="Times New Roman" w:hAnsi="Times New Roman" w:cs="Times New Roman"/>
          <w:iCs/>
          <w:color w:val="000000" w:themeColor="text1"/>
          <w:sz w:val="24"/>
          <w:szCs w:val="24"/>
        </w:rPr>
        <w:fldChar w:fldCharType="separate"/>
      </w:r>
      <w:r w:rsidR="00287480" w:rsidRPr="00F153F6">
        <w:rPr>
          <w:rFonts w:ascii="Times New Roman" w:hAnsi="Times New Roman" w:cs="Times New Roman"/>
          <w:sz w:val="24"/>
          <w:szCs w:val="24"/>
        </w:rPr>
        <w:t>(Markus &amp; Silver, 2008)</w:t>
      </w:r>
      <w:r w:rsidR="00843882" w:rsidRPr="00F153F6">
        <w:rPr>
          <w:rFonts w:ascii="Times New Roman" w:eastAsia="Times New Roman" w:hAnsi="Times New Roman" w:cs="Times New Roman"/>
          <w:iCs/>
          <w:color w:val="000000" w:themeColor="text1"/>
          <w:sz w:val="24"/>
          <w:szCs w:val="24"/>
        </w:rPr>
        <w:fldChar w:fldCharType="end"/>
      </w:r>
      <w:r w:rsidR="00843882" w:rsidRPr="00F153F6">
        <w:rPr>
          <w:rFonts w:ascii="Times New Roman" w:eastAsia="Times New Roman" w:hAnsi="Times New Roman" w:cs="Times New Roman"/>
          <w:iCs/>
          <w:color w:val="000000" w:themeColor="text1"/>
          <w:sz w:val="24"/>
          <w:szCs w:val="24"/>
        </w:rPr>
        <w:t xml:space="preserve">. Affordance actualisation shows a process </w:t>
      </w:r>
      <w:r w:rsidR="00287480" w:rsidRPr="00F153F6">
        <w:rPr>
          <w:rFonts w:ascii="Times New Roman" w:eastAsia="Times New Roman" w:hAnsi="Times New Roman" w:cs="Times New Roman"/>
          <w:iCs/>
          <w:color w:val="000000" w:themeColor="text1"/>
          <w:sz w:val="24"/>
          <w:szCs w:val="24"/>
        </w:rPr>
        <w:t xml:space="preserve">of how actors actualise affordance, “the actions taken by actors as they take advantage of one or more affordances through their use of the technology to achieve immediate concrete outcomes in support of organizational goals” </w:t>
      </w:r>
      <w:r w:rsidR="00287480" w:rsidRPr="00F153F6">
        <w:rPr>
          <w:rFonts w:ascii="Times New Roman" w:eastAsia="Times New Roman" w:hAnsi="Times New Roman" w:cs="Times New Roman"/>
          <w:iCs/>
          <w:color w:val="000000" w:themeColor="text1"/>
          <w:sz w:val="24"/>
          <w:szCs w:val="24"/>
        </w:rPr>
        <w:fldChar w:fldCharType="begin"/>
      </w:r>
      <w:r w:rsidR="00287480" w:rsidRPr="00F153F6">
        <w:rPr>
          <w:rFonts w:ascii="Times New Roman" w:eastAsia="Times New Roman" w:hAnsi="Times New Roman" w:cs="Times New Roman"/>
          <w:iCs/>
          <w:color w:val="000000" w:themeColor="text1"/>
          <w:sz w:val="24"/>
          <w:szCs w:val="24"/>
        </w:rPr>
        <w:instrText xml:space="preserve"> ADDIN ZOTERO_ITEM CSL_CITATION {"citationID":"ujscwy2B","properties":{"formattedCitation":"(Strong et al., 2014, p. 70)","plainCitation":"(Strong et al., 2014, p. 70)","noteIndex":0},"citationItems":[{"id":10381,"uris":["http://zotero.org/users/5709166/items/32XYD8ZF"],"itemData":{"id":10381,"type":"article-journal","abstract":"While organizations implement information technology (IT) to effect change, current theories of IT-associated organizational change pay insufficient attention to the change goals, the role of IT in organizational change, and the multilevel nature of change processes. We take a fresh look at IT-associated organizational change using grounded theory methods. Our longitudinal study of an electronic health record (EHR) system implementation in a multi-site medical group found user behaviors that did not fit well with existing theories. Instead, we found that they fit better with the concept of affordances from ecological psychology. In developing our affordance-based theory of IT-associated organizational change from our field data, we discovered three gaps in the affordance literature; namely, the lack of theory for (1) the process of actualizing an affordance’s potential, (2) affordances in an organizational context, and (3) bundles of interrelated affordances. This paper extends the theory of affordances to handle these three gaps and, in doing so, develops a mid-range theory for EHR-associated organizational change in a healthcare organization. While the resulting theory is specific to EHR implementations, it offers a template for other mid-range affordanceactualization theories and a more general affordance-actualization lens. Our affordance-actualization lens considers the materiality of the IT artifact, the non-deterministic process by which IT leads to organizational effects, the multilevel nature of IT-associated change processes, and the intentionality of managers and users as agents of change, and thus addresses important criteria for theories of IT effects in organizations. The paper also provides practical guidance for implementing EHR systems and other organizational systems.","container-title":"Journal of the Association for Information Systems","DOI":"10.17705/1jais.00353","ISSN":"15369323","issue":"2","journalAbbreviation":"JAIS","language":"en","page":"53-85","source":"DOI.org (Crossref)","title":"A Theory of Organization-EHR Affordance Actualization","volume":"15","author":[{"family":"Strong","given":"Diane"},{"family":"Volkoff","given":"Olga"},{"family":"Johnson","given":"Sharon"},{"family":"Pelletier","given":"Lori"},{"family":"Tulu","given":"Bengisu"},{"family":"Bar-On","given":"Isa"},{"family":"Trudel","given":"John"},{"family":"Garber","given":"Lawrence"}],"issued":{"date-parts":[["2014",2]]}},"locator":"70","label":"page"}],"schema":"https://github.com/citation-style-language/schema/raw/master/csl-citation.json"} </w:instrText>
      </w:r>
      <w:r w:rsidR="00287480" w:rsidRPr="00F153F6">
        <w:rPr>
          <w:rFonts w:ascii="Times New Roman" w:eastAsia="Times New Roman" w:hAnsi="Times New Roman" w:cs="Times New Roman"/>
          <w:iCs/>
          <w:color w:val="000000" w:themeColor="text1"/>
          <w:sz w:val="24"/>
          <w:szCs w:val="24"/>
        </w:rPr>
        <w:fldChar w:fldCharType="separate"/>
      </w:r>
      <w:r w:rsidR="00287480" w:rsidRPr="00F153F6">
        <w:rPr>
          <w:rFonts w:ascii="Times New Roman" w:hAnsi="Times New Roman" w:cs="Times New Roman"/>
          <w:sz w:val="24"/>
          <w:szCs w:val="24"/>
        </w:rPr>
        <w:t>(Strong et al., 2014, p. 70)</w:t>
      </w:r>
      <w:r w:rsidR="00287480" w:rsidRPr="00F153F6">
        <w:rPr>
          <w:rFonts w:ascii="Times New Roman" w:eastAsia="Times New Roman" w:hAnsi="Times New Roman" w:cs="Times New Roman"/>
          <w:iCs/>
          <w:color w:val="000000" w:themeColor="text1"/>
          <w:sz w:val="24"/>
          <w:szCs w:val="24"/>
        </w:rPr>
        <w:fldChar w:fldCharType="end"/>
      </w:r>
      <w:r w:rsidR="00287480" w:rsidRPr="00F153F6">
        <w:rPr>
          <w:rFonts w:ascii="Times New Roman" w:eastAsia="Times New Roman" w:hAnsi="Times New Roman" w:cs="Times New Roman"/>
          <w:iCs/>
          <w:color w:val="000000" w:themeColor="text1"/>
          <w:sz w:val="24"/>
          <w:szCs w:val="24"/>
        </w:rPr>
        <w:t>.</w:t>
      </w:r>
      <w:r w:rsidRPr="00F153F6">
        <w:rPr>
          <w:rFonts w:ascii="Times New Roman" w:eastAsia="Times New Roman" w:hAnsi="Times New Roman" w:cs="Times New Roman"/>
          <w:iCs/>
          <w:color w:val="000000" w:themeColor="text1"/>
          <w:sz w:val="24"/>
          <w:szCs w:val="24"/>
        </w:rPr>
        <w:t xml:space="preserve"> </w:t>
      </w:r>
      <w:r w:rsidRPr="00F153F6">
        <w:rPr>
          <w:rFonts w:ascii="Times New Roman" w:eastAsiaTheme="minorEastAsia" w:hAnsi="Times New Roman" w:cs="Times New Roman"/>
          <w:sz w:val="24"/>
          <w:szCs w:val="24"/>
        </w:rPr>
        <w:t>As actors appropriate ICTs for their IOKE practice, the distinct abilities afforded or constrained by ICT allows them to perform or fail to perform their intended interactions.</w:t>
      </w:r>
      <w:r w:rsidR="00287480" w:rsidRPr="00F153F6">
        <w:rPr>
          <w:rFonts w:ascii="Times New Roman" w:eastAsiaTheme="minorEastAsia" w:hAnsi="Times New Roman" w:cs="Times New Roman"/>
          <w:sz w:val="24"/>
          <w:szCs w:val="24"/>
        </w:rPr>
        <w:t xml:space="preserve"> Affordance effects shows achievement of multiple outcomes observed in the empirical domain. This demonstrates a view of critical realism that </w:t>
      </w:r>
      <w:r w:rsidR="00CC6D56" w:rsidRPr="00F153F6">
        <w:rPr>
          <w:rFonts w:ascii="Times New Roman" w:eastAsiaTheme="minorEastAsia" w:hAnsi="Times New Roman" w:cs="Times New Roman"/>
          <w:sz w:val="24"/>
          <w:szCs w:val="24"/>
        </w:rPr>
        <w:lastRenderedPageBreak/>
        <w:t xml:space="preserve">affordances emerge in the real domain and are “actualized over time by organizational actors and lead to various effects we observe in the empirical domain” </w:t>
      </w:r>
      <w:r w:rsidR="00CC6D56" w:rsidRPr="00F153F6">
        <w:rPr>
          <w:rFonts w:ascii="Times New Roman" w:eastAsiaTheme="minorEastAsia" w:hAnsi="Times New Roman" w:cs="Times New Roman"/>
          <w:sz w:val="24"/>
          <w:szCs w:val="24"/>
        </w:rPr>
        <w:fldChar w:fldCharType="begin"/>
      </w:r>
      <w:r w:rsidR="00CC6D56" w:rsidRPr="00F153F6">
        <w:rPr>
          <w:rFonts w:ascii="Times New Roman" w:eastAsiaTheme="minorEastAsia" w:hAnsi="Times New Roman" w:cs="Times New Roman"/>
          <w:sz w:val="24"/>
          <w:szCs w:val="24"/>
        </w:rPr>
        <w:instrText xml:space="preserve"> ADDIN ZOTERO_ITEM CSL_CITATION {"citationID":"TxjhhowE","properties":{"formattedCitation":"(Volkoff &amp; Strong, 2013, p. 819)","plainCitation":"(Volkoff &amp; Strong, 2013, p. 819)","noteIndex":0},"citationItems":[{"id":10388,"uris":["http://zotero.org/users/5709166/items/SJ2DDTFR"],"itemData":{"id":10388,"type":"article-journal","abstract":"Convincing arguments for using critical realism as an underpinning for theories of IT-associated organizational change have appeared in the Information Systems literature. A central task in developing such theories is to uncover the generative mechanisms by which IT is implicated in organizational change processes, but to do so, we must explain how critical realism's concept of generative mechanisms applies in an IS context. Similarly, convincing arguments have been made for using Gibson's (1986) affordance theory from ecological psychology for developing theories of IT-associated organizational change, but this effort has been hampered due to insufficient attention to the ontological status of affordances. In this paper, we argue that affordances are the generative mechanisms we need to specify and explain how affordances are a specific type of generative mechanism. We use the core principles of critical realism to argue how affordances arise in the real domain from the relation between the complex assemblages of organizations and of IT artifacts, how affordances are actualized over time by organizational actors, and how these actualizations lead to the various effects we observe in the empirical domain. After presenting these arguments, we reanalyze two published cases in the literature, those of ACRO and Autoworks, to illustrate how affordance-based theories informed by critical realism enhance our ability to explain IT-associated organizational change. These examples show how researchers using this approach should proceed, and how managers can use these ideas to diagnose and address IT implementation problems.","container-title":"MIS Quarterly","ISSN":"02767783","issue":"3","note":"publisher: MIS Quarterly","page":"819-834","source":"EBSCOhost","title":"Critical Realism and Affordances: Theorizing It-Associated Organizational Change Processes","title-short":"Critical Realism and Affordances","volume":"37","author":[{"family":"Volkoff","given":"Olga"},{"family":"Strong","given":"Diane M."}],"issued":{"date-parts":[["2013",9]]}},"locator":"819","label":"page"}],"schema":"https://github.com/citation-style-language/schema/raw/master/csl-citation.json"} </w:instrText>
      </w:r>
      <w:r w:rsidR="00CC6D56" w:rsidRPr="00F153F6">
        <w:rPr>
          <w:rFonts w:ascii="Times New Roman" w:eastAsiaTheme="minorEastAsia" w:hAnsi="Times New Roman" w:cs="Times New Roman"/>
          <w:sz w:val="24"/>
          <w:szCs w:val="24"/>
        </w:rPr>
        <w:fldChar w:fldCharType="separate"/>
      </w:r>
      <w:r w:rsidR="00CC6D56" w:rsidRPr="00F153F6">
        <w:rPr>
          <w:rFonts w:ascii="Times New Roman" w:hAnsi="Times New Roman" w:cs="Times New Roman"/>
          <w:sz w:val="24"/>
          <w:szCs w:val="24"/>
        </w:rPr>
        <w:t>(Volkoff &amp; Strong, 2013, p. 819)</w:t>
      </w:r>
      <w:r w:rsidR="00CC6D56" w:rsidRPr="00F153F6">
        <w:rPr>
          <w:rFonts w:ascii="Times New Roman" w:eastAsiaTheme="minorEastAsia" w:hAnsi="Times New Roman" w:cs="Times New Roman"/>
          <w:sz w:val="24"/>
          <w:szCs w:val="24"/>
        </w:rPr>
        <w:fldChar w:fldCharType="end"/>
      </w:r>
      <w:r w:rsidR="00CC6D56" w:rsidRPr="00F153F6">
        <w:rPr>
          <w:rFonts w:ascii="Times New Roman" w:eastAsiaTheme="minorEastAsia" w:hAnsi="Times New Roman" w:cs="Times New Roman"/>
          <w:sz w:val="24"/>
          <w:szCs w:val="24"/>
        </w:rPr>
        <w:t>.</w:t>
      </w:r>
      <w:r w:rsidR="002C1A2F" w:rsidRPr="00F153F6">
        <w:rPr>
          <w:rFonts w:ascii="Times New Roman" w:eastAsia="Times New Roman" w:hAnsi="Times New Roman" w:cs="Times New Roman"/>
          <w:iCs/>
          <w:color w:val="000000" w:themeColor="text1"/>
          <w:sz w:val="24"/>
          <w:szCs w:val="24"/>
        </w:rPr>
        <w:t xml:space="preserve"> An affordance view of ICTs for knowledge exchange practice accordingly demonstrates how ICT can provide actors with certain abilities to accomplish their knowledge work when they use ICT for knowledge exchange. On the contrary but similarly to technology affordance, as indicated by </w:t>
      </w:r>
      <w:r w:rsidR="002C1A2F" w:rsidRPr="00F153F6">
        <w:rPr>
          <w:rFonts w:ascii="Times New Roman" w:hAnsi="Times New Roman" w:cs="Times New Roman"/>
          <w:color w:val="000000" w:themeColor="text1"/>
          <w:sz w:val="24"/>
          <w:szCs w:val="24"/>
        </w:rPr>
        <w:t xml:space="preserve">Majchrzak and </w:t>
      </w:r>
      <w:r w:rsidR="002C1A2F" w:rsidRPr="00F153F6">
        <w:rPr>
          <w:rFonts w:ascii="Times New Roman" w:eastAsia="Times New Roman" w:hAnsi="Times New Roman" w:cs="Times New Roman"/>
          <w:iCs/>
          <w:color w:val="000000" w:themeColor="text1"/>
          <w:sz w:val="24"/>
          <w:szCs w:val="24"/>
        </w:rPr>
        <w:t xml:space="preserve">Markus </w:t>
      </w:r>
      <w:r w:rsidR="002C1A2F" w:rsidRPr="00F153F6">
        <w:rPr>
          <w:rFonts w:ascii="Times New Roman" w:hAnsi="Times New Roman" w:cs="Times New Roman"/>
          <w:color w:val="000000" w:themeColor="text1"/>
          <w:sz w:val="24"/>
          <w:szCs w:val="24"/>
        </w:rPr>
        <w:fldChar w:fldCharType="begin"/>
      </w:r>
      <w:r w:rsidR="002C1A2F" w:rsidRPr="00F153F6">
        <w:rPr>
          <w:rFonts w:ascii="Times New Roman" w:eastAsia="Times New Roman" w:hAnsi="Times New Roman" w:cs="Times New Roman"/>
          <w:iCs/>
          <w:color w:val="000000" w:themeColor="text1"/>
          <w:sz w:val="24"/>
          <w:szCs w:val="24"/>
        </w:rPr>
        <w:instrText xml:space="preserve"> ADDIN ZOTERO_ITEM CSL_CITATION {"citationID":"a5hrj3qbvs","properties":{"formattedCitation":"(2012)","plainCitation":"(2012)","noteIndex":0},"citationItems":[{"id":2500,"uris":["http://zotero.org/users/5709166/items/7DLIZ7FX"],"itemData":{"id":2500,"type":"entry-encyclopedia","container-title":"Encyclopedia of Management Theory","language":"en","publisher":"Sage Publications","source":"Zotero","title":"TECHNOLOGY AFFORDANCES AND CONSTRAINTS IN MANAGEMENT INFORMATION SYSTEMS (MIS)","author":[{"family":"Majchrzak","given":"A"},{"family":"Markus","given":"M L"}],"issued":{"date-parts":[["2012"]]}},"label":"page","suppress-author":true}],"schema":"https://github.com/citation-style-language/schema/raw/master/csl-citation.json"} </w:instrText>
      </w:r>
      <w:r w:rsidR="002C1A2F" w:rsidRPr="00F153F6">
        <w:rPr>
          <w:rFonts w:ascii="Times New Roman" w:hAnsi="Times New Roman" w:cs="Times New Roman"/>
          <w:color w:val="000000" w:themeColor="text1"/>
          <w:sz w:val="24"/>
          <w:szCs w:val="24"/>
        </w:rPr>
        <w:fldChar w:fldCharType="separate"/>
      </w:r>
      <w:r w:rsidR="002C1A2F" w:rsidRPr="00F153F6">
        <w:rPr>
          <w:rFonts w:ascii="Times New Roman" w:hAnsi="Times New Roman" w:cs="Times New Roman"/>
          <w:color w:val="000000" w:themeColor="text1"/>
          <w:sz w:val="24"/>
          <w:szCs w:val="24"/>
        </w:rPr>
        <w:t>(2012)</w:t>
      </w:r>
      <w:r w:rsidR="002C1A2F" w:rsidRPr="00F153F6">
        <w:rPr>
          <w:rFonts w:ascii="Times New Roman" w:hAnsi="Times New Roman" w:cs="Times New Roman"/>
          <w:color w:val="000000" w:themeColor="text1"/>
          <w:sz w:val="24"/>
          <w:szCs w:val="24"/>
        </w:rPr>
        <w:fldChar w:fldCharType="end"/>
      </w:r>
      <w:r w:rsidR="002C1A2F" w:rsidRPr="00F153F6">
        <w:rPr>
          <w:rFonts w:ascii="Times New Roman" w:eastAsia="Times New Roman" w:hAnsi="Times New Roman" w:cs="Times New Roman"/>
          <w:iCs/>
          <w:color w:val="000000" w:themeColor="text1"/>
          <w:sz w:val="24"/>
          <w:szCs w:val="24"/>
        </w:rPr>
        <w:t xml:space="preserve">, technology constraints indicate the ways in which actors are inhibited to accomplish their goals when they use certain ICTs. This demonstrates how ICTs can constrain certain abilities of actors to accomplish their knowledge work and hold them back in terms of engaging in knowledge exchange. Existing literature has demonstrated diverse ICT affordances/constraints that facilitate/inhibit organisations’ knowledgeable practices. For example, reviewability allows actors to review and manage the content of texts over time </w:t>
      </w:r>
      <w:r w:rsidR="002C1A2F" w:rsidRPr="00F153F6">
        <w:rPr>
          <w:rFonts w:ascii="Times New Roman" w:hAnsi="Times New Roman" w:cs="Times New Roman"/>
          <w:color w:val="000000" w:themeColor="text1"/>
          <w:sz w:val="24"/>
          <w:szCs w:val="24"/>
        </w:rPr>
        <w:fldChar w:fldCharType="begin"/>
      </w:r>
      <w:r w:rsidR="002C1A2F" w:rsidRPr="00F153F6">
        <w:rPr>
          <w:rFonts w:ascii="Times New Roman" w:eastAsia="Times New Roman" w:hAnsi="Times New Roman" w:cs="Times New Roman"/>
          <w:iCs/>
          <w:color w:val="000000" w:themeColor="text1"/>
          <w:sz w:val="24"/>
          <w:szCs w:val="24"/>
        </w:rPr>
        <w:instrText xml:space="preserve"> ADDIN ZOTERO_ITEM CSL_CITATION {"citationID":"a1pg3tov2h2","properties":{"formattedCitation":"(Faraj et al., 2011)","plainCitation":"(Faraj et al., 2011)","noteIndex":0},"citationItems":[{"id":10347,"uris":["http://zotero.org/users/5709166/items/BF5WZ72H"],"itemData":{"id":10347,"type":"article-journal","abstract":"Online communities (OCs) are a virtual organizational form in which knowledge collaboration can occur in unparalleled scale and scope, in ways not heretofore theorized. For example, collaboration can occur among people not known to each other, who share different interests and without dialogue. An exploration of this organizational form can fundamentally change how we theorize about knowledge collaboration among members of organizations. We argue that a fundamental characteristic of OCs that affords collaboration is their fluidity. This fluidity engenders a dynamic flow of resources in and out of the community—resources such as passion, time, identity, social disembodiment of ideas, socially ambiguous identities, and temporary convergence. With each resource comes both a negative and positive consequence, creating a tension that fluctuates with changes in the resource. We argue that the fluctuations in tensions can provide an opportunity for knowledge collaboration when the community responds to these tensions in ways that encourage interactions to be generative rather than constrained. After offering numerous examples of such generative responses, we suggest that this form of theorizing—induced by online communities—has implications for theorizing about the more general case of knowledge collaboration in organizations.","container-title":"Organization Science","DOI":"10.1287/orsc.1100.0614","ISSN":"1047-7039, 1526-5455","issue":"5","journalAbbreviation":"Organization Science","language":"en","page":"1224-1239","source":"DOI.org (Crossref)","title":"Knowledge Collaboration in Online Communities","volume":"22","author":[{"family":"Faraj","given":"Samer"},{"family":"Jarvenpaa","given":"Sirkka L."},{"family":"Majchrzak","given":"Ann"}],"issued":{"date-parts":[["2011",10]]}}}],"schema":"https://github.com/citation-style-language/schema/raw/master/csl-citation.json"} </w:instrText>
      </w:r>
      <w:r w:rsidR="002C1A2F" w:rsidRPr="00F153F6">
        <w:rPr>
          <w:rFonts w:ascii="Times New Roman" w:hAnsi="Times New Roman" w:cs="Times New Roman"/>
          <w:color w:val="000000" w:themeColor="text1"/>
          <w:sz w:val="24"/>
          <w:szCs w:val="24"/>
        </w:rPr>
        <w:fldChar w:fldCharType="separate"/>
      </w:r>
      <w:r w:rsidR="002C1A2F" w:rsidRPr="00F153F6">
        <w:rPr>
          <w:rFonts w:ascii="Times New Roman" w:hAnsi="Times New Roman" w:cs="Times New Roman"/>
          <w:color w:val="000000" w:themeColor="text1"/>
          <w:sz w:val="24"/>
          <w:szCs w:val="24"/>
        </w:rPr>
        <w:t>(Faraj et al., 2011)</w:t>
      </w:r>
      <w:r w:rsidR="002C1A2F" w:rsidRPr="00F153F6">
        <w:rPr>
          <w:rFonts w:ascii="Times New Roman" w:hAnsi="Times New Roman" w:cs="Times New Roman"/>
          <w:color w:val="000000" w:themeColor="text1"/>
          <w:sz w:val="24"/>
          <w:szCs w:val="24"/>
        </w:rPr>
        <w:fldChar w:fldCharType="end"/>
      </w:r>
      <w:r w:rsidR="002C1A2F" w:rsidRPr="00F153F6">
        <w:rPr>
          <w:rFonts w:ascii="Times New Roman" w:eastAsia="Times New Roman" w:hAnsi="Times New Roman" w:cs="Times New Roman"/>
          <w:iCs/>
          <w:color w:val="000000" w:themeColor="text1"/>
          <w:sz w:val="24"/>
          <w:szCs w:val="24"/>
        </w:rPr>
        <w:t xml:space="preserve">; editability allows actors to modify existing or create new content to support knowledge sharing </w:t>
      </w:r>
      <w:r w:rsidR="002C1A2F" w:rsidRPr="00F153F6">
        <w:rPr>
          <w:rFonts w:ascii="Times New Roman" w:hAnsi="Times New Roman" w:cs="Times New Roman"/>
          <w:color w:val="000000" w:themeColor="text1"/>
          <w:sz w:val="24"/>
          <w:szCs w:val="24"/>
        </w:rPr>
        <w:fldChar w:fldCharType="begin"/>
      </w:r>
      <w:r w:rsidR="002C1A2F" w:rsidRPr="00F153F6">
        <w:rPr>
          <w:rFonts w:ascii="Times New Roman" w:eastAsia="Times New Roman" w:hAnsi="Times New Roman" w:cs="Times New Roman"/>
          <w:iCs/>
          <w:color w:val="000000" w:themeColor="text1"/>
          <w:sz w:val="24"/>
          <w:szCs w:val="24"/>
        </w:rPr>
        <w:instrText xml:space="preserve"> ADDIN ZOTERO_ITEM CSL_CITATION {"citationID":"a19cndqli4r","properties":{"formattedCitation":"(Treem &amp; Leonardi, 2013)","plainCitation":"(Treem &amp; Leonardi, 2013)","noteIndex":0},"citationItems":[{"id":10349,"uris":["http://zotero.org/users/5709166/items/XDL9WZ8S"],"itemData":{"id":10349,"type":"article-journal","container-title":"Annals of the International Communication Association","DOI":"10.1080/23808985.2013.11679130","ISSN":"2380-8985, 2380-8977","issue":"1","journalAbbreviation":"Annals of the International Communication Association","language":"en","page":"143-189","source":"DOI.org (Crossref)","title":"Social Media Use in Organizations: Exploring the Affordances of Visibility, Editability, Persistence, and Association","title-short":"Social Media Use in Organizations","volume":"36","author":[{"family":"Treem","given":"Jeffrey W."},{"family":"Leonardi","given":"Paul M."}],"issued":{"date-parts":[["2013",1]]}}}],"schema":"https://github.com/citation-style-language/schema/raw/master/csl-citation.json"} </w:instrText>
      </w:r>
      <w:r w:rsidR="002C1A2F" w:rsidRPr="00F153F6">
        <w:rPr>
          <w:rFonts w:ascii="Times New Roman" w:hAnsi="Times New Roman" w:cs="Times New Roman"/>
          <w:color w:val="000000" w:themeColor="text1"/>
          <w:sz w:val="24"/>
          <w:szCs w:val="24"/>
        </w:rPr>
        <w:fldChar w:fldCharType="separate"/>
      </w:r>
      <w:r w:rsidR="002C1A2F" w:rsidRPr="00F153F6">
        <w:rPr>
          <w:rFonts w:ascii="Times New Roman" w:hAnsi="Times New Roman" w:cs="Times New Roman"/>
          <w:color w:val="000000" w:themeColor="text1"/>
          <w:sz w:val="24"/>
          <w:szCs w:val="24"/>
        </w:rPr>
        <w:t>(Treem &amp; Leonardi, 2013)</w:t>
      </w:r>
      <w:r w:rsidR="002C1A2F" w:rsidRPr="00F153F6">
        <w:rPr>
          <w:rFonts w:ascii="Times New Roman" w:hAnsi="Times New Roman" w:cs="Times New Roman"/>
          <w:color w:val="000000" w:themeColor="text1"/>
          <w:sz w:val="24"/>
          <w:szCs w:val="24"/>
        </w:rPr>
        <w:fldChar w:fldCharType="end"/>
      </w:r>
      <w:r w:rsidR="002C1A2F" w:rsidRPr="00F153F6">
        <w:rPr>
          <w:rFonts w:ascii="Times New Roman" w:eastAsia="Times New Roman" w:hAnsi="Times New Roman" w:cs="Times New Roman"/>
          <w:iCs/>
          <w:color w:val="000000" w:themeColor="text1"/>
          <w:sz w:val="24"/>
          <w:szCs w:val="24"/>
        </w:rPr>
        <w:t xml:space="preserve">; association ability allows actors to connect people or other contents and thus develop networks </w:t>
      </w:r>
      <w:r w:rsidR="002C1A2F" w:rsidRPr="00F153F6">
        <w:rPr>
          <w:rFonts w:ascii="Times New Roman" w:hAnsi="Times New Roman" w:cs="Times New Roman"/>
          <w:color w:val="000000" w:themeColor="text1"/>
          <w:sz w:val="24"/>
          <w:szCs w:val="24"/>
        </w:rPr>
        <w:fldChar w:fldCharType="begin"/>
      </w:r>
      <w:r w:rsidR="002C1A2F" w:rsidRPr="00F153F6">
        <w:rPr>
          <w:rFonts w:ascii="Times New Roman" w:eastAsia="Times New Roman" w:hAnsi="Times New Roman" w:cs="Times New Roman"/>
          <w:iCs/>
          <w:color w:val="000000" w:themeColor="text1"/>
          <w:sz w:val="24"/>
          <w:szCs w:val="24"/>
        </w:rPr>
        <w:instrText xml:space="preserve"> ADDIN ZOTERO_ITEM CSL_CITATION {"citationID":"a28sphakk82","properties":{"formattedCitation":"(Sun et al., 2019)","plainCitation":"(Sun et al., 2019)","noteIndex":0},"citationItems":[{"id":2649,"uris":["http://zotero.org/users/5709166/items/BRHXZKIJ"],"itemData":{"id":2649,"type":"article-journal","abstract":"Purpose – Enterprise social media platforms (ESMPs) are web 2.0-based computer media tools that facilitate knowledge sharing by employees. The purpose of this paper is to outline the potential of ESMPs in both enabling and hindering knowledge sharing from the perspective of affordances.","container-title":"Journal of Enterprise Information Management","DOI":"10.1108/JEIM-10-2018-0232","ISSN":"1741-0398","issue":"2","journalAbbreviation":"JEIM","language":"en","page":"233-250","source":"DOI.org (Crossref)","title":"The impact of enterprise social media platforms on knowledge sharing: An affordance lens perspective","title-short":"The impact of enterprise social media platforms on knowledge sharing","volume":"32","author":[{"family":"Sun","given":"Yuan"},{"family":"Zhou","given":"Xinjie"},{"family":"Jeyaraj","given":"Anand"},{"family":"Shang","given":"Rong-An"},{"family":"Hu","given":"Feng"}],"issued":{"date-parts":[["2019",4,30]]}}}],"schema":"https://github.com/citation-style-language/schema/raw/master/csl-citation.json"} </w:instrText>
      </w:r>
      <w:r w:rsidR="002C1A2F" w:rsidRPr="00F153F6">
        <w:rPr>
          <w:rFonts w:ascii="Times New Roman" w:hAnsi="Times New Roman" w:cs="Times New Roman"/>
          <w:color w:val="000000" w:themeColor="text1"/>
          <w:sz w:val="24"/>
          <w:szCs w:val="24"/>
        </w:rPr>
        <w:fldChar w:fldCharType="separate"/>
      </w:r>
      <w:r w:rsidR="002C1A2F" w:rsidRPr="00F153F6">
        <w:rPr>
          <w:rFonts w:ascii="Times New Roman" w:hAnsi="Times New Roman" w:cs="Times New Roman"/>
          <w:color w:val="000000" w:themeColor="text1"/>
          <w:sz w:val="24"/>
          <w:szCs w:val="24"/>
        </w:rPr>
        <w:t>(Sun et al., 2019)</w:t>
      </w:r>
      <w:r w:rsidR="002C1A2F" w:rsidRPr="00F153F6">
        <w:rPr>
          <w:rFonts w:ascii="Times New Roman" w:hAnsi="Times New Roman" w:cs="Times New Roman"/>
          <w:color w:val="000000" w:themeColor="text1"/>
          <w:sz w:val="24"/>
          <w:szCs w:val="24"/>
        </w:rPr>
        <w:fldChar w:fldCharType="end"/>
      </w:r>
      <w:r w:rsidR="002C1A2F" w:rsidRPr="00F153F6">
        <w:rPr>
          <w:rFonts w:ascii="Times New Roman" w:eastAsia="Times New Roman" w:hAnsi="Times New Roman" w:cs="Times New Roman"/>
          <w:iCs/>
          <w:color w:val="000000" w:themeColor="text1"/>
          <w:sz w:val="24"/>
          <w:szCs w:val="24"/>
        </w:rPr>
        <w:t xml:space="preserve">; notified attention ability allows actors to receive signals such as notifications </w:t>
      </w:r>
      <w:r w:rsidR="002C1A2F" w:rsidRPr="00F153F6">
        <w:rPr>
          <w:rFonts w:ascii="Times New Roman" w:hAnsi="Times New Roman" w:cs="Times New Roman"/>
          <w:color w:val="000000" w:themeColor="text1"/>
          <w:sz w:val="24"/>
          <w:szCs w:val="24"/>
        </w:rPr>
        <w:fldChar w:fldCharType="begin"/>
      </w:r>
      <w:r w:rsidR="00B73834" w:rsidRPr="00F153F6">
        <w:rPr>
          <w:rFonts w:ascii="Times New Roman" w:eastAsia="Times New Roman" w:hAnsi="Times New Roman" w:cs="Times New Roman"/>
          <w:iCs/>
          <w:color w:val="000000" w:themeColor="text1"/>
          <w:sz w:val="24"/>
          <w:szCs w:val="24"/>
        </w:rPr>
        <w:instrText xml:space="preserve"> ADDIN ZOTERO_ITEM CSL_CITATION {"citationID":"a1d2l5abfu8","properties":{"formattedCitation":"(Gibson et al., 2021; Oostervink et al., 2016)","plainCitation":"(Gibson et al., 2021; Oostervink et al., 2016)","noteIndex":0},"citationItems":[{"id":9799,"uris":["http://zotero.org/users/5709166/items/2MGCEYF6"],"itemData":{"id":9799,"type":"article-journal","abstract":"Despite the dynamic nature of knowledge-related activities and the availability of a variety of communication technologies, many global teams habitually use technology in the same way across activities. However, as teams move through cycles of accumulating, integrating, and implementing knowledge, the purposes for communication technologies change. Current theorizing and empirical work on team knowledge management has yet to develop a dynamic theory that incorporates these changes. By conducting a multiwave, mixed method analysis of 48 global teams, we develop a theory of how global teams sustain effectiveness through technology affordance processes. We found that effective teams are those that recognize cues indicating change is necessary and coevolve a symbiosis between new activities, new purposes for interaction, and new uses of communication technologies. This coevolution of purpose with technology use forms new affordances, which enable the team to move on to new knowledge management activities and sustain effectiveness. Our theory more realistically models the dynamics of staying connected while sharing, combining, and implementing knowledge across the globe.","container-title":"Organization Science","DOI":"10.1287/orsc.2021.1478","ISSN":"1047-7039, 1526-5455","journalAbbreviation":"Organization Science","language":"en","page":"orsc.2021.1478","source":"DOI.org (Crossref)","title":"Sustaining Effectiveness in Global Teams: The Coevolution of Knowledge Management Activities and Technology Affordances","title-short":"Sustaining Effectiveness in Global Teams","author":[{"family":"Gibson","given":"Cristina B."},{"family":"Dunlop","given":"Patrick D."},{"family":"Majchrzak","given":"Ann"},{"family":"Chia","given":"Terence"}],"issued":{"date-parts":[["2021",8,11]]}}},{"id":10350,"uris":["http://zotero.org/users/5709166/items/9D35HUAF"],"itemData":{"id":10350,"type":"article-journal","abstract":"This study examines the use of enterprise social media (ESM) for organizational knowledge sharing and shows that professionals face ambiguities because their knowledge sharing behavior is informed by an institutional complexity that consists of 2 dissimilar institutional logics: logics of the profession, and logics of the corporation. Our qualitative case study of an ESM at an IT consultancy organization shows that professionals find ways to manage the ambiguities they experience by engaging the affordances of ESM in such a way as to develop coping practices: connection management, reputation management, and information management. By complementing the affordance perspective with an institutional logics perspective, we are able to advance scholarly understanding on how ESM can facilitate but also frustrate knowledge sharing.","container-title":"Journal of Computer-Mediated Communication","DOI":"10.1111/jcc4.12153","ISSN":"1083-6101","issue":"2","journalAbbreviation":"Journal of Computer-Mediated Communication","page":"156-176","source":"Silverchair","title":"Knowledge Sharing on Enterprise Social Media: Practices to Cope with Institutional Complexity","title-short":"Knowledge Sharing on Enterprise Social Media","volume":"21","author":[{"family":"Oostervink","given":"Nick"},{"family":"Agterberg","given":"Marlous"},{"family":"Huysman","given":"Marleen"}],"issued":{"date-parts":[["2016",3,1]]}}}],"schema":"https://github.com/citation-style-language/schema/raw/master/csl-citation.json"} </w:instrText>
      </w:r>
      <w:r w:rsidR="002C1A2F" w:rsidRPr="00F153F6">
        <w:rPr>
          <w:rFonts w:ascii="Times New Roman" w:hAnsi="Times New Roman" w:cs="Times New Roman"/>
          <w:color w:val="000000" w:themeColor="text1"/>
          <w:sz w:val="24"/>
          <w:szCs w:val="24"/>
        </w:rPr>
        <w:fldChar w:fldCharType="separate"/>
      </w:r>
      <w:r w:rsidR="00B73834" w:rsidRPr="00F153F6">
        <w:rPr>
          <w:rFonts w:ascii="Times New Roman" w:hAnsi="Times New Roman" w:cs="Times New Roman"/>
          <w:sz w:val="24"/>
          <w:szCs w:val="24"/>
        </w:rPr>
        <w:t>(Gibson et al., 2021; Oostervink et al., 2016)</w:t>
      </w:r>
      <w:r w:rsidR="002C1A2F" w:rsidRPr="00F153F6">
        <w:rPr>
          <w:rFonts w:ascii="Times New Roman" w:hAnsi="Times New Roman" w:cs="Times New Roman"/>
          <w:color w:val="000000" w:themeColor="text1"/>
          <w:sz w:val="24"/>
          <w:szCs w:val="24"/>
        </w:rPr>
        <w:fldChar w:fldCharType="end"/>
      </w:r>
      <w:r w:rsidR="002C1A2F" w:rsidRPr="00F153F6">
        <w:rPr>
          <w:rFonts w:ascii="Times New Roman" w:eastAsia="Times New Roman" w:hAnsi="Times New Roman" w:cs="Times New Roman"/>
          <w:iCs/>
          <w:color w:val="000000" w:themeColor="text1"/>
          <w:sz w:val="24"/>
          <w:szCs w:val="24"/>
        </w:rPr>
        <w:t xml:space="preserve">; and pervasiveness ability allows actors to share and communicate with each other anywhere anytime </w:t>
      </w:r>
      <w:r w:rsidR="002C1A2F" w:rsidRPr="00F153F6">
        <w:rPr>
          <w:rFonts w:ascii="Times New Roman" w:hAnsi="Times New Roman" w:cs="Times New Roman"/>
          <w:color w:val="000000" w:themeColor="text1"/>
          <w:sz w:val="24"/>
          <w:szCs w:val="24"/>
        </w:rPr>
        <w:fldChar w:fldCharType="begin"/>
      </w:r>
      <w:r w:rsidR="002C1A2F" w:rsidRPr="00F153F6">
        <w:rPr>
          <w:rFonts w:ascii="Times New Roman" w:eastAsia="Times New Roman" w:hAnsi="Times New Roman" w:cs="Times New Roman"/>
          <w:iCs/>
          <w:color w:val="000000" w:themeColor="text1"/>
          <w:sz w:val="24"/>
          <w:szCs w:val="24"/>
        </w:rPr>
        <w:instrText xml:space="preserve"> ADDIN ZOTERO_ITEM CSL_CITATION {"citationID":"av1qhrmhta","properties":{"formattedCitation":"(Rice et al., 2017)","plainCitation":"(Rice et al., 2017)","noteIndex":0},"citationItems":[{"id":1408,"uris":["http://zotero.org/users/5709166/items/ELQYEH4W"],"itemData":{"id":1408,"type":"article-journal","abstract":"The concept of affordances has been increasingly applied to the study of information and communication technologies (ICTs) in organizational contexts. However, almost no research operationalizes affordances, limiting comparisons and programmatic research. This article briefly reviews conceptualizations and possibilities of affordances in general and for media, then introduces the concept of organizational media affordances as organizational resources. Analysis of survey data from a large Nordic media organization identified six reliable and valid organizational media affordances: pervasiveness, editability, self-presentation, searchability, visibility, and awareness. Eight media scales based on frequency of use of 10 media within each of three organization levels were differentially associated with these affordances. The conceptualization, measurement approach, and results from this study provide the foundation for considerable future organizational communication and ICT research. © 2017 International Communication Association","archive":"Scopus","container-title":"Journal of Communication","DOI":"10.1111/jcom.12273","ISSN":"00219916 (ISSN)","issue":"1","journalAbbreviation":"J. Commun.","language":"English","page":"106-130","title":"Organizational Media Affordances: Operationalization and Associations with Media Use","volume":"67","author":[{"family":"Rice","given":"R.E."},{"family":"Evans","given":"S.K."},{"family":"Pearce","given":"K.E."},{"family":"Sivunen","given":"A."},{"family":"Vitak","given":"J."},{"family":"Treem","given":"J.W."}],"issued":{"date-parts":[["2017"]]}}}],"schema":"https://github.com/citation-style-language/schema/raw/master/csl-citation.json"} </w:instrText>
      </w:r>
      <w:r w:rsidR="002C1A2F" w:rsidRPr="00F153F6">
        <w:rPr>
          <w:rFonts w:ascii="Times New Roman" w:hAnsi="Times New Roman" w:cs="Times New Roman"/>
          <w:color w:val="000000" w:themeColor="text1"/>
          <w:sz w:val="24"/>
          <w:szCs w:val="24"/>
        </w:rPr>
        <w:fldChar w:fldCharType="separate"/>
      </w:r>
      <w:r w:rsidR="002C1A2F" w:rsidRPr="00F153F6">
        <w:rPr>
          <w:rFonts w:ascii="Times New Roman" w:hAnsi="Times New Roman" w:cs="Times New Roman"/>
          <w:color w:val="000000" w:themeColor="text1"/>
          <w:sz w:val="24"/>
          <w:szCs w:val="24"/>
        </w:rPr>
        <w:t>(Rice et al., 2017)</w:t>
      </w:r>
      <w:r w:rsidR="002C1A2F" w:rsidRPr="00F153F6">
        <w:rPr>
          <w:rFonts w:ascii="Times New Roman" w:hAnsi="Times New Roman" w:cs="Times New Roman"/>
          <w:color w:val="000000" w:themeColor="text1"/>
          <w:sz w:val="24"/>
          <w:szCs w:val="24"/>
        </w:rPr>
        <w:fldChar w:fldCharType="end"/>
      </w:r>
      <w:r w:rsidR="002C1A2F" w:rsidRPr="00F153F6">
        <w:rPr>
          <w:rFonts w:ascii="Times New Roman" w:eastAsia="Times New Roman" w:hAnsi="Times New Roman" w:cs="Times New Roman"/>
          <w:iCs/>
          <w:color w:val="000000" w:themeColor="text1"/>
          <w:sz w:val="24"/>
          <w:szCs w:val="24"/>
        </w:rPr>
        <w:t>. These diverse abilities afforded by ICT indicate</w:t>
      </w:r>
      <w:r w:rsidR="00880C24" w:rsidRPr="00F153F6">
        <w:rPr>
          <w:rFonts w:ascii="Times New Roman" w:eastAsia="Times New Roman" w:hAnsi="Times New Roman" w:cs="Times New Roman"/>
          <w:iCs/>
          <w:color w:val="000000" w:themeColor="text1"/>
          <w:sz w:val="24"/>
          <w:szCs w:val="24"/>
        </w:rPr>
        <w:t>s</w:t>
      </w:r>
      <w:r w:rsidR="002C1A2F" w:rsidRPr="00F153F6">
        <w:rPr>
          <w:rFonts w:ascii="Times New Roman" w:eastAsia="Times New Roman" w:hAnsi="Times New Roman" w:cs="Times New Roman"/>
          <w:iCs/>
          <w:color w:val="000000" w:themeColor="text1"/>
          <w:sz w:val="24"/>
          <w:szCs w:val="24"/>
        </w:rPr>
        <w:t xml:space="preserve"> that ICTs can have a significant impact on actors’ knowledge work as part of their IOKE practices.</w:t>
      </w:r>
    </w:p>
    <w:p w14:paraId="252A35DB" w14:textId="77777777" w:rsidR="002C1A2F" w:rsidRPr="00F153F6" w:rsidRDefault="002C1A2F" w:rsidP="004424B4">
      <w:pPr>
        <w:pStyle w:val="Heading2"/>
        <w:spacing w:line="360" w:lineRule="auto"/>
        <w:rPr>
          <w:rFonts w:ascii="Times New Roman" w:hAnsi="Times New Roman" w:cs="Times New Roman"/>
          <w:bCs/>
          <w:i/>
          <w:iCs/>
          <w:color w:val="000000" w:themeColor="text1"/>
          <w:sz w:val="32"/>
          <w:szCs w:val="32"/>
        </w:rPr>
      </w:pPr>
      <w:bookmarkStart w:id="220" w:name="_Toc50065943"/>
      <w:bookmarkStart w:id="221" w:name="_Toc118371103"/>
      <w:bookmarkStart w:id="222" w:name="_Toc133252126"/>
      <w:r w:rsidRPr="00F153F6">
        <w:rPr>
          <w:rFonts w:ascii="Times New Roman" w:hAnsi="Times New Roman" w:cs="Times New Roman"/>
          <w:color w:val="000000" w:themeColor="text1"/>
          <w:sz w:val="32"/>
          <w:szCs w:val="32"/>
        </w:rPr>
        <w:t>2.6 ICT Impact on Inter-organisational Knowledge Exchange Practice</w:t>
      </w:r>
      <w:bookmarkEnd w:id="220"/>
      <w:bookmarkEnd w:id="221"/>
      <w:bookmarkEnd w:id="222"/>
    </w:p>
    <w:p w14:paraId="5F60DFF5" w14:textId="27EA32F3"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In the knowledge management field, the literature has emphasised the importance of ICT as a key success factor for enabling approaches to knowledge management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{"citationID":"a5eck4inci","properties":{"formattedCitation":"(S. Kim &amp; Trimi, 2007)","plainCitation":"(S. Kim &amp; Trimi, 2007)","noteIndex":0},"citationItems":[{"id":2315,"uris":["http://zotero.org/users/5709166/items/XEPUL874"],"itemData":{"id":2315,"type":"article-journal","abstract":"Purpose– The purpose of the paper is to examine the underlying components of information technology (IT) that support different models of knowledge management (KM).Design/methodology/approach– This empirical study is conducted in the management consulting industry to examine the important link between IT and KM. Based on previous research, four knowledge models were developed for the management consulting industry based on the knowledge type and service type. Data collected through a survey from 115 management consulting firms in the USA and Canada were analyzed.Findings– Regardless of the type of KM model utilized, the most widely used IT by management consulting firms was the internet‐related technology (e‐mail, internet, and search engine). The second important IT component was data management technology (document management, data warehousing, data mining, knowledge repositories, and database management). The third important IT was collaborating technology (videoconferencing, workflow management, groupware, group decision support systems, and knowledge maps). The least important IT was artificial intelligence (expert systems, case‐based reasoning systems, intelligent agent, and neural network).Originality/value– This paper develops a new topology of KM models based on the knowledge type (exploitive and explorative) and service type (standardized and customized). Thus, four KM models are developed: reuser (exploitive/standardized); stabilizer (exploitive/customized); explorer (explorative/standardized); and innovator (explorative/customized). While IT has been widely accepted as an enabler for KM, its application for a different focus of KM has not been explored.","container-title":"Journal of Knowledge Management","DOI":"10.1108/13673270710752162","ISSN":"1367-3270","issue":"3","note":"publisher: Emerald Group Publishing Limited","page":"145-155","source":"Emerald Insight","title":"IT for KM in the management consulting industry","volume":"11","author":[{"family":"Kim","given":"Sung‐kwan"},{"family":"Trimi","given":"Silvana"}],"issued":{"date-parts":[["2007",1,1]]}}}],"schema":"https://github.com/citation-style-language/schema/raw/master/csl-citation.json"}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(Kim &amp; Trimi, 2007)</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ICT can support approaches to knowledge exchange through two perspectives which are compatible with the views on the notion of knowledge: an objectivist view of ICT-enabled knowledge exchange and a practice-based view of ICT-enabled knowledge exchange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{"citationID":"a1p68hrd6ur","properties":{"formattedCitation":"(Sefollahi, 2018)","plainCitation":"(Sefollahi, 2018)","noteIndex":0},"citationItems":[{"id":2327,"uris":["http://zotero.org/users/5709166/items/RFRQDQP7"],"itemData":{"id":2327,"type":"article-journal","abstract":"Knowledge management (KM) is a process that transforms individual knowledgeinto organizational knowledge.Knowledgeis information that is meaningful in cognitive forms such as understanding, awareness and ability .It is typically acquired by experience, information consumption, experimentation and thought processes such as imagination and critical thinking. communication and information technology(ICT) are technologies which facilitate the management to share knowledge and information .thus ,ICT have a prominent role on knowledge management initiatives. One of the key issues in KM is the role of communication and information technology. this is important from two points. the first is that ICT has played a central role in the primary literature of knowledge management. Second, ICT plays a prominent role in many early knowledge management initiatives. In thisarticle,the importance and role of information technology in knowledge management in organizations has been investigated and analyzed.","language":"en","page":"18","source":"Zotero","title":"THE IMPORTANCE OF ICT ON KNOWLEDGE MANAGEMENT IN ORGANIZATIONS","author":[{"family":"Sefollahi","given":"N"}],"issued":{"date-parts":[["2018"]]}}}],"schema":"https://github.com/citation-style-language/schema/raw/master/csl-citation.json"}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(Sefollahi, 2018)</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w:t>
      </w:r>
    </w:p>
    <w:p w14:paraId="227CAC32" w14:textId="77777777" w:rsidR="002C1A2F" w:rsidRPr="00F153F6" w:rsidRDefault="002C1A2F" w:rsidP="000543CB">
      <w:pPr>
        <w:pStyle w:val="Heading3"/>
        <w:spacing w:line="360" w:lineRule="auto"/>
        <w:ind w:firstLine="720"/>
        <w:jc w:val="both"/>
        <w:rPr>
          <w:rFonts w:ascii="Times New Roman" w:hAnsi="Times New Roman" w:cs="Times New Roman"/>
          <w:b/>
          <w:color w:val="000000" w:themeColor="text1"/>
          <w:sz w:val="28"/>
          <w:szCs w:val="28"/>
        </w:rPr>
      </w:pPr>
      <w:bookmarkStart w:id="223" w:name="_Toc118371104"/>
      <w:bookmarkStart w:id="224" w:name="_Toc133252127"/>
      <w:r w:rsidRPr="00F153F6">
        <w:rPr>
          <w:rFonts w:ascii="Times New Roman" w:hAnsi="Times New Roman" w:cs="Times New Roman"/>
          <w:b/>
          <w:color w:val="000000" w:themeColor="text1"/>
          <w:sz w:val="28"/>
          <w:szCs w:val="28"/>
        </w:rPr>
        <w:t>2.6.1 Objectivist view of ICT-enabled Knowledge Exchange</w:t>
      </w:r>
      <w:bookmarkEnd w:id="223"/>
      <w:bookmarkEnd w:id="224"/>
    </w:p>
    <w:p w14:paraId="23E6CD1D" w14:textId="3A9BDF21"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An objectivist perspective of knowledge conceptualises knowledge as an object separated from the human. Following this perspective, an objectivist view of ICT-enabled </w:t>
      </w:r>
      <w:r w:rsidRPr="00F153F6">
        <w:rPr>
          <w:rFonts w:ascii="Times New Roman" w:eastAsia="Times New Roman" w:hAnsi="Times New Roman" w:cs="Times New Roman"/>
          <w:iCs/>
          <w:color w:val="000000" w:themeColor="text1"/>
          <w:sz w:val="24"/>
          <w:szCs w:val="24"/>
        </w:rPr>
        <w:t>knowledge exchange</w:t>
      </w:r>
      <w:r w:rsidRPr="00F153F6">
        <w:rPr>
          <w:rFonts w:ascii="Times New Roman" w:hAnsi="Times New Roman" w:cs="Times New Roman"/>
          <w:color w:val="000000" w:themeColor="text1"/>
          <w:sz w:val="24"/>
          <w:szCs w:val="24"/>
        </w:rPr>
        <w:t xml:space="preserve"> treats knowledge as a discrete object that can exist separately from human, and much </w:t>
      </w:r>
      <w:r w:rsidRPr="00F153F6">
        <w:rPr>
          <w:rFonts w:ascii="Times New Roman" w:hAnsi="Times New Roman" w:cs="Times New Roman"/>
          <w:color w:val="000000" w:themeColor="text1"/>
          <w:sz w:val="24"/>
          <w:szCs w:val="24"/>
        </w:rPr>
        <w:lastRenderedPageBreak/>
        <w:t xml:space="preserve">knowledge is explicit or can be made explicit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{"citationID":"a2tu2sr7c9","properties":{"formattedCitation":"(Sefollahi, 2018)","plainCitation":"(Sefollahi, 2018)","noteIndex":0},"citationItems":[{"id":2327,"uris":["http://zotero.org/users/5709166/items/RFRQDQP7"],"itemData":{"id":2327,"type":"article-journal","abstract":"Knowledge management (KM) is a process that transforms individual knowledgeinto organizational knowledge.Knowledgeis information that is meaningful in cognitive forms such as understanding, awareness and ability .It is typically acquired by experience, information consumption, experimentation and thought processes such as imagination and critical thinking. communication and information technology(ICT) are technologies which facilitate the management to share knowledge and information .thus ,ICT have a prominent role on knowledge management initiatives. One of the key issues in KM is the role of communication and information technology. this is important from two points. the first is that ICT has played a central role in the primary literature of knowledge management. Second, ICT plays a prominent role in many early knowledge management initiatives. In thisarticle,the importance and role of information technology in knowledge management in organizations has been investigated and analyzed.","language":"en","page":"18","source":"Zotero","title":"THE IMPORTANCE OF ICT ON KNOWLEDGE MANAGEMENT IN ORGANIZATIONS","author":[{"family":"Sefollahi","given":"N"}],"issued":{"date-parts":[["2018"]]}}}],"schema":"https://github.com/citation-style-language/schema/raw/master/csl-citation.json"}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(Sefollahi, 2018)</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Knowledge sharing under this perspective is based on a transmitter-receiver model where knowledge is shared from a separate sender to a separate receiver via a specific transfer mechanism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{"citationID":"a16r9np8acn","properties":{"formattedCitation":"(Hartmann &amp; Dor\\uc0\\u233{}e, 2015)","plainCitation":"(Hartmann &amp; Dorée, 2015)","noteIndex":0},"citationItems":[{"id":2352,"uris":["http://zotero.org/users/5709166/items/5GJA62NY"],"itemData":{"id":2352,"type":"article-journal","abstract":"Although learning from projects has gained much importance in research and practice, progress in understanding and improving inter-project learning appears to be slight. We argue that the adoption of a sender/receiver approach limits the learning effectiveness in project-based organisations. Drawing upon the notion of learning as a social activity embedded in an organisational context, we develop the argument that learning from projects takes place within projects rooted in the historical, organisational and cultural context of previous and current projects. We underpin our argument with results from a multiple-case study on learning in construction organisations. We show that learning cannot be segregated from immediate practice and occurs when individuals engage in project work. Particularly the orientation towards project goals and project-overarching ambitions or trajectories can serve as contextual binder for learning in and between projects.","container-title":"International Journal of Project Management","DOI":"10.1016/j.ijproman.2014.07.006","ISSN":"0263-7863","issue":"2","journalAbbreviation":"International Journal of Project Management","language":"en","page":"341-351","source":"ScienceDirect","title":"Learning between projects: More than sending messages in bottles","title-short":"Learning between projects","volume":"33","author":[{"family":"Hartmann","given":"Andreas"},{"family":"Dorée","given":"André"}],"issued":{"date-parts":[["2015",2,1]]}}}],"schema":"https://github.com/citation-style-language/schema/raw/master/csl-citation.json"}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(Hartmann &amp; Dorée, 2015)</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In light of the objectivist view of knowledge, there are mainly two assumptions underpinning ICT-enabled KM studies </w:t>
      </w:r>
      <w:bookmarkStart w:id="225" w:name="OLE_LINK113"/>
      <w:bookmarkStart w:id="226" w:name="OLE_LINK114"/>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{"citationID":"a1r74lu9mft","properties":{"formattedCitation":"(Hislop et al., 2018)","plainCitation":"(Hislop et al., 2018)","noteIndex":0},"citationItems":[{"id":475,"uris":["http://zotero.org/users/5709166/items/K99MV3Q7"],"itemData":{"id":475,"type":"book","abstract":"Knowledge Management in Organizations is the most comprehensive and critical textbook on the subject. Encompassing a number of perspectives - including organizational behaviour, HRM, systems, and sociocultural factors - the text introduces the concept of knowledge before examining how it can be effectively managed within the organizations in which we work. The international author team ensure the broad theoretical coverage is brought to life with practical illustrations and case studies exploring topics such as knowledge sharing via social media, knowledge transfer in different cultural contexts, and the interaction of leadership, culture, and knowledge management in Australian SMEs. Examples are diverse, international, and highly relevant to each chapter, showcasing the significance of knowledge management in all types of organizational settings. 'Time to Reflect' boxes, review and discussion questions, and a question or activity to accompany every illustration and case study ensure students are challenged to engage with the subject critically and reflectively. Despite the critical approach and depth of coverage, the text remains accessible through its widely praised writing style, coherent structure, in-chapter definition boxes, and manageable size. This book is accompanied by a selection of online resources: For students: Extra online casesWeb links to additional resources and relevant websitesExtension questions For lecturers: Suggested exam questions Suggested essay/coursework questionsSuggestions for classroom activities Figures and tables from the book","ISBN":"978-0-19-872401-8","language":"en","note":"Google-Books-ID: fhFQDwAAQBAJ","number-of-pages":"345","publisher":"Oxford University Press","source":"Google Books","title":"Knowledge Management in Organizations: A Critical Introduction","title-short":"Knowledge Management in Organizations","author":[{"family":"Hislop","given":"Donald"},{"family":"Bosua","given":"Rachelle"},{"family":"Helms","given":"Remko"}],"issued":{"date-parts":[["2018",3,29]]}}}],"schema":"https://github.com/citation-style-language/schema/raw/master/csl-citation.json"}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(Hislop et al., 2018)</w:t>
      </w:r>
      <w:r w:rsidRPr="00F153F6">
        <w:rPr>
          <w:rFonts w:ascii="Times New Roman" w:hAnsi="Times New Roman" w:cs="Times New Roman"/>
          <w:color w:val="000000" w:themeColor="text1"/>
          <w:sz w:val="24"/>
          <w:szCs w:val="24"/>
        </w:rPr>
        <w:fldChar w:fldCharType="end"/>
      </w:r>
      <w:bookmarkEnd w:id="225"/>
      <w:bookmarkEnd w:id="226"/>
      <w:r w:rsidRPr="00F153F6">
        <w:rPr>
          <w:rFonts w:ascii="Times New Roman" w:hAnsi="Times New Roman" w:cs="Times New Roman"/>
          <w:color w:val="000000" w:themeColor="text1"/>
          <w:sz w:val="24"/>
          <w:szCs w:val="24"/>
        </w:rPr>
        <w:t xml:space="preserve">. First, knowledge can be codified, and thereby can be captured in ICTs. Second, the codified knowledge is understandable to others, and thereby can be transferred or shared among people via ICTs. Based on these assumptions, there are various approaches that can be enabled via ICTs in KM. These are discussed next.  </w:t>
      </w:r>
    </w:p>
    <w:p w14:paraId="685787EE" w14:textId="77777777" w:rsidR="002C1A2F" w:rsidRPr="00F153F6" w:rsidRDefault="002C1A2F" w:rsidP="004424B4">
      <w:pPr>
        <w:spacing w:line="360" w:lineRule="auto"/>
        <w:jc w:val="both"/>
        <w:rPr>
          <w:rFonts w:ascii="Times New Roman" w:hAnsi="Times New Roman" w:cs="Times New Roman"/>
          <w:b/>
          <w:bCs/>
          <w:color w:val="000000" w:themeColor="text1"/>
          <w:sz w:val="24"/>
          <w:szCs w:val="24"/>
          <w:u w:val="single"/>
        </w:rPr>
      </w:pPr>
      <w:r w:rsidRPr="00F153F6">
        <w:rPr>
          <w:rFonts w:ascii="Times New Roman" w:hAnsi="Times New Roman" w:cs="Times New Roman"/>
          <w:b/>
          <w:bCs/>
          <w:color w:val="000000" w:themeColor="text1"/>
          <w:sz w:val="24"/>
          <w:szCs w:val="24"/>
          <w:u w:val="single"/>
        </w:rPr>
        <w:t xml:space="preserve">Repository-based Approach </w:t>
      </w:r>
    </w:p>
    <w:p w14:paraId="0106B0B9" w14:textId="7D1682BA"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hAnsi="Times New Roman" w:cs="Times New Roman"/>
          <w:color w:val="000000" w:themeColor="text1"/>
          <w:sz w:val="24"/>
          <w:szCs w:val="24"/>
        </w:rPr>
        <w:t xml:space="preserve">A repository-based approach argues that ICTs can support knowledge management by enabling a knowledge repository where knowledge can be codified and become searchable. A </w:t>
      </w:r>
      <w:r w:rsidRPr="00F153F6">
        <w:rPr>
          <w:rFonts w:ascii="Times New Roman" w:eastAsia="Times New Roman" w:hAnsi="Times New Roman" w:cs="Times New Roman"/>
          <w:iCs/>
          <w:color w:val="000000" w:themeColor="text1"/>
          <w:sz w:val="24"/>
          <w:szCs w:val="24"/>
        </w:rPr>
        <w:t>knowledge repository</w:t>
      </w:r>
      <w:r w:rsidRPr="00F153F6">
        <w:rPr>
          <w:rFonts w:ascii="Times New Roman" w:hAnsi="Times New Roman" w:cs="Times New Roman"/>
          <w:color w:val="000000" w:themeColor="text1"/>
          <w:sz w:val="24"/>
          <w:szCs w:val="24"/>
        </w:rPr>
        <w:t xml:space="preserve"> can enable KM by saving time and increasing efficiency of work. For example, Bolisani and Scarso</w:t>
      </w:r>
      <w:r w:rsidRPr="00F153F6">
        <w:rPr>
          <w:rFonts w:ascii="Times New Roman" w:eastAsia="Times New Roman"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{"citationID":"EwFxsrWn","properties":{"formattedCitation":"(2016)","plainCitation":"(2016)","noteIndex":0},"citationItems":[{"id":2312,"uris":["http://zotero.org/users/5709166/items/HBTEQICC"],"itemData":{"id":2312,"type":"article-journal","abstract":"Purpose This paper intends to present and discuss the findings of a case study analysis of the adoption and use of a wiki system by a small enterprise that is intended as a tool for managing the knowledge needed to successfully perform its business activities. The study aims at contributing to the still insufficient research on the factors influencing the use of new Web 2.0 technologies in small organisations to support internal knowledge management.Design/methodology/approach The study combines a qualitative and quantitative approach. The main unit of analysis is the wiki system of a small company, particularly its implementation and usage by the company’s employees. Relevant information about the wiki was collected through six interviews to different company members, and by means of an online survey submitted to almost all employees. Interviews involved the CEO of the company, the system developers and two typical users. The survey was made through a questionnaire of 19 questions online administered by means of a popular free-access online poll website (freeonlinesurveys.com).Findings Through the reconstruction of the history of the system, the study allowed to understand how the wiki has been introduced and is effectively used inside the case company. The findings of the study highlight that the wiki technology, being light and user-friendly, can be particularly suited for small companies. At the same time, they reveal that the successful implementation of such a system is not a spontaneous and automatic result, but requires a resolute support by top management, a good motivation of participating employees and a clear definition of purposes and ways of use.Practical implications The findings of the study contribute both to the academic research, by making available to scholars further empirical evidence about the use of Web 2.0 technologies in small organisations, and to the practice, by providing some guidelines to managers of small companies who are attempting to adopt and use wikis to effectively manage their knowledge assets.Originality/value The paper contributes to the limited research about the adoption and use of wikis as knowledge management system, both in general and in the particular case of a SME. Furthermore, by investigating the behaviours and opinions of individual knowledge workers, it takes into account a perspective that the literature has so far neglected.","container-title":"Journal of Knowledge Management","DOI":"10.1108/JKM-05-2015-0205","ISSN":"1367-3270","issue":"3","note":"publisher: Emerald Group Publishing Limited","page":"423-443","source":"Emerald Insight","title":"Factors affecting the use of wiki to manage knowledge in a small company","volume":"20","author":[{"family":"Bolisani","given":"Ettore"},{"family":"Scarso","given":"Enrico"}],"issued":{"date-parts":[["2016",1,1]]}},"suppress-author":true}],"schema":"https://github.com/citation-style-language/schema/raw/master/csl-citation.json"}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(2016)</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argue that Wikis have flexibility for inserting content and can offer a good trade-off between efficiency and automation (e.g. searching tool, pre-classification of coded data). </w:t>
      </w:r>
      <w:bookmarkStart w:id="227" w:name="OLE_LINK112"/>
      <w:bookmarkStart w:id="228" w:name="OLE_LINK111"/>
      <w:r w:rsidRPr="00F153F6">
        <w:rPr>
          <w:rFonts w:ascii="Times New Roman" w:eastAsia="Times New Roman" w:hAnsi="Times New Roman" w:cs="Times New Roman"/>
          <w:iCs/>
          <w:color w:val="000000" w:themeColor="text1"/>
          <w:sz w:val="24"/>
          <w:szCs w:val="24"/>
        </w:rPr>
        <w:t xml:space="preserve">A knowledge repository </w:t>
      </w:r>
      <w:bookmarkEnd w:id="227"/>
      <w:bookmarkEnd w:id="228"/>
      <w:r w:rsidRPr="00F153F6">
        <w:rPr>
          <w:rFonts w:ascii="Times New Roman" w:eastAsia="Times New Roman" w:hAnsi="Times New Roman" w:cs="Times New Roman"/>
          <w:iCs/>
          <w:color w:val="000000" w:themeColor="text1"/>
          <w:sz w:val="24"/>
          <w:szCs w:val="24"/>
        </w:rPr>
        <w:t xml:space="preserve">also helps to increase work quality. For example, a knowledge repository can provide proven solutions from previous cases for employees in organisations so that their work quality can be improved </w:t>
      </w:r>
      <w:bookmarkStart w:id="229" w:name="OLE_LINK119"/>
      <w:bookmarkStart w:id="230" w:name="OLE_LINK120"/>
      <w:bookmarkStart w:id="231" w:name="OLE_LINK125"/>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{"citationID":"IgpZg1t1","properties":{"formattedCitation":"(Hislop et al., 2018)","plainCitation":"(Hislop et al., 2018)","noteIndex":0},"citationItems":[{"id":475,"uris":["http://zotero.org/users/5709166/items/K99MV3Q7"],"itemData":{"id":475,"type":"book","abstract":"Knowledge Management in Organizations is the most comprehensive and critical textbook on the subject. Encompassing a number of perspectives - including organizational behaviour, HRM, systems, and sociocultural factors - the text introduces the concept of knowledge before examining how it can be effectively managed within the organizations in which we work. The international author team ensure the broad theoretical coverage is brought to life with practical illustrations and case studies exploring topics such as knowledge sharing via social media, knowledge transfer in different cultural contexts, and the interaction of leadership, culture, and knowledge management in Australian SMEs. Examples are diverse, international, and highly relevant to each chapter, showcasing the significance of knowledge management in all types of organizational settings. 'Time to Reflect' boxes, review and discussion questions, and a question or activity to accompany every illustration and case study ensure students are challenged to engage with the subject critically and reflectively. Despite the critical approach and depth of coverage, the text remains accessible through its widely praised writing style, coherent structure, in-chapter definition boxes, and manageable size. This book is accompanied by a selection of online resources: For students: Extra online casesWeb links to additional resources and relevant websitesExtension questions For lecturers: Suggested exam questions Suggested essay/coursework questionsSuggestions for classroom activities Figures and tables from the book","ISBN":"978-0-19-872401-8","language":"en","note":"Google-Books-ID: fhFQDwAAQBAJ","number-of-pages":"345","publisher":"Oxford University Press","source":"Google Books","title":"Knowledge Management in Organizations: A Critical Introduction","title-short":"Knowledge Management in Organizations","author":[{"family":"Hislop","given":"Donald"},{"family":"Bosua","given":"Rachelle"},{"family":"Helms","given":"Remko"}],"issued":{"date-parts":[["2018",3,29]]}}}],"schema":"https://github.com/citation-style-language/schema/raw/master/csl-citation.json"}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(Hislop et al., 2018)</w:t>
      </w:r>
      <w:r w:rsidRPr="00F153F6">
        <w:rPr>
          <w:rFonts w:ascii="Times New Roman" w:hAnsi="Times New Roman" w:cs="Times New Roman"/>
          <w:color w:val="000000" w:themeColor="text1"/>
          <w:sz w:val="24"/>
          <w:szCs w:val="24"/>
        </w:rPr>
        <w:fldChar w:fldCharType="end"/>
      </w:r>
      <w:bookmarkEnd w:id="229"/>
      <w:bookmarkEnd w:id="230"/>
      <w:bookmarkEnd w:id="231"/>
      <w:r w:rsidRPr="00F153F6">
        <w:rPr>
          <w:rFonts w:ascii="Times New Roman" w:eastAsia="Times New Roman" w:hAnsi="Times New Roman" w:cs="Times New Roman"/>
          <w:iCs/>
          <w:color w:val="000000" w:themeColor="text1"/>
          <w:sz w:val="24"/>
          <w:szCs w:val="24"/>
        </w:rPr>
        <w:t xml:space="preserve">. Scholars are also providing algorithms to design knowledge repositories that focus on assessment of work quality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{"citationID":"a1a4ciqhji9","properties":{"formattedCitation":"(Velichety et al., 2019)","plainCitation":"(Velichety et al., 2019)","noteIndex":0},"citationItems":[{"id":2308,"uris":["http://zotero.org/users/5709166/items/XWBZXV7R"],"itemData":{"id":2308,"type":"article-journal","abstract":"We develop a method to assess the quality of peer-produced content in knowledge repositories using their development and coordination histories. We also develop a process to identify relevant features for quality assessment models and algorithms for processing datasets in large-scale knowledge repositories. Models using these features, on English language Wikipedia articles, outperform existing methods for quality assessment. We achieve an overall accuracy of 81 percent which is a 7 percent improvement over existing models. In addition, our features improve the precision and recall of each class up to 9 percent and 17 percent respectively. Finally, our models are robust to ten-fold cross validation and techniques used for classification. Overall, our research provides a comprehensive design science framework for both identifying and efficiently extracting features related to development and coordination activities and assessing quality using these features. We also provide details of potential implementation of a quality assessment system for knowledge repositories.","container-title":"Journal of Management Information Systems","DOI":"10.1080/07421222.2019.1598692","ISSN":"0742-1222, 1557-928X","issue":"2","journalAbbreviation":"Journal of Management Information Systems","language":"en","page":"478-512","source":"DOI.org (Crossref)","title":"Quality Assessment of Peer-Produced Content in Knowledge Repositories using Development and Coordination Activities","volume":"36","author":[{"family":"Velichety","given":"Srikar"},{"family":"Ram","given":"Sudha"},{"family":"Bockstedt","given":"Jesse"}],"issued":{"date-parts":[["2019",4,3]]}}}],"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(Velichety et al., 2019)</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In addition, Farida et al.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{"citationID":"a2nnf4gp57m","properties":{"formattedCitation":"(2015)","plainCitation":"(2015)","noteIndex":0},"citationItems":[{"id":2309,"uris":["http://zotero.org/users/5709166/items/7R2QY624"],"itemData":{"id":2309,"type":"article-journal","container-title":"Library Management","DOI":"10.1108/LM-03-2014-0038","ISSN":"0143-5124","issue":"1/2","journalAbbreviation":"Library Management","language":"en","page":"168-181","source":"DOI.org (Crossref)","title":"A conceptual model of Open Access Institutional Repository in Indonesia academic libraries: Viewed from knowledge management perspective","title-short":"A conceptual model of Open Access Institutional Repository in Indonesia academic libraries","volume":"36","author":[{"family":"Farida","given":"Ida"},{"family":"Tjakraatmadja","given":"Jann Hidajat"},{"family":"Firman","given":"Aries"},{"family":"Basuki","given":"Sulistyo"}],"issued":{"date-parts":[["2015",1,12]]}},"suppress-author":true}],"schema":"https://github.com/citation-style-language/schema/raw/master/csl-citation.json"}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(2015)</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argue that technology in institutional repositories can facilitate user queries and motivate users to self-archive their work into systems, which enhance the learning process. Zamani and Lzhar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{"citationID":"a1ovc6pve9a","properties":{"formattedCitation":"(2017)","plainCitation":"(2017)","noteIndex":0},"citationItems":[{"id":2310,"uris":["http://zotero.org/users/5709166/items/MNR4ZUV2"],"itemData":{"id":2310,"type":"article-journal","abstract":"Knowledge repository is a computerized system that maintains various digital resources to be accessed by the users electronically. Critical success factor on the other hand is defined as the crucial elements that contribute to the success of an event or organization. This paper reviews the literatures on the contributing factors of knowledge repository implementation among the users which specifically focus on the content coverage, technological function and promotion of knowledge repository besides discussing on the proposed models on the critical success factors of knowledge repository. This paper aims to study the factors that are critical or contribute to the success of knowledge repository implementation. This study is significant to the top management and employees of an organization for improving the knowledge repository service in the organization which may act as an effective tool towards the enhancement of the organization performance.","container-title":"International Journal of Management Science &amp; Technology Information","ISSN":"19230265","issue":"26","journalAbbreviation":"International Journal of Management Science &amp; Technology Information","note":"publisher: North American Institute of Science &amp; Information","page":"21-43","source":"EBSCOhost","title":"Critical Success Factors for Knowledge Repository Implementation: Content, Technology and Promotion","title-short":"Critical Success Factors for Knowledge Repository Implementation","author":[{"family":"Zamani","given":"Norfatin Farhanah"},{"family":"Izhar","given":"Tengku Adil Tengku"}],"issued":{"date-parts":[["2017",10]]}},"suppress-author":true}],"schema":"https://github.com/citation-style-language/schema/raw/master/csl-citation.json"}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(2017)</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further claim that knowledge repositories can collect and store scholarly work worldwide in digital form for retrieval, which shows that a repository can provide worldwide access for knowledge exchange. These various views show that ICT can act as a knowledge repository that makes knowledge easily accessible </w:t>
      </w:r>
      <w:r w:rsidR="00A66FBA" w:rsidRPr="00F153F6">
        <w:rPr>
          <w:rFonts w:ascii="Times New Roman" w:eastAsia="Times New Roman" w:hAnsi="Times New Roman" w:cs="Times New Roman"/>
          <w:iCs/>
          <w:color w:val="000000" w:themeColor="text1"/>
          <w:sz w:val="24"/>
          <w:szCs w:val="24"/>
        </w:rPr>
        <w:t>to</w:t>
      </w:r>
      <w:r w:rsidRPr="00F153F6">
        <w:rPr>
          <w:rFonts w:ascii="Times New Roman" w:eastAsia="Times New Roman" w:hAnsi="Times New Roman" w:cs="Times New Roman"/>
          <w:iCs/>
          <w:color w:val="000000" w:themeColor="text1"/>
          <w:sz w:val="24"/>
          <w:szCs w:val="24"/>
        </w:rPr>
        <w:t xml:space="preserve"> people and thereby contribute to knowledge management.</w:t>
      </w:r>
    </w:p>
    <w:p w14:paraId="78B654F6" w14:textId="77777777" w:rsidR="002C1A2F" w:rsidRPr="00F153F6" w:rsidRDefault="002C1A2F" w:rsidP="004424B4">
      <w:pPr>
        <w:spacing w:line="360" w:lineRule="auto"/>
        <w:jc w:val="both"/>
        <w:rPr>
          <w:rFonts w:ascii="Times New Roman" w:hAnsi="Times New Roman" w:cs="Times New Roman"/>
          <w:b/>
          <w:bCs/>
          <w:color w:val="000000" w:themeColor="text1"/>
          <w:sz w:val="24"/>
          <w:szCs w:val="24"/>
          <w:u w:val="single"/>
        </w:rPr>
      </w:pPr>
      <w:r w:rsidRPr="00F153F6">
        <w:rPr>
          <w:rFonts w:ascii="Times New Roman" w:hAnsi="Times New Roman" w:cs="Times New Roman"/>
          <w:b/>
          <w:bCs/>
          <w:color w:val="000000" w:themeColor="text1"/>
          <w:sz w:val="24"/>
          <w:szCs w:val="24"/>
          <w:u w:val="single"/>
        </w:rPr>
        <w:t xml:space="preserve">Process and Domain Knowledge Approach </w:t>
      </w:r>
    </w:p>
    <w:p w14:paraId="05E66492" w14:textId="7636D508"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A process and domain knowledge approach considers ICT as an enabler that facilitates knowledge management initiatives such as knowledge exchange for task execution. ICT can help to clarify tasks and processes during the task execution. For example, ICT such as a workflow management system helps to identify the order of tasks in a process and the deliverables for each step</w:t>
      </w:r>
      <w:bookmarkStart w:id="232" w:name="OLE_LINK117"/>
      <w:bookmarkStart w:id="233" w:name="OLE_LINK118"/>
      <w:r w:rsidRPr="00F153F6">
        <w:rPr>
          <w:rFonts w:ascii="Times New Roman" w:hAnsi="Times New Roman" w:cs="Times New Roman"/>
          <w:color w:val="000000" w:themeColor="text1"/>
          <w:sz w:val="24"/>
          <w:szCs w:val="24"/>
        </w:rPr>
        <w:t xml:space="preserve">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{"citationID":"a1ef1fmb9a9","properties":{"formattedCitation":"(Alavi &amp; Leidner, 2001)","plainCitation":"(Alavi &amp; Leidner, 2001)","noteIndex":0},"citationItems":[{"id":495,"uris":["http://zotero.org/users/5709166/items/WI8WHJPC"],"itemData":{"id":495,"type":"article-journal","abstract":"Knowledge is a broad and abstract notion that has defined epistemological debate in western philosophy since the classical Greek era. In the past few years, however, there has been a growing interest in treating knowledge as a significant organizational resource. Consistent with the interest in organizational knowledge and knowledge management (KM), IS researchers have begun promoting a class of information systems, referred to as knowledge management systems (KMS). The objective of KMS is to support creation, transfer, and application of knowledge in organizations. Knowledge and knowledge management are complex and multi-faceted concepts. Thus, effective development and implementation of KMS requires a foundation in several rich literatures. To be credible, KMS research and development should preserve and build upon the significant literature that exists in different but rzelated fields. This paper provides a review and interpretation of knowledge management literatures in different fields with an eye toward identifying the important areas for research. We present a detailed process view of organizational knowledge management with a focus on the potential role of information technology in this process. Drawing upon the literature review and analysis of knowledge management processes, we discuss several important research issues surrounding the knowledge management processes and the role of IT in support of these processes.","archive":"JSTOR","container-title":"MIS Quarterly","DOI":"10.2307/3250961","ISSN":"0276-7783","issue":"1","page":"107-136","source":"JSTOR","title":"Review: Knowledge Management and Knowledge Management Systems: Conceptual Foundations and Research Issues","title-short":"Review","volume":"25","author":[{"family":"Alavi","given":"Maryam"},{"family":"Leidner","given":"Dorothy E."}],"issued":{"date-parts":[["2001"]]}}}],"schema":"https://github.com/citation-style-language/schema/raw/master/csl-citation.json"}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(Alavi &amp; Leidner, 2001)</w:t>
      </w:r>
      <w:r w:rsidRPr="00F153F6">
        <w:rPr>
          <w:rFonts w:ascii="Times New Roman" w:hAnsi="Times New Roman" w:cs="Times New Roman"/>
          <w:color w:val="000000" w:themeColor="text1"/>
          <w:sz w:val="24"/>
          <w:szCs w:val="24"/>
        </w:rPr>
        <w:fldChar w:fldCharType="end"/>
      </w:r>
      <w:bookmarkEnd w:id="232"/>
      <w:bookmarkEnd w:id="233"/>
      <w:r w:rsidRPr="00F153F6">
        <w:rPr>
          <w:rFonts w:ascii="Times New Roman" w:hAnsi="Times New Roman" w:cs="Times New Roman"/>
          <w:color w:val="000000" w:themeColor="text1"/>
          <w:sz w:val="24"/>
          <w:szCs w:val="24"/>
        </w:rPr>
        <w:t xml:space="preserve">. Andersen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{"citationID":"a2hjg7mi7u2","properties":{"formattedCitation":"(2019)","plainCitation":"(2019)","noteIndex":0},"citationItems":[{"id":2305,"uris":["http://zotero.org/users/5709166/items/5KKUJCML"],"itemData":{"id":2305,"type":"paper-conference","container-title":"2019 IEEE 5th International Conference on Collaboration and Internet Computing (CIC)","DOI":"10.1109/CIC48465.2019.00027","event-place":"Los Angeles, CA, USA","event-title":"2019 IEEE 5th International Conference on Collaboration and Internet Computing (CIC)","ISBN":"978-1-72816-739-8","page":"151-157","publisher":"IEEE","publisher-place":"Los Angeles, CA, USA","source":"DOI.org (Crossref)","title":"An Assessment of the Impacts of Workflow Management Systems on Knowledge Management Process Activities","URL":"https://ieeexplore.ieee.org/document/8998485/","author":[{"family":"Anderson","given":"Ricardo"}],"accessed":{"date-parts":[["2020",8,30]]},"issued":{"date-parts":[["2019",12]]}},"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(2019)</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further assesses the </w:t>
      </w:r>
      <w:r w:rsidRPr="00F153F6">
        <w:rPr>
          <w:rFonts w:ascii="Times New Roman" w:hAnsi="Times New Roman" w:cs="Times New Roman"/>
          <w:color w:val="000000" w:themeColor="text1"/>
          <w:sz w:val="24"/>
          <w:szCs w:val="24"/>
        </w:rPr>
        <w:lastRenderedPageBreak/>
        <w:t xml:space="preserve">impacts of workflow management systems and claims that such systems can greatly support KM initiatives, e.g. activities are assigned and tracked, and the progress of task execution is available in the dashboard for everyone to review. Becerra-Fernandez and Sabherwal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{"citationID":"a10198phpsk","properties":{"formattedCitation":"(2014)","plainCitation":"(2014)","noteIndex":0},"citationItems":[{"id":2306,"uris":["http://zotero.org/users/5709166/items/HWN774I9"],"itemData":{"id":2306,"type":"book","abstract":"This text serves as a complete introduction to the subject of knowledge management, incorporating technical, and social aspects of knowledge management, as well as practical examples, traditional approaches, and emerging topics.","ISBN":"978-1-317-50303-3","language":"en","note":"Google-Books-ID: v0e2BQAAQBAJ","number-of-pages":"383","publisher":"Routledge","source":"Google Books","title":"Knowledge Management: Systems and Processes","title-short":"Knowledge Management","author":[{"family":"Becerra-Fernandez","given":"Irma"},{"family":"Sabherwal","given":"Rajiv"}],"issued":{"date-parts":[["2014",12,5]]}},"suppress-author":true}],"schema":"https://github.com/citation-style-language/schema/raw/master/csl-citation.json"}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(2014)</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also argue that process-enabled ICT help</w:t>
      </w:r>
      <w:r w:rsidR="00FA6038" w:rsidRPr="00F153F6">
        <w:rPr>
          <w:rFonts w:ascii="Times New Roman" w:hAnsi="Times New Roman" w:cs="Times New Roman"/>
          <w:color w:val="000000" w:themeColor="text1"/>
          <w:sz w:val="24"/>
          <w:szCs w:val="24"/>
        </w:rPr>
        <w:t>s</w:t>
      </w:r>
      <w:r w:rsidRPr="00F153F6">
        <w:rPr>
          <w:rFonts w:ascii="Times New Roman" w:hAnsi="Times New Roman" w:cs="Times New Roman"/>
          <w:color w:val="000000" w:themeColor="text1"/>
          <w:sz w:val="24"/>
          <w:szCs w:val="24"/>
        </w:rPr>
        <w:t xml:space="preserve"> to guide users who are less qualified to follow and execute the process, which makes the process-based knowledge understandable and accessible to users. </w:t>
      </w:r>
    </w:p>
    <w:p w14:paraId="72ACF626" w14:textId="03369ABD" w:rsidR="002C1A2F" w:rsidRPr="00F153F6" w:rsidRDefault="00FA6038"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ICT </w:t>
      </w:r>
      <w:r w:rsidR="002C1A2F" w:rsidRPr="00F153F6">
        <w:rPr>
          <w:rFonts w:ascii="Times New Roman" w:hAnsi="Times New Roman" w:cs="Times New Roman"/>
          <w:color w:val="000000" w:themeColor="text1"/>
          <w:sz w:val="24"/>
          <w:szCs w:val="24"/>
        </w:rPr>
        <w:t>also help</w:t>
      </w:r>
      <w:r w:rsidRPr="00F153F6">
        <w:rPr>
          <w:rFonts w:ascii="Times New Roman" w:hAnsi="Times New Roman" w:cs="Times New Roman"/>
          <w:color w:val="000000" w:themeColor="text1"/>
          <w:sz w:val="24"/>
          <w:szCs w:val="24"/>
        </w:rPr>
        <w:t>s</w:t>
      </w:r>
      <w:r w:rsidR="002C1A2F" w:rsidRPr="00F153F6">
        <w:rPr>
          <w:rFonts w:ascii="Times New Roman" w:hAnsi="Times New Roman" w:cs="Times New Roman"/>
          <w:color w:val="000000" w:themeColor="text1"/>
          <w:sz w:val="24"/>
          <w:szCs w:val="24"/>
        </w:rPr>
        <w:t xml:space="preserve"> to acquire and use domain knowledge during task execution. For example, through a knowledge-based system, people can access a knowledge domain about a specific task and then make decisions </w:t>
      </w:r>
      <w:r w:rsidR="002C1A2F" w:rsidRPr="00F153F6">
        <w:rPr>
          <w:rFonts w:ascii="Times New Roman" w:hAnsi="Times New Roman" w:cs="Times New Roman"/>
          <w:color w:val="000000" w:themeColor="text1"/>
          <w:sz w:val="24"/>
          <w:szCs w:val="24"/>
        </w:rPr>
        <w:fldChar w:fldCharType="begin"/>
      </w:r>
      <w:r w:rsidR="002C1A2F" w:rsidRPr="00F153F6">
        <w:rPr>
          <w:rFonts w:ascii="Times New Roman" w:hAnsi="Times New Roman" w:cs="Times New Roman"/>
          <w:color w:val="000000" w:themeColor="text1"/>
          <w:sz w:val="24"/>
          <w:szCs w:val="24"/>
        </w:rPr>
        <w:instrText xml:space="preserve"> ADDIN ZOTERO_ITEM CSL_CITATION {"citationID":"a14i5ima7ac","properties":{"formattedCitation":"(Joram et al., 2017)","plainCitation":"(Joram et al., 2017)","noteIndex":0},"citationItems":[{"id":2304,"uris":["http://zotero.org/users/5709166/items/RD76FPJL"],"itemData":{"id":2304,"type":"article-journal","abstract":"The purpose of this work is to enhance the life insurance underwriting process by building a knowledgebased system for life insurance underwriting. The knowledge-based system would be useful for organizations, which want to serve their clients better, promote expertise capture, retention, and reuse in the organization. The paper identifies the main input factors and output decisions that life insurance practitioners considered and made on a daily basis. Life underwriting knowledge was extracted through interviews in a leading insurance company in Kenya. The knowledge is incorporated into a knowledge-based system prototype designed and implemented, built to demonstrate the potential of this technology in life insurance industry. Unified modelling language and visual prolog language was used in the design and development of the prototype respectively. The system’s knowledge base was populated with sample knowledge obtained from the life insurance company and results were generated to illustrate how the system is expected to function.","container-title":"International Journal of Information Technology and Computer Science","DOI":"10.5815/ijitcs.2017.03.05","ISSN":"20749007, 20749015","issue":"3","journalAbbreviation":"IJITCS","language":"en","page":"40-49","source":"DOI.org (Crossref)","title":"A Knowledge-Based System for Life Insurance Underwriting","volume":"9","author":[{"family":"Joram","given":"Mutai K."},{"family":"Harrison","given":"Bii K."},{"family":"Joseph","given":"Kiplang’at N."}],"issued":{"date-parts":[["2017",3,8]]}}}],"schema":"https://github.com/citation-style-language/schema/raw/master/csl-citation.json"} </w:instrText>
      </w:r>
      <w:r w:rsidR="002C1A2F" w:rsidRPr="00F153F6">
        <w:rPr>
          <w:rFonts w:ascii="Times New Roman" w:hAnsi="Times New Roman" w:cs="Times New Roman"/>
          <w:color w:val="000000" w:themeColor="text1"/>
          <w:sz w:val="24"/>
          <w:szCs w:val="24"/>
        </w:rPr>
        <w:fldChar w:fldCharType="separate"/>
      </w:r>
      <w:r w:rsidR="002C1A2F" w:rsidRPr="00F153F6">
        <w:rPr>
          <w:rFonts w:ascii="Times New Roman" w:hAnsi="Times New Roman" w:cs="Times New Roman"/>
          <w:color w:val="000000" w:themeColor="text1"/>
          <w:sz w:val="24"/>
          <w:szCs w:val="24"/>
        </w:rPr>
        <w:t>(Joram et al., 2017)</w:t>
      </w:r>
      <w:r w:rsidR="002C1A2F" w:rsidRPr="00F153F6">
        <w:rPr>
          <w:rFonts w:ascii="Times New Roman" w:hAnsi="Times New Roman" w:cs="Times New Roman"/>
          <w:color w:val="000000" w:themeColor="text1"/>
          <w:sz w:val="24"/>
          <w:szCs w:val="24"/>
        </w:rPr>
        <w:fldChar w:fldCharType="end"/>
      </w:r>
      <w:r w:rsidR="002C1A2F" w:rsidRPr="00F153F6">
        <w:rPr>
          <w:rFonts w:ascii="Times New Roman" w:hAnsi="Times New Roman" w:cs="Times New Roman"/>
          <w:color w:val="000000" w:themeColor="text1"/>
          <w:sz w:val="24"/>
          <w:szCs w:val="24"/>
        </w:rPr>
        <w:t xml:space="preserve">. A case-based system, as a type of knowledge-based system, can create a case domain where similar cases can be sourced and help with insights for a new case </w:t>
      </w:r>
      <w:r w:rsidR="002C1A2F" w:rsidRPr="00F153F6">
        <w:rPr>
          <w:rFonts w:ascii="Times New Roman" w:hAnsi="Times New Roman" w:cs="Times New Roman"/>
          <w:color w:val="000000" w:themeColor="text1"/>
          <w:sz w:val="24"/>
          <w:szCs w:val="24"/>
        </w:rPr>
        <w:fldChar w:fldCharType="begin"/>
      </w:r>
      <w:r w:rsidR="002C1A2F" w:rsidRPr="00F153F6">
        <w:rPr>
          <w:rFonts w:ascii="Times New Roman" w:hAnsi="Times New Roman" w:cs="Times New Roman"/>
          <w:color w:val="000000" w:themeColor="text1"/>
          <w:sz w:val="24"/>
          <w:szCs w:val="24"/>
        </w:rPr>
        <w:instrText xml:space="preserve"> ADDIN ZOTERO_ITEM CSL_CITATION {"citationID":"agqpkq0i3h","properties":{"formattedCitation":"(Becerra-Fernandez &amp; Sabherwal, 2014)","plainCitation":"(Becerra-Fernandez &amp; Sabherwal, 2014)","noteIndex":0},"citationItems":[{"id":2306,"uris":["http://zotero.org/users/5709166/items/HWN774I9"],"itemData":{"id":2306,"type":"book","abstract":"This text serves as a complete introduction to the subject of knowledge management, incorporating technical, and social aspects of knowledge management, as well as practical examples, traditional approaches, and emerging topics.","ISBN":"978-1-317-50303-3","language":"en","note":"Google-Books-ID: v0e2BQAAQBAJ","number-of-pages":"383","publisher":"Routledge","source":"Google Books","title":"Knowledge Management: Systems and Processes","title-short":"Knowledge Management","author":[{"family":"Becerra-Fernandez","given":"Irma"},{"family":"Sabherwal","given":"Rajiv"}],"issued":{"date-parts":[["2014",12,5]]}}}],"schema":"https://github.com/citation-style-language/schema/raw/master/csl-citation.json"} </w:instrText>
      </w:r>
      <w:r w:rsidR="002C1A2F" w:rsidRPr="00F153F6">
        <w:rPr>
          <w:rFonts w:ascii="Times New Roman" w:hAnsi="Times New Roman" w:cs="Times New Roman"/>
          <w:color w:val="000000" w:themeColor="text1"/>
          <w:sz w:val="24"/>
          <w:szCs w:val="24"/>
        </w:rPr>
        <w:fldChar w:fldCharType="separate"/>
      </w:r>
      <w:r w:rsidR="002C1A2F" w:rsidRPr="00F153F6">
        <w:rPr>
          <w:rFonts w:ascii="Times New Roman" w:hAnsi="Times New Roman" w:cs="Times New Roman"/>
          <w:color w:val="000000" w:themeColor="text1"/>
          <w:sz w:val="24"/>
          <w:szCs w:val="24"/>
        </w:rPr>
        <w:t>(Becerra-Fernandez &amp; Sabherwal, 2014)</w:t>
      </w:r>
      <w:r w:rsidR="002C1A2F" w:rsidRPr="00F153F6">
        <w:rPr>
          <w:rFonts w:ascii="Times New Roman" w:hAnsi="Times New Roman" w:cs="Times New Roman"/>
          <w:color w:val="000000" w:themeColor="text1"/>
          <w:sz w:val="24"/>
          <w:szCs w:val="24"/>
        </w:rPr>
        <w:fldChar w:fldCharType="end"/>
      </w:r>
      <w:r w:rsidR="002C1A2F" w:rsidRPr="00F153F6">
        <w:rPr>
          <w:rFonts w:ascii="Times New Roman" w:hAnsi="Times New Roman" w:cs="Times New Roman"/>
          <w:color w:val="000000" w:themeColor="text1"/>
          <w:sz w:val="24"/>
          <w:szCs w:val="24"/>
        </w:rPr>
        <w:t xml:space="preserve">. Contrary to a knowledge repository that can also be used to search for knowledge albeit with a focus on making all knowledge available, a knowledge-based system focuses on domain knowledge in each step and supports decision making during task execution. </w:t>
      </w:r>
    </w:p>
    <w:p w14:paraId="706C0A16" w14:textId="77777777" w:rsidR="002C1A2F" w:rsidRPr="00F153F6" w:rsidRDefault="002C1A2F" w:rsidP="004424B4">
      <w:pPr>
        <w:spacing w:line="360" w:lineRule="auto"/>
        <w:jc w:val="both"/>
        <w:rPr>
          <w:rFonts w:ascii="Times New Roman" w:hAnsi="Times New Roman" w:cs="Times New Roman"/>
          <w:b/>
          <w:bCs/>
          <w:color w:val="000000" w:themeColor="text1"/>
          <w:sz w:val="24"/>
          <w:szCs w:val="24"/>
          <w:u w:val="single"/>
        </w:rPr>
      </w:pPr>
      <w:r w:rsidRPr="00F153F6">
        <w:rPr>
          <w:rFonts w:ascii="Times New Roman" w:hAnsi="Times New Roman" w:cs="Times New Roman"/>
          <w:b/>
          <w:bCs/>
          <w:color w:val="000000" w:themeColor="text1"/>
          <w:sz w:val="24"/>
          <w:szCs w:val="24"/>
          <w:u w:val="single"/>
        </w:rPr>
        <w:t xml:space="preserve">Sensor-based Approach </w:t>
      </w:r>
    </w:p>
    <w:p w14:paraId="7BCBD89D" w14:textId="13622EF7" w:rsidR="002C1A2F" w:rsidRPr="00F153F6" w:rsidRDefault="002C1A2F" w:rsidP="004424B4">
      <w:pPr>
        <w:spacing w:line="360" w:lineRule="auto"/>
        <w:jc w:val="both"/>
        <w:rPr>
          <w:rFonts w:ascii="Times New Roman" w:hAnsi="Times New Roman" w:cs="Times New Roman"/>
          <w:color w:val="000000" w:themeColor="text1"/>
          <w:sz w:val="24"/>
          <w:szCs w:val="24"/>
        </w:rPr>
      </w:pPr>
      <w:r w:rsidRPr="00F153F6">
        <w:rPr>
          <w:rFonts w:ascii="Times New Roman" w:hAnsi="Times New Roman" w:cs="Times New Roman"/>
          <w:color w:val="000000" w:themeColor="text1"/>
          <w:sz w:val="24"/>
          <w:szCs w:val="24"/>
        </w:rPr>
        <w:t xml:space="preserve">A sensor-based approach considers ICT as intelligent sensors that create knowledge from big data. ICT such as social media or websites can help to generate knowledge from data via data analytic techniques. Uden and He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{"citationID":"a1p4mrp05un","properties":{"formattedCitation":"(2017)","plainCitation":"(2017)","noteIndex":0},"citationItems":[{"id":2316,"uris":["http://zotero.org/users/5709166/items/4J92CFYL"],"itemData":{"id":2316,"type":"article-journal","abstract":"Purpose Current knowledge management (KM) systems cannot be used effectively for decision-making because of the lack of real-time data. This study aims to discuss how KM can benefit by embedding Internet of Things (IoT).Design/methodology/approach The paper discusses how IoT can help KM to capture data and convert data into knowledge to improve the parking service in transportation using a case study.Findings This case study related to intelligent parking service supported by IoT devices of vehicles shows that KM can play a role in turning the incoming big data collected from IoT devices into useful knowledge more quickly and effectively.Originality/value The literature review shows that there are few papers discussing how KM can benefit by embedding IoT and processing incoming big data collected from IoT devices. The case study developed in this study provides evidence to explain how IoT can help KM to capture big data and convert big data into knowledge to improve the parking service in transportation.","container-title":"Journal of Knowledge Management","DOI":"10.1108/JKM-07-2015-0291","ISSN":"1367-3270","issue":"1","note":"publisher: Emerald Publishing Limited","page":"57-70","source":"Emerald Insight","title":"How the Internet of Things can help knowledge management: a case study from the automotive domain","title-short":"How the Internet of Things can help knowledge management","volume":"21","author":[{"family":"Uden","given":"Lorna"},{"family":"He","given":"Wu"}],"issued":{"date-parts":[["2017",1,1]]}},"suppress-author":true}],"schema":"https://github.com/citation-style-language/schema/raw/master/csl-citation.json"}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(2017)</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argue that devices or equipment in organisations that are connected to the internet help to store and exchange massive amount of data. This data can be explored by analysing their relations o patterns., in order to generated knowledge, i.e. IT-enabled combination of knowledge </w:t>
      </w:r>
      <w:r w:rsidRPr="00F153F6">
        <w:rPr>
          <w:rFonts w:ascii="Times New Roman" w:hAnsi="Times New Roman" w:cs="Times New Roman"/>
          <w:color w:val="000000" w:themeColor="text1"/>
          <w:sz w:val="24"/>
          <w:szCs w:val="24"/>
        </w:rPr>
        <w:fldChar w:fldCharType="begin"/>
      </w:r>
      <w:r w:rsidRPr="00F153F6">
        <w:rPr>
          <w:rFonts w:ascii="Times New Roman" w:eastAsia="SimSun" w:hAnsi="Times New Roman" w:cs="Times New Roman"/>
          <w:color w:val="000000" w:themeColor="text1"/>
          <w:sz w:val="24"/>
          <w:szCs w:val="24"/>
        </w:rPr>
        <w:instrText xml:space="preserve"> ADDIN ZOTERO_ITEM CSL_CITATION {"citationID":"eAtTikAr","properties":{"formattedCitation":"(Hislop et al., 2018)","plainCitation":"(Hislop et al., 2018)","noteIndex":0},"citationItems":[{"id":475,"uris":["http://zotero.org/users/5709166/items/K99MV3Q7"],"itemData":{"id":475,"type":"book","abstract":"Knowledge Management in Organizations is the most comprehensive and critical textbook on the subject. Encompassing a number of perspectives - including organizational behaviour, HRM, systems, and sociocultural factors - the text introduces the concept of knowledge before examining how it can be effectively managed within the organizations in which we work. The international author team ensure the broad theoretical coverage is brought to life with practical illustrations and case studies exploring topics such as knowledge sharing via social media, knowledge transfer in different cultural contexts, and the interaction of leadership, culture, and knowledge management in Australian SMEs. Examples are diverse, international, and highly relevant to each chapter, showcasing the significance of knowledge management in all types of organizational settings. 'Time to Reflect' boxes, review and discussion questions, and a question or activity to accompany every illustration and case study ensure students are challenged to engage with the subject critically and reflectively. Despite the critical approach and depth of coverage, the text remains accessible through its widely praised writing style, coherent structure, in-chapter definition boxes, and manageable size. This book is accompanied by a selection of online resources: For students: Extra online casesWeb links to additional resources and relevant websitesExtension questions For lecturers: Suggested exam questions Suggested essay/coursework questionsSuggestions for classroom activities Figures and tables from the book","ISBN":"978-0-19-872401-8","language":"en","note":"Google-Books-ID: fhFQDwAAQBAJ","number-of-pages":"345","publisher":"Oxford University Press","source":"Google Books","title":"Knowledge Management in Organizations: A Critical Introduction","title-short":"Knowledge Management in Organizations","author":[{"family":"Hislop","given":"Donald"},{"family":"Bosua","given":"Rachelle"},{"family":"Helms","given":"Remko"}],"issued":{"date-parts":[["2018",3,29]]}}}],"schema":"https://github.com/citation-style-language/schema/raw/master/csl-citation.json"}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(Hislop et al., 2018)</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Hajighorbani et al.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17fa6mv580","properties":{"formattedCitation":"(2016)","plainCitation":"(2016)","noteIndex":0},"citationItems":[{"id":2301,"uris":["http://zotero.org/users/5709166/items/U646EELN"],"itemData":{"id":2301,"type":"article-journal","language":"en","page":"10","source":"Zotero","title":"A Review of Some Semi-Supervised Learning Methods","volume":"2","author":[{"family":"Hajighorbani","given":"Mohsen"},{"family":"Hashemi","given":"Seyyed Mohammad Reza"},{"family":"Broumandnia","given":"Ali"},{"family":"Faridpour","given":"Maryam"}],"issued":{"date-parts":[["2016"]]}},"suppress-author":true}],"schema":"https://github.com/citation-style-language/schema/raw/master/csl-citation.json"}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(2016)</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argue that knowledge hidden in data can be extracted by data mining which can deal with a great bulk of data evidencing complicated data relations. There are three data mining techniques known as: supervised learning, unsupervised learning and semi-supervised learning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{"citationID":"a29qrfhf8v6","properties":{"formattedCitation":"(Sloan &amp; Quan-Haase, 2016)","plainCitation":"(Sloan &amp; Quan-Haase, 2016)","noteIndex":0},"citationItems":[{"id":2393,"uris":["http://zotero.org/users/5709166/items/2E3834AG"],"itemData":{"id":2393,"type":"book","event-place":"1 Oliver's Yard, 55 City Road London EC1Y 1SP","ISBN":"978-1-4739-1632-6","language":"en","note":"DOI: 10.4135/9781473983847","publisher":"SAGE Publications Ltd","publisher-place":"1 Oliver's Yard, 55 City Road London EC1Y 1SP","source":"DOI.org (Crossref)","title":"The SAGE Handbook of Social Media Research Methods","URL":"http://methods.sagepub.com/book/the-sage-handbook-of-social-media-research-methods","author":[{"family":"Sloan","given":"Luke"},{"family":"Quan-Haase","given":"Anabel"}],"accessed":{"date-parts":[["2020",5,30]]},"issued":{"date-parts":[["2016"]]}}}],"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(Sloan &amp; Quan-Haase, 2016)</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Supervised learning deals with labelled data and requires a dataset that is known as pre-determined class, and all data can be detected and learnt by allocating them into those pre-determined classes. Unsupervised learning deals with unlabelled data and does not require such a predetermined class, but formulates clusters extracted from the unlabelled data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{"citationID":"a2pgghem3e9","properties":{"formattedCitation":"(Provost &amp; Fawcett, 2013)","plainCitation":"(Provost &amp; Fawcett, 2013)","noteIndex":0},"citationItems":[{"id":2298,"uris":["http://zotero.org/users/5709166/items/PNUWULNH"],"itemData":{"id":2298,"type":"book","abstract":"Written by renowned data science experts Foster Provost and Tom Fawcett, Data Science for Business introduces the fundamental principles of data science, and walks you through the \"data-analytic thinking\" necessary for extracting useful knowledge and business value from the data you collect. This guide also helps you understand the many data-mining techniques in use today.Based on an MBA course Provost has taught at New York University over the past ten years, Data Science for Business provides examples of real-world business problems to illustrate these principles. You’ll not only learn how to improve communication between business stakeholders and data scientists, but also how participate intelligently in your company’s data science projects. You’ll also discover how to think data-analytically, and fully appreciate how data science methods can support business decision-making.Understand how data science fits in your organization—and how you can use it for competitive advantageTreat data as a business asset that requires careful investment if you’re to gain real valueApproach business problems data-analytically, using the data-mining process to gather good data in the most appropriate wayLearn general concepts for actually extracting knowledge from dataApply data science principles when interviewing data science job candidates","ISBN":"978-1-4493-7429-7","language":"en","note":"Google-Books-ID: EZAtAAAAQBAJ","number-of-pages":"414","publisher":"O'Reilly Media, Inc.","source":"Google Books","title":"Data Science for Business: What You Need to Know about Data Mining and Data-Analytic Thinking","title-short":"Data Science for Business","author":[{"family":"Provost","given":"Foster"},{"family":"Fawcett","given":"Tom"}],"issued":{"date-parts":[["2013",7,27]]}}}],"schema":"https://github.com/citation-style-language/schema/raw/master/csl-citation.json"}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(Provost &amp; Fawcett, 2013)</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Semi-supervised learning deals with data including both labelled and unlabelled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{"citationID":"ak0lpf562v","properties":{"formattedCitation":"(Hajighorbani et al., 2016)","plainCitation":"(Hajighorbani et al., 2016)","noteIndex":0},"citationItems":[{"id":2301,"uris":["http://zotero.org/users/5709166/items/U646EELN"],"itemData":{"id":2301,"type":"article-journal","language":"en","page":"10","source":"Zotero","title":"A Review of Some Semi-Supervised Learning Methods","volume":"2","author":[{"family":"Hajighorbani","given":"Mohsen"},{"family":"Hashemi","given":"Seyyed Mohammad Reza"},{"family":"Broumandnia","given":"Ali"},{"family":"Faridpour","given":"Maryam"}],"issued":{"date-parts":[["2016"]]}}}],"schema":"https://github.com/citation-style-language/schema/raw/master/csl-citation.json"}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(Hajighorbani et al., 2016)</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By understanding different data mining analytics, organisations can explore and create knowledge from big data via technological infrastructures such as data governance practices which ensure the quality of data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{"citationID":"a1v6rskjv1r","properties":{"formattedCitation":"(Lis &amp; Otto, 2020)","plainCitation":"(Lis &amp; Otto, 2020)","noteIndex":0},"citationItems":[{"id":200,"uris":["http://zotero.org/users/5709166/items/RVYTBFU8"],"itemData":{"id":200,"type":"article-journal","abstract":"The emergence of data ecosystems with platform-based infrastructures continuously demonstrate the potential of value creation based on data. In this context, data governance has become an emerging topic in recent IS literature as organizations require a more sophisticated approach over the management of their data assets. However, the implications of organizations interacting within new forms of inter-organizational collaborations have not been sufficiently explored. We first elaborate on the topic of data governance to derive intra- and inter-organizational characteristics of data governance. Using a case study approach, we examine three firms developing data-driven business models that rely on ecosystems in their business-tobusiness (B2B) operations. We analyze new implications arising to each individual with regard to data governance and indicate that data governance requires a broader research perspective, one that takes the dynamics outside a single organization in ecosystems into consideration.","language":"en","page":"12","source":"Zotero","title":"Data Governance in Data Ecosystems – Insights from Organizations","author":[{"family":"Lis","given":"Dominik"},{"family":"Otto","given":"Boris"}],"issued":{"date-parts":[["2020"]]}}}],"schema":"https://github.com/citation-style-language/schema/raw/master/csl-citation.json"}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(Lis &amp; Otto, 2020)</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xml:space="preserve">, and </w:t>
      </w:r>
      <w:r w:rsidRPr="00F153F6">
        <w:rPr>
          <w:rFonts w:ascii="Times New Roman" w:hAnsi="Times New Roman" w:cs="Times New Roman"/>
          <w:color w:val="000000" w:themeColor="text1"/>
          <w:sz w:val="24"/>
          <w:szCs w:val="24"/>
        </w:rPr>
        <w:lastRenderedPageBreak/>
        <w:t xml:space="preserve">through processes such as ‘knowledge discovery from data’ (KDD process) to harvest knowledge from data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{"citationID":"a1n0ihp07f4","properties":{"formattedCitation":"(Kasemsap, 2017)","plainCitation":"(Kasemsap, 2017)","noteIndex":0},"citationItems":[{"id":199,"uris":["http://zotero.org/users/5709166/items/VL55JIFN"],"itemData":{"id":199,"type":"webpage","abstract":"This article reviews the literature in the search for the theories and perspectives of knowledge discovery and data visualization. The literature review highlights the overview of knowledge discovery; Knowledge Discovery in Databases (KDD); Knowledge Discovery in Textual Databases (KDT); the overvie...","container-title":"International Journal of Organizational and Collective Intelligence (IJOCI)","genre":"article","language":"en","license":"Access limited to members","note":"ISSN: 1947-9344\nissue: 3\njournalAbbreviation: IJOCI\npage: 56-69\npublisher: IGI Global\nvolume: 7\nDOI: 10.4018/IJOCI.2017070105","title":"Knowledge Discovery and Data Visualization: Theories and Perspectives","title-short":"Knowledge Discovery and Data Visualization","URL":"www.igi-global.com/article/knowledge-discovery-and-data-visualization/182757","author":[{"family":"Kasemsap","given":"Kijpokin"}],"accessed":{"date-parts":[["2020",8,31]]},"issued":{"date-parts":[["2017",7,1]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(Kasemsap, 2017)</w:t>
      </w:r>
      <w:r w:rsidRPr="00F153F6">
        <w:rPr>
          <w:rFonts w:ascii="Times New Roman" w:hAnsi="Times New Roman" w:cs="Times New Roman"/>
          <w:color w:val="000000" w:themeColor="text1"/>
          <w:sz w:val="24"/>
          <w:szCs w:val="24"/>
        </w:rPr>
        <w:fldChar w:fldCharType="end"/>
      </w:r>
      <w:r w:rsidRPr="00F153F6">
        <w:rPr>
          <w:rFonts w:ascii="Times New Roman" w:hAnsi="Times New Roman" w:cs="Times New Roman"/>
          <w:color w:val="000000" w:themeColor="text1"/>
          <w:sz w:val="24"/>
          <w:szCs w:val="24"/>
        </w:rPr>
        <w:t>. From these studies, it is clear that ICT can enable knowledge management by managing knowledge among data rather than directly from people.</w:t>
      </w:r>
    </w:p>
    <w:p w14:paraId="25C858F6" w14:textId="77777777" w:rsidR="000543CB" w:rsidRPr="00F153F6" w:rsidRDefault="000543CB" w:rsidP="004424B4">
      <w:pPr>
        <w:spacing w:line="360" w:lineRule="auto"/>
        <w:jc w:val="both"/>
        <w:rPr>
          <w:rFonts w:ascii="Times New Roman" w:hAnsi="Times New Roman" w:cs="Times New Roman"/>
          <w:color w:val="000000" w:themeColor="text1"/>
          <w:sz w:val="24"/>
          <w:szCs w:val="24"/>
        </w:rPr>
      </w:pPr>
    </w:p>
    <w:p w14:paraId="5641EB28" w14:textId="77777777" w:rsidR="002C1A2F" w:rsidRPr="00F153F6" w:rsidRDefault="002C1A2F" w:rsidP="000543CB">
      <w:pPr>
        <w:pStyle w:val="Heading3"/>
        <w:spacing w:line="360" w:lineRule="auto"/>
        <w:ind w:firstLine="720"/>
        <w:jc w:val="both"/>
        <w:rPr>
          <w:rFonts w:ascii="Times New Roman" w:hAnsi="Times New Roman" w:cs="Times New Roman"/>
          <w:b/>
          <w:color w:val="000000" w:themeColor="text1"/>
          <w:sz w:val="28"/>
          <w:szCs w:val="28"/>
        </w:rPr>
      </w:pPr>
      <w:bookmarkStart w:id="234" w:name="_Toc118371105"/>
      <w:bookmarkStart w:id="235" w:name="_Toc133252128"/>
      <w:r w:rsidRPr="00F153F6">
        <w:rPr>
          <w:rFonts w:ascii="Times New Roman" w:hAnsi="Times New Roman" w:cs="Times New Roman"/>
          <w:b/>
          <w:color w:val="000000" w:themeColor="text1"/>
          <w:sz w:val="28"/>
          <w:szCs w:val="28"/>
        </w:rPr>
        <w:t>2.6.2 Practice-based view of ICT-enabled Knowledge Exchange</w:t>
      </w:r>
      <w:bookmarkEnd w:id="234"/>
      <w:bookmarkEnd w:id="235"/>
    </w:p>
    <w:p w14:paraId="39E73B91" w14:textId="23C40F24"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A practice-based view of ICT-enabled KM follows the notion of knowledge that is embedded in practices. The transmitter-receiver model is inappropriate for knowledge sharing as it only contributes to the sharing of the explicit dimension of knowledge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{"citationID":"a13ihojhv5u","properties":{"formattedCitation":"(Bosua &amp; Scheepers, 2007)","plainCitation":"(Bosua &amp; Scheepers, 2007)","noteIndex":0},"citationItems":[{"id":198,"uris":["http://zotero.org/users/5709166/items/5DZH7FRR"],"itemData":{"id":198,"type":"article-journal","abstract":"Effective knowledge sharing underpins the day-to-day work activities in knowledge-intensive organizational environments. This paper integrates key concepts from the literature towards a model to explain effective knowledge sharing in such environments. It is proposed that the effectiveness of knowledge sharing is determined by the maturity of informal and formal social networks and a shared information and knowledge-based artefact network (AN) in a particular work context. It is further proposed that facilitating mechanisms within the social and ANs, and mechanisms that link these networks, affect the overall efficiency of knowledge sharing in complex environments. Three case studies are used to illustrate the model, highlighting typical knowledge-sharing problems that result when certain model elements are absent or insufficient in a particular environment. The model is discussed in terms of diagnosing knowledge-sharing problems, organizational knowledge strategy, and the role of information and communication technology in knowledge sharing.","container-title":"Knowledge Management Research &amp; Practice","DOI":"10.1057/palgrave.kmrp.8500131","ISSN":"1477-8238, 1477-8246","issue":"2","journalAbbreviation":"Knowledge Management Research &amp; Practice","language":"en","page":"93-109","source":"DOI.org (Crossref)","title":"Towards a model to explain knowledge sharing in complex organizational environments","volume":"5","author":[{"family":"Bosua","given":"Rachelle"},{"family":"Scheepers","given":"Rens"}],"issued":{"date-parts":[["2007",5]]}}}],"schema":"https://github.com/citation-style-language/schema/raw/master/csl-citation.json"}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(Bosua &amp; Scheepers, 2007)</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In order to enable knowledge sharing, people need to construct meaning from active interactions where ICT may play a role. Under this view, the role of ICT is less direct, and the focus is to enable an interactive social relationship and facilitate communication processes where people can develop their understanding based on each other’s knowledge in practice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{"citationID":"a1s8hdt7dh5","properties":{"formattedCitation":"(Sefollahi, 2018)","plainCitation":"(Sefollahi, 2018)","noteIndex":0},"citationItems":[{"id":2327,"uris":["http://zotero.org/users/5709166/items/RFRQDQP7"],"itemData":{"id":2327,"type":"article-journal","abstract":"Knowledge management (KM) is a process that transforms individual knowledgeinto organizational knowledge.Knowledgeis information that is meaningful in cognitive forms such as understanding, awareness and ability .It is typically acquired by experience, information consumption, experimentation and thought processes such as imagination and critical thinking. communication and information technology(ICT) are technologies which facilitate the management to share knowledge and information .thus ,ICT have a prominent role on knowledge management initiatives. One of the key issues in KM is the role of communication and information technology. this is important from two points. the first is that ICT has played a central role in the primary literature of knowledge management. Second, ICT plays a prominent role in many early knowledge management initiatives. In thisarticle,the importance and role of information technology in knowledge management in organizations has been investigated and analyzed.","language":"en","page":"18","source":"Zotero","title":"THE IMPORTANCE OF ICT ON KNOWLEDGE MANAGEMENT IN ORGANIZATIONS","author":[{"family":"Sefollahi","given":"N"}],"issued":{"date-parts":[["2018"]]}}}],"schema":"https://github.com/citation-style-language/schema/raw/master/csl-citation.json"}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(Sefollahi, 2018)</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Studies reporting on the practice-based view thereby assume that ICT can support the process of sense-making and sense-</w:t>
      </w:r>
      <w:r w:rsidR="006537A3" w:rsidRPr="00F153F6">
        <w:rPr>
          <w:rFonts w:ascii="Times New Roman" w:eastAsia="Times New Roman" w:hAnsi="Times New Roman" w:cs="Times New Roman"/>
          <w:iCs/>
          <w:color w:val="000000" w:themeColor="text1"/>
          <w:sz w:val="24"/>
          <w:szCs w:val="24"/>
        </w:rPr>
        <w:t>giving</w:t>
      </w:r>
      <w:r w:rsidRPr="00F153F6">
        <w:rPr>
          <w:rFonts w:ascii="Times New Roman" w:eastAsia="Times New Roman" w:hAnsi="Times New Roman" w:cs="Times New Roman"/>
          <w:iCs/>
          <w:color w:val="000000" w:themeColor="text1"/>
          <w:sz w:val="24"/>
          <w:szCs w:val="24"/>
        </w:rPr>
        <w:t xml:space="preserve">, which enables various approaches to knowledge management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{"citationID":"asqhtksq2v","properties":{"formattedCitation":"(Hwang et al., 2015; Walsham, 2001)","plainCitation":"(Hwang et al., 2015; Walsham, 2001)","noteIndex":0},"citationItems":[{"id":196,"uris":["http://zotero.org/users/5709166/items/BZNLWRBR"],"itemData":{"id":196,"type":"article-journal","container-title":"Organization Science","DOI":"10.1287/orsc.2015.1009","ISSN":"1047-7039, 1526-5455","issue":"6","journalAbbreviation":"Organization Science","language":"en","page":"1593-1611","source":"DOI.org (Crossref)","title":"Knowledge Sharing in Online Communities: Learning to Cross Geographic and Hierarchical Boundaries","title-short":"Knowledge Sharing in Online Communities","volume":"26","author":[{"family":"Hwang","given":"Elina H."},{"family":"Singh","given":"Param Vir"},{"family":"Argote","given":"Linda"}],"issued":{"date-parts":[["2015",12]]}}},{"id":197,"uris":["http://zotero.org/users/5709166/items/YUJ35JC4"],"itemData":{"id":197,"type":"article-journal","abstract":"Much organisational effort has been put into knowledge management initiatives in recent years, and information and communication technologies (ICTs) have been central to many of these initiatives. However, organisations have found that levering knowledge through ICTs is often hard to achieve. This paper addresses the question of why this is the case, and what we can learn of value to the future practice of knowledge management. The analysis in the paper is based on a human-centred view of knowledge, emphasising the deep tacit knowledge which underpins human thought and action, and the complex sense-reading and sense-giving processes which human beings carry out in communicating with each other and ‘sharing’ knowledge. The paper concludes that computer-based systems can be of benefit in knowledge-based activities, but only if we are careful in using such systems to support the development and communication of human meaning.","container-title":"European Management Journal","DOI":"10.1016/S0263-2373(01)00085-8","ISSN":"0263-2373","issue":"6","journalAbbreviation":"European Management Journal","language":"en","page":"599-608","source":"ScienceDirect","title":"Knowledge Management:: The Benefits and Limitations of Computer Systems","title-short":"Knowledge Management","volume":"19","author":[{"family":"Walsham","given":"Geoff"}],"issued":{"date-parts":[["2001",12,1]]}}}],"schema":"https://github.com/citation-style-language/schema/raw/master/csl-citation.json"}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(Hwang et al., 2015; Walsham, 2001)</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w:t>
      </w:r>
    </w:p>
    <w:p w14:paraId="76E501F0" w14:textId="77777777" w:rsidR="002C1A2F" w:rsidRPr="00F153F6" w:rsidRDefault="002C1A2F" w:rsidP="004424B4">
      <w:pPr>
        <w:spacing w:line="360" w:lineRule="auto"/>
        <w:jc w:val="both"/>
        <w:rPr>
          <w:rFonts w:ascii="Times New Roman" w:eastAsia="Times New Roman" w:hAnsi="Times New Roman" w:cs="Times New Roman"/>
          <w:b/>
          <w:bCs/>
          <w:iCs/>
          <w:color w:val="000000" w:themeColor="text1"/>
          <w:sz w:val="24"/>
          <w:szCs w:val="24"/>
          <w:u w:val="single"/>
        </w:rPr>
      </w:pPr>
      <w:r w:rsidRPr="00F153F6">
        <w:rPr>
          <w:rFonts w:ascii="Times New Roman" w:eastAsia="Times New Roman" w:hAnsi="Times New Roman" w:cs="Times New Roman"/>
          <w:b/>
          <w:bCs/>
          <w:iCs/>
          <w:color w:val="000000" w:themeColor="text1"/>
          <w:sz w:val="24"/>
          <w:szCs w:val="24"/>
          <w:u w:val="single"/>
        </w:rPr>
        <w:t xml:space="preserve">Network-based Approach </w:t>
      </w:r>
    </w:p>
    <w:p w14:paraId="4A885357" w14:textId="56BD1449"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A network-based approach considers ICT as a map of expertise, which allows people to reach experts who possess specific knowledge domains. In this approach, ICT such as transactive memory system (TMS) can support people to establish and develop contacts with experts they are looking for </w:t>
      </w:r>
      <w:r w:rsidRPr="00F153F6">
        <w:rPr>
          <w:rFonts w:ascii="Times New Roman" w:hAnsi="Times New Roman" w:cs="Times New Roman"/>
          <w:color w:val="000000" w:themeColor="text1"/>
          <w:sz w:val="24"/>
          <w:szCs w:val="24"/>
        </w:rPr>
        <w:fldChar w:fldCharType="begin"/>
      </w:r>
      <w:r w:rsidR="00BC552E" w:rsidRPr="00F153F6">
        <w:rPr>
          <w:rFonts w:ascii="Times New Roman" w:eastAsia="Times New Roman" w:hAnsi="Times New Roman" w:cs="Times New Roman"/>
          <w:iCs/>
          <w:color w:val="000000" w:themeColor="text1"/>
          <w:sz w:val="24"/>
          <w:szCs w:val="24"/>
        </w:rPr>
        <w:instrText xml:space="preserve"> ADDIN ZOTERO_ITEM CSL_CITATION {"citationID":"adnpvbui5n","properties":{"formattedCitation":"(Choi et al., 2010)","plainCitation":"(Choi et al., 2010)","noteIndex":0},"citationItems":[{"id":283,"uris":["http://zotero.org/users/5709166/items/9JBRLY4W"],"itemData":{"id":283,"type":"article-journal","abstract":"In contemporary knowledge-based organizations, teams often play an essential role in leveraging knowledge resources. Organizations make significant investments in information technology to support knowledge management practices in teams. At the same time, recent studies show that the transactive memory system (TMS)—the specialized division of cognitive labor among team members that relates to the encoding, storage, and retrieval of knowledge—is an important factor that affects a team's performance. Yet little is known of how IT support for knowledge management practices in organizations affects the development of TMS. Furthermore, the precise role of TMS on knowledge sharing and knowledge application, which in turn influences team performance, has not been fully explored. In order to close this gap in the literature, we conducted a field study that involved 139 on-going teams of 743 individuals from two major firms in South Korea. Our results show that IT support in organizations has a positive impact on the development of TMS in teams, and that both TMS and IT support have a positive impact on knowledge sharing and knowledge application. Furthermore, we found that knowledge sharing has a positive impact on knowledge application, which in turn has a direct impact on team performance. However, contrary to our expectation, knowledge sharing does not have a direct impact on team performance and its impact on team performance was fully mediated by knowledge application. Our research shows that organizations can improve team members' meta-knowledge of who knows what through the careful investment in information technology. Finally, our results show that sharing knowledge alone is not enough. Organizations must ensure that shared knowledge is in fact applied in order to improve team performance.","archive":"JSTOR","container-title":"MIS Quarterly","DOI":"10.2307/25750708","ISSN":"0276-7783","issue":"4","note":"publisher: Management Information Systems Research Center, University of Minnesota","page":"855-870","source":"JSTOR","title":"The Impact of Information Technology and Transactive Memory Systems on Knowledge Sharing, Application, and Team Performance: A Field Study","title-short":"The Impact of Information Technology and Transactive Memory Systems on Knowledge Sharing, Application, and Team Performance","volume":"34","author":[{"family":"Choi","given":"Sue Young"},{"family":"Lee","given":"Heeseok"},{"family":"Yoo","given":"Youngjin"}],"issued":{"date-parts":[["2010"]]}}}],"schema":"https://github.com/citation-style-language/schema/raw/master/csl-citation.json"}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00BC552E" w:rsidRPr="00F153F6">
        <w:rPr>
          <w:rFonts w:ascii="Times New Roman" w:hAnsi="Times New Roman" w:cs="Times New Roman"/>
          <w:sz w:val="24"/>
          <w:szCs w:val="24"/>
        </w:rPr>
        <w:t>(Choi et al., 2010)</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For example, TMS can provide information related to the distribution of expertise so that team members get to understand who possess what specialist knowledge and where to find them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{"citationID":"ank3lvgc30","properties":{"formattedCitation":"(Hood et al., 2016)","plainCitation":"(Hood et al., 2016)","noteIndex":0},"citationItems":[{"id":195,"uris":["http://zotero.org/users/5709166/items/JBH5LVBE"],"itemData":{"id":195,"type":"article-journal","abstract":"In this research, we develop a framework for understanding the emergence of transactive memory systems (TMS) in project-based teams characterized by different levels of group level positive affectivity (PA) and negative affectivity (NA). With a focus on enhancing understanding of the means of transmission, we test the mediating role played by group level psychological safety (PS) in the relationship between team affectivity and TMS. From a sample of 107 software implementation project teams, in a lagged field study, we find support for a mediated model in which high group NA, but not group PA, promotes environments psychologically unsafe for interpersonal risk-taking (low PS) and which are negatively associated with TMS. This study extends prior research on the differential effects of PA and NA, by contributing to the limited research on group affectivity, environmental antecedents of TMS, and the mediating role of PS for predicting group level transactive processes and structures. Copyright © 2015 John Wiley &amp; Sons, Ltd.","container-title":"Journal of Organizational Behavior","DOI":"10.1002/job.2050","ISSN":"1099-1379","issue":"3","language":"en","note":"_eprint: https://onlinelibrary.wiley.com/doi/pdf/10.1002/job.2050","page":"416-435","source":"Wiley Online Library","title":"Mediating effects of psychological safety in the relationship between team affectivity and transactive memory systems","volume":"37","author":[{"family":"Hood","given":"Anthony C."},{"family":"Bachrach","given":"Daniel G."},{"family":"Zivnuska","given":"Suzanne"},{"family":"Bendoly","given":"Elliot"}],"issued":{"date-parts":[["2016"]]}}}],"schema":"https://github.com/citation-style-language/schema/raw/master/csl-citation.json"}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(Hood et al., 2016)</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Understanding the location of expertise can facilitate the establishment of communication so that knowledge sharing can take place via inter-personal interactions </w:t>
      </w:r>
      <w:bookmarkStart w:id="236" w:name="OLE_LINK126"/>
      <w:bookmarkStart w:id="237" w:name="OLE_LINK127"/>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{"citationID":"a2dr0h4mekl","properties":{"formattedCitation":"(Hislop et al., 2018)","plainCitation":"(Hislop et al., 2018)","noteIndex":0},"citationItems":[{"id":475,"uris":["http://zotero.org/users/5709166/items/K99MV3Q7"],"itemData":{"id":475,"type":"book","abstract":"Knowledge Management in Organizations is the most comprehensive and critical textbook on the subject. Encompassing a number of perspectives - including organizational behaviour, HRM, systems, and sociocultural factors - the text introduces the concept of knowledge before examining how it can be effectively managed within the organizations in which we work. The international author team ensure the broad theoretical coverage is brought to life with practical illustrations and case studies exploring topics such as knowledge sharing via social media, knowledge transfer in different cultural contexts, and the interaction of leadership, culture, and knowledge management in Australian SMEs. Examples are diverse, international, and highly relevant to each chapter, showcasing the significance of knowledge management in all types of organizational settings. 'Time to Reflect' boxes, review and discussion questions, and a question or activity to accompany every illustration and case study ensure students are challenged to engage with the subject critically and reflectively. Despite the critical approach and depth of coverage, the text remains accessible through its widely praised writing style, coherent structure, in-chapter definition boxes, and manageable size. This book is accompanied by a selection of online resources: For students: Extra online casesWeb links to additional resources and relevant websitesExtension questions For lecturers: Suggested exam questions Suggested essay/coursework questionsSuggestions for classroom activities Figures and tables from the book","ISBN":"978-0-19-872401-8","language":"en","note":"Google-Books-ID: fhFQDwAAQBAJ","number-of-pages":"345","publisher":"Oxford University Press","source":"Google Books","title":"Knowledge Management in Organizations: A Critical Introduction","title-short":"Knowledge Management in Organizations","author":[{"family":"Hislop","given":"Donald"},{"family":"Bosua","given":"Rachelle"},{"family":"Helms","given":"Remko"}],"issued":{"date-parts":[["2018",3,29]]}}}],"schema":"https://github.com/citation-style-language/schema/raw/master/csl-citation.json"}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(Hislop et al., 2018)</w:t>
      </w:r>
      <w:r w:rsidRPr="00F153F6">
        <w:rPr>
          <w:rFonts w:ascii="Times New Roman" w:hAnsi="Times New Roman" w:cs="Times New Roman"/>
          <w:color w:val="000000" w:themeColor="text1"/>
          <w:sz w:val="24"/>
          <w:szCs w:val="24"/>
        </w:rPr>
        <w:fldChar w:fldCharType="end"/>
      </w:r>
      <w:bookmarkEnd w:id="236"/>
      <w:bookmarkEnd w:id="237"/>
      <w:r w:rsidRPr="00F153F6">
        <w:rPr>
          <w:rFonts w:ascii="Times New Roman" w:eastAsia="Times New Roman" w:hAnsi="Times New Roman" w:cs="Times New Roman"/>
          <w:iCs/>
          <w:color w:val="000000" w:themeColor="text1"/>
          <w:sz w:val="24"/>
          <w:szCs w:val="24"/>
        </w:rPr>
        <w:t>. The role of ICTs here is therefore to enable locating the experts rather than codifying expertise into technology, so this network-based approach focuses on people but cannot guarantee people’s knowledge.</w:t>
      </w:r>
    </w:p>
    <w:p w14:paraId="6AF213E2" w14:textId="6C67D147"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Over the years, ICTs for locating experts for knowledge exchange have been developed from traditional database technologies such as electronic yellow pages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{"citationID":"a278abakkdi","properties":{"formattedCitation":"(Cheung et al., 2007)","plainCitation":"(Cheung et al., 2007)","noteIndex":0},"citationItems":[{"id":193,"uris":["http://zotero.org/users/5709166/items/R5RSNWPA"],"itemData":{"id":193,"type":"article-journal","abstract":"Purpose – This paper aims to present a systematic approach for knowledge auditing which is composed of a number of stages with the focus on the establishment of an overall framework and customized tools for knowledge auditing. Design/methodology/approach – The systematic approach for knowledge auditing is composed of eight phases: orientation and background study, cultural assessment, in‐depth investigation, building knowledge inventory and knowledge mapping, knowledge network analysis and social network analysis, recommendation of knowledge management strategy, deploying KM tools and building collaborative culture, and continuous knowledge re‐auditing, respectively. Findings – A systematic approach for knowledge auditing is proposed and trial successfully implemented in a railway company. The results show that the systematic knowledge auditing approach yields a number of benefits that include the identification of the critical knowledge and the subsequent recommendations can be derived for better managing the knowledge in the railway company. Practical implications – Many KM programs failed because the companies themselves lacked the knowledge on KM and their knowledge organization. The practical implementation of the systematic approach for knowledge auditing allows an organization to reveal its KM needs, strengths, weaknesses, opportunities, threats and risks. Hence, appropriate KM strategy can be derived for better managing its knowledge. Originality/value – The proposed systematic approach for knowledge auditing addresses the shortcomings of some existing knowledge audit approaches which generally lack a systematic approach and have limited practical value for real‐life implementation. The capability of the proposed systematic approach is demonstrated through a successful implementation in a railway company.","container-title":"Journal of Knowledge Management","DOI":"10.1108/13673270710762774","ISSN":"1367-3270","issue":"4","note":"publisher: Emerald Group Publishing Limited","page":"140-158","source":"Emerald Insight","title":"A systematic approach for knowledge auditing: a case study in transportation sector","title-short":"A systematic approach for knowledge auditing","volume":"11","author":[{"family":"Cheung","given":"C.F."},{"family":"Li","given":"M.L."},{"family":"Shek","given":"W.Y."},{"family":"Lee","given":"W.B."},{"family":"Tsang","given":"T.S."}],"issued":{"date-parts":[["2007",1,1]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(Cheung et al., 2007)</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to more modern social media technologies such as enterprise social networks (e.g. Yammer, Facebook)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{"citationID":"apnl4kjhg1","properties":{"formattedCitation":"(Rahman et al., 2020)","plainCitation":"(Rahman et al., 2020)","noteIndex":0},"citationItems":[{"id":192,"uris":["http://zotero.org/users/5709166/items/P6ZRMKXR"],"itemData":{"id":192,"type":"article-journal","abstract":"As the service sector has grown significantly in recent years, researchers are paying increasing attention to the co-creation and the application of knowledge in the service innovation. Knowledge sharing maybe a key driver of service innovation, as it encourages decisions to apply knowledge into products, services and organizational designs. The emergence of social media technologies, especially enterprise social networking (ESN), has made knowledge sharing easier, but has also led to some negative outcomes. These negative outcomes are low productivity, interpersonal conflict and possibility of leaking out sensitive information. The purpose of this study is to understand how knowledge sharing through ESN can influence innovation in the service industry, and how the strength of this relationship is affected by the governance of ESN. The paper puts forward a conceptual model and explains how it will be examined used mixed methods. We report on on-going data collection and emergent findings on our preliminary data acquired from interviews. The study will help managers understand how ESN can be used to support innovation in the service industry.","language":"en","page":"8","source":"Zotero","title":"Understanding the Impact of Knowledge Sharing through Enterprise Social Networking (ESN) on Service Innovation","author":[{"family":"Rahman","given":"Naseem J"},{"family":"Singh","given":"Harminder"},{"family":"Nuwangi","given":"Subasinghage Maduka"}],"issued":{"date-parts":[["2020"]]}}}],"schema":"https://github.com/citation-style-language/schema/raw/master/csl-citation.json"}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(Rahman et al., 2020)</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Horne et al.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{"citationID":"al6476rhpb","properties":{"formattedCitation":"(2019)","plainCitation":"(2019)","noteIndex":0},"citationItems":[{"id":190,"uris":["http://zotero.org/users/5709166/items/2AY7HX5I"],"itemData":{"id":190,"type":"article-journal","container-title":"The DATA BASE for Advances in Information Systems","title":"Recognizing Experts on Social Media: A Heuristics-Based Approach","URL":"https://dl.acm.org/doi/pdf/10.1145/3353401.3353406?casa_token=DcEfwJ8KsowAAAAA:UgoNh7EC-_jVqwe82zYDSusI6_TCQOx_VGYQEQhDTbisebJKyVYHU-eNRT3uyaZo9r24bekpzZo1","volume":"50","author":[{"family":"Horne","given":"Benjamin D."},{"family":"Nevo","given":"Dorit"},{"family":"Adali","given":"Sibel"}],"accessed":{"date-parts":[["2020",8,31]]},"issued":{"date-parts":[["2019"]]}},"suppress-author":true}],"schema":"https://github.com/citation-style-language/schema/raw/master/csl-citation.json"}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(2019)</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argue that users on social media can self-create </w:t>
      </w:r>
      <w:r w:rsidRPr="00F153F6">
        <w:rPr>
          <w:rFonts w:ascii="Times New Roman" w:eastAsia="Times New Roman" w:hAnsi="Times New Roman" w:cs="Times New Roman"/>
          <w:iCs/>
          <w:color w:val="000000" w:themeColor="text1"/>
          <w:sz w:val="24"/>
          <w:szCs w:val="24"/>
        </w:rPr>
        <w:lastRenderedPageBreak/>
        <w:t xml:space="preserve">profiles that help to point knowledge seekers to knowledge experts. In this way, knowledge sharing can be stimulated via these various digital channels. </w:t>
      </w:r>
    </w:p>
    <w:p w14:paraId="63F1B8CA" w14:textId="77777777" w:rsidR="002C1A2F" w:rsidRPr="00F153F6" w:rsidRDefault="002C1A2F" w:rsidP="004424B4">
      <w:pPr>
        <w:spacing w:line="360" w:lineRule="auto"/>
        <w:jc w:val="both"/>
        <w:rPr>
          <w:rFonts w:ascii="Times New Roman" w:eastAsia="Times New Roman" w:hAnsi="Times New Roman" w:cs="Times New Roman"/>
          <w:b/>
          <w:bCs/>
          <w:iCs/>
          <w:color w:val="000000" w:themeColor="text1"/>
          <w:sz w:val="24"/>
          <w:szCs w:val="24"/>
          <w:u w:val="single"/>
        </w:rPr>
      </w:pPr>
      <w:r w:rsidRPr="00F153F6">
        <w:rPr>
          <w:rFonts w:ascii="Times New Roman" w:eastAsia="Times New Roman" w:hAnsi="Times New Roman" w:cs="Times New Roman"/>
          <w:b/>
          <w:bCs/>
          <w:iCs/>
          <w:color w:val="000000" w:themeColor="text1"/>
          <w:sz w:val="24"/>
          <w:szCs w:val="24"/>
          <w:u w:val="single"/>
        </w:rPr>
        <w:t xml:space="preserve">Collaboration Tool Approach </w:t>
      </w:r>
    </w:p>
    <w:p w14:paraId="4B4B089B" w14:textId="578CAA10"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In a collaboration tool approach, ICT can facilitate knowledge exchange activities from two perspectives by creating conditions for interactions among people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{"citationID":"a2jg1580b73","properties":{"formattedCitation":"(Alavi et al., 2005)","plainCitation":"(Alavi et al., 2005)","noteIndex":0},"citationItems":[{"id":2133,"uris":["http://zotero.org/users/5709166/items/W4987BY9"],"itemData":{"id":2133,"type":"article-journal","container-title":"Journal of Management Information Systems","DOI":"10.2753/MIS0742-1222220307","ISSN":"0742-1222, 1557-928X","issue":"3","journalAbbreviation":"Journal of Management Information Systems","language":"en","page":"191-224","source":"DOI.org (Crossref)","title":"An Empirical Examination of the Influence of Organizational Culture on Knowledge Management Practices","volume":"22","author":[{"family":"Alavi","given":"Maryam"},{"family":"Kayworth","given":"Timothy R."},{"family":"Leidner","given":"Dorothy E."}],"issued":{"date-parts":[["2005",12]]}}}],"schema":"https://github.com/citation-style-language/schema/raw/master/csl-citation.json"}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(Alavi et al., 2005)</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For example, technologies such as intranets, discussion boards, and forums. allow the creation of virtual spaces on which interactive discussions and communications can take place among people who are geographically dispersed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{"citationID":"mxJYEl0O","properties":{"formattedCitation":"(Hislop et al., 2018)","plainCitation":"(Hislop et al., 2018)","noteIndex":0},"citationItems":[{"id":475,"uris":["http://zotero.org/users/5709166/items/K99MV3Q7"],"itemData":{"id":475,"type":"book","abstract":"Knowledge Management in Organizations is the most comprehensive and critical textbook on the subject. Encompassing a number of perspectives - including organizational behaviour, HRM, systems, and sociocultural factors - the text introduces the concept of knowledge before examining how it can be effectively managed within the organizations in which we work. The international author team ensure the broad theoretical coverage is brought to life with practical illustrations and case studies exploring topics such as knowledge sharing via social media, knowledge transfer in different cultural contexts, and the interaction of leadership, culture, and knowledge management in Australian SMEs. Examples are diverse, international, and highly relevant to each chapter, showcasing the significance of knowledge management in all types of organizational settings. 'Time to Reflect' boxes, review and discussion questions, and a question or activity to accompany every illustration and case study ensure students are challenged to engage with the subject critically and reflectively. Despite the critical approach and depth of coverage, the text remains accessible through its widely praised writing style, coherent structure, in-chapter definition boxes, and manageable size. This book is accompanied by a selection of online resources: For students: Extra online casesWeb links to additional resources and relevant websitesExtension questions For lecturers: Suggested exam questions Suggested essay/coursework questionsSuggestions for classroom activities Figures and tables from the book","ISBN":"978-0-19-872401-8","language":"en","note":"Google-Books-ID: fhFQDwAAQBAJ","number-of-pages":"345","publisher":"Oxford University Press","source":"Google Books","title":"Knowledge Management in Organizations: A Critical Introduction","title-short":"Knowledge Management in Organizations","author":[{"family":"Hislop","given":"Donald"},{"family":"Bosua","given":"Rachelle"},{"family":"Helms","given":"Remko"}],"issued":{"date-parts":[["2018",3,29]]}}}],"schema":"https://github.com/citation-style-language/schema/raw/master/csl-citation.json"}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(Hislop et al., 2018)</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Accordingly, rich knowledge exchange activities can be stimulated. In addition, ICTs can also help to create online communities of practice through which knowledge sharing and learning processes can be facilitated across geographic and hierarchical boundaries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{"citationID":"a1a92ppmioq","properties":{"formattedCitation":"(Hwang et al., 2015; Salleh et al., 2020)","plainCitation":"(Hwang et al., 2015; Salleh et al., 2020)","noteIndex":0},"citationItems":[{"id":196,"uris":["http://zotero.org/users/5709166/items/BZNLWRBR"],"itemData":{"id":196,"type":"article-journal","container-title":"Organization Science","DOI":"10.1287/orsc.2015.1009","ISSN":"1047-7039, 1526-5455","issue":"6","journalAbbreviation":"Organization Science","language":"en","page":"1593-1611","source":"DOI.org (Crossref)","title":"Knowledge Sharing in Online Communities: Learning to Cross Geographic and Hierarchical Boundaries","title-short":"Knowledge Sharing in Online Communities","volume":"26","author":[{"family":"Hwang","given":"Elina H."},{"family":"Singh","given":"Param Vir"},{"family":"Argote","given":"Linda"}],"issued":{"date-parts":[["2015",12]]}}},{"id":187,"uris":["http://zotero.org/users/5709166/items/PUCN9N3R"],"itemData":{"id":187,"type":"article-journal","abstract":"Rapid advancement of technology is unstoppable, spiralling at an exponential rate with new breakthrough almost everyday. In one area, social media has positively evolved into a platform for information and knowledge sharing among people whom eagerly willing and at times competing in sharing knowledge and experiences within these knowledge seeking audiences. Attractive attributes such as photo, audio and video have developed a new culture of sharing knowledge and experience into something very pleasant and satisfying. Therefore, the purpose of this paper is to review previous research papers related to knowledge sharing in virtual communities. Seven research papers were selected to be reviewed based on its elements, methods and findings used by these researchers. There were several outcome differences that can be deduced from these papers. Most of the papers focus on attitudes, knowledge sharing, technologies intention to use, community participation, satisfaction level, identification, trust, culture sharing and knowledge content. No doubt that sharing information is important in disseminating information to people, but the easiness of sharing and obtaining information and experience from one’s own fingertip has upwardly propelled our living standards.","container-title":"Journal of Physics: Conference Series","DOI":"10.1088/1742-6596/1529/2/022052","ISSN":"1742-6588, 1742-6596","journalAbbreviation":"J. Phys.: Conf. Ser.","language":"en","page":"022052","source":"DOI.org (Crossref)","title":"Knowledge Sharing in Online Community: A Review","title-short":"Knowledge Sharing in Online Community","volume":"1529","author":[{"family":"Salleh","given":"Suzila Mat"},{"family":"Yusof","given":"Hani Sakina Mohamed"},{"family":"Mohammed","given":"Noor Hafiza"},{"family":"Zahari","given":"Ahmad Suffian Mohd"},{"family":"Hamzah","given":"Siti Fatimah Mardiah"}],"issued":{"date-parts":[["2020",4]]}}}],"schema":"https://github.com/citation-style-language/schema/raw/master/csl-citation.json"}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(Hwang et al., 2015; Salleh et al., 2020)</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For example, social media, defined as “a web-based service or platform based on web 2.0 technology that enables the sharing, co-creation, discussion and modification of user-generated content”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{"citationID":"a34u7stj1q","properties":{"formattedCitation":"(Werder et al., 2014, p. 3)","plainCitation":"(Werder et al., 2014, p. 3)","noteIndex":0},"citationItems":[{"id":185,"uris":["http://zotero.org/users/5709166/items/DXVQRPKH"],"itemData":{"id":185,"type":"article-journal","title":"SOCIAL MEDIA FOR SUCCESS: A STRATEGIC FRAMEWORK","URL":"https://madoc.bib.uni-mannheim.de/36684/1/20140515_PACIS2014_Template_initial_Social_media_for_Success_FINAL.pdf","author":[{"family":"Werder","given":"Karl"},{"family":"Helms","given":"Remko W."},{"family":"Jansen","given":"Slinger"}],"accessed":{"date-parts":[["2020",8,31]]},"issued":{"date-parts":[["2014"]]}},"locator":"3"}],"schema":"https://github.com/citation-style-language/schema/raw/master/csl-citation.json"}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(Werder et al., 2014, p. 3)</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can be considered as an interactive technology. Contrary to Web 1.0 where users can only access content from websites, Web 2.0 provide technologies that allow users to interactively communicate and co-create knowledge, so called ‘user-generated content’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{"citationID":"a1ftfg7n0e5","properties":{"formattedCitation":"(J. H. Kietzmann et al., 2011)","plainCitation":"(J. H. Kietzmann et al., 2011)","noteIndex":0},"citationItems":[{"id":184,"uris":["http://zotero.org/users/5709166/items/5FLYND5V"],"itemData":{"id":184,"type":"article-journal","abstract":"Traditionally, consumers used the Internet to simply expend content: they read it, they watched it, and they used it to buy products and services. Increasingly, however, consumers are utilizing platforms–—such as content sharing sites, blogs, social networking, and wikis–—to create, modify, share, and discuss Internet content. This represents the social media phenomenon, which can now signiﬁcantly impact a ﬁrm’s reputation, sales, and even survival. Yet, many executives eschew or ignore this form of media because they don’t understand what it is, the various forms it can take, and how to engage with it and learn. In response, we present a framework that deﬁnes social media by using seven functional building blocks: identity, conversations, sharing, presence, relationships, reputation, and groups. As different social media activities are deﬁned by the extent to which they focus on some or all of these blocks, we explain the implications that each block can have for how ﬁrms should engage with social media. To conclude, we present a number of recommendations regarding how ﬁrms should develop strategies for monitoring, understanding, and responding to different social media activities.","container-title":"Business Horizons","DOI":"10.1016/j.bushor.2011.01.005","ISSN":"00076813","issue":"3","journalAbbreviation":"Business Horizons","language":"en","page":"241-251","source":"DOI.org (Crossref)","title":"Social media? Get serious! Understanding the functional building blocks of social media","title-short":"Social media?","volume":"54","author":[{"family":"Kietzmann","given":"Jan H."},{"family":"Hermkens","given":"Kristopher"},{"family":"McCarthy","given":"Ian P."},{"family":"Silvestre","given":"Bruno S."}],"issued":{"date-parts":[["2011",5]]}}}],"schema":"https://github.com/citation-style-language/schema/raw/master/csl-citation.json"}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(Kietzmann et al., 2011)</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Technologies based on Web 2.0 such as Wikis, or social media. provide people with more opportunities to interact regardless of geographic boundaries, which greatly helps the success of practice-based knowledge management.</w:t>
      </w:r>
    </w:p>
    <w:p w14:paraId="1895F961" w14:textId="77777777" w:rsidR="002C1A2F" w:rsidRPr="00F153F6" w:rsidRDefault="002C1A2F" w:rsidP="004424B4">
      <w:pPr>
        <w:spacing w:line="360" w:lineRule="auto"/>
        <w:jc w:val="both"/>
        <w:rPr>
          <w:rFonts w:ascii="Times New Roman" w:eastAsia="Times New Roman" w:hAnsi="Times New Roman" w:cs="Times New Roman"/>
          <w:b/>
          <w:bCs/>
          <w:iCs/>
          <w:color w:val="000000" w:themeColor="text1"/>
          <w:sz w:val="24"/>
          <w:szCs w:val="24"/>
          <w:u w:val="single"/>
        </w:rPr>
      </w:pPr>
      <w:r w:rsidRPr="00F153F6">
        <w:rPr>
          <w:rFonts w:ascii="Times New Roman" w:eastAsia="Times New Roman" w:hAnsi="Times New Roman" w:cs="Times New Roman"/>
          <w:b/>
          <w:bCs/>
          <w:iCs/>
          <w:color w:val="000000" w:themeColor="text1"/>
          <w:sz w:val="24"/>
          <w:szCs w:val="24"/>
          <w:u w:val="single"/>
        </w:rPr>
        <w:t>Crowd-based Approach</w:t>
      </w:r>
    </w:p>
    <w:p w14:paraId="4C8CB443" w14:textId="7CE7C444"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Crowd-based approach to ICT-enabled knowledge exchange focuses on external knowledge sourcing outside of the organisation. This approach is mainly based on the concept of crowdsourcing, defined as “the use of IT to outsource any organisational function to a strategically defined population of human and non-human actors in the form of an open call”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{"citationID":"aqj40k3lqb","properties":{"formattedCitation":"(J. H. Kietzmann, 2017, p. 3)","plainCitation":"(J. H. Kietzmann, 2017, p. 3)","noteIndex":0},"citationItems":[{"id":182,"uris":["http://zotero.org/users/5709166/items/PJMCFK23"],"itemData":{"id":182,"type":"article-journal","container-title":"Business Horizons","DOI":"10.1016/j.bushor.2016.10.001","ISSN":"00076813","issue":"2","journalAbbreviation":"Business Horizons","language":"en","page":"151-153","source":"DOI.org (Crossref)","title":"Crowdsourcing: A revised definition and introduction to new research","title-short":"Crowdsourcing","volume":"60","author":[{"family":"Kietzmann","given":"Jan H."}],"issued":{"date-parts":[["2017",3]]}},"locator":"3"}],"schema":"https://github.com/citation-style-language/schema/raw/master/csl-citation.json"}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(Kietzmann, 2017, p. 3)</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The functions of outsourcing can be varied, from simple task to complicated R&amp;D project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{"citationID":"a11qt0kdbt8","properties":{"formattedCitation":"(Ghezzi et al., 2018)","plainCitation":"(Ghezzi et al., 2018)","noteIndex":0},"citationItems":[{"id":181,"uris":["http://zotero.org/users/5709166/items/ZCCN64D3"],"itemData":{"id":181,"type":"article-journal","abstract":"As academic and practitioner studies on crowdsourcing have been building up since 2006, the subject itself has progressively gained in importance within the broad field of management. No systematic review on the topic has so far appeared in management journals, however; moreover, the field suffers from ambiguity in the topic's definition, which in turn has led to its largely unstructured evolution. The authors therefore investigate the existing body of knowledge on crowdsourcing systematically through a penetrating review in which the strengths and weakness of this literature stream are presented clearly and then future avenues of research are set out. The review is based on 121 scientific articles published between January 2006 and January 2015. The review recognizes that crowdsourcing is ingrained in two mainstream disciplines within the broader subject matter of innovation and management: (1) open innovation; and (2) co-creation. The review, in addition, also touches on several issues covered in other theoretical streams: (3) information systems management; (4) organizational theory and design; (5) marketing; and (6) strategy. The authors adopt a process perspective, applying the ‘Input–Process–Output’ framework to interpret research on crowdsourcing within the broad lines of: (1) Input (Problem/Task); (2) Process (session management; problem management; knowledge management; technology); and (3) Outcome (solution/completed task; seekers’ benefits; solvers’ benefits). This framework provides a detailed description of how the topic has evolved over time, and suggestions concerning the future direction of research are proposed in the form of research questions that are valuable for both academics and managers.","container-title":"International Journal of Management Reviews","DOI":"10.1111/ijmr.12135","ISSN":"1468-2370","issue":"2","language":"en","note":"_eprint: https://onlinelibrary.wiley.com/doi/pdf/10.1111/ijmr.12135","page":"343-363","source":"Wiley Online Library","title":"Crowdsourcing: A Review and Suggestions for Future Research","title-short":"Crowdsourcing","volume":"20","author":[{"family":"Ghezzi","given":"Antonio"},{"family":"Gabelloni","given":"Donata"},{"family":"Martini","given":"Antonella"},{"family":"Natalicchio","given":"Angelo"}],"issued":{"date-parts":[["2018"]]}}}],"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(Ghezzi et al., 2018)</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This approach, in line with the idea of open innovation, assumes that organisations cannot rely only on their own internal knowledge but need more external knowledge via collaborations with other organisations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{"citationID":"a1oe1470jpv","properties":{"formattedCitation":"(Brabham, 2013)","plainCitation":"(Brabham, 2013)","noteIndex":0},"citationItems":[{"id":183,"uris":["http://zotero.org/users/5709166/items/GVXEGKKZ"],"itemData":{"id":183,"type":"book","abstract":"A concise introduction to crowdsourcing that goes beyond social media buzzwords to explain what crowdsourcing really is and how it works.Ever since the term “crowdsourcing” was coined in 2006 by Wired writer Jeff Howe, group activities ranging from the creation of the Oxford English Dictionary to the choosing of new colors for M&amp;Ms have been labeled with this most buzz-generating of media buzzwords. In this accessible but authoritative account, grounded in the empirical literature, Daren Brabham explains what crowdsourcing is, what it is not, and how it works.Crowdsourcing, Brabham tells us, is an online, distributed problem solving and production model that leverages the collective intelligence of online communities for specific purposes set forth by a crowdsourcing organization—corporate, government, or volunteer. Uniquely, it combines a bottom-up, open, creative process with top-down organizational goals. Crowdsourcing is not open source production, which lacks the top-down component; it is not a market research survey that offers participants a short list of choices; and it is qualitatively different from predigital open innovation and collaborative production processes, which lacked the speed, reach, rich capability, and lowered barriers to entry enabled by the Internet.Brabham describes the intellectual roots of the idea of crowdsourcing in such concepts as collective intelligence, the wisdom of crowds, and distributed computing. He surveys the major issues in crowdsourcing, including crowd motivation, the misconception of the amateur participant, crowdfunding, and the danger of “crowdsploitation” of volunteer labor, citing real-world examples from Threadless, InnoCentive, and other organizations. And he considers the future of crowdsourcing in both theory and practice, describing its possible roles in journalism, governance, national security, and science and health.","ISBN":"978-0-262-31425-1","language":"en","note":"Google-Books-ID: ndcnAAAAQBAJ","number-of-pages":"163","publisher":"MIT Press","source":"Google Books","title":"Crowdsourcing","author":[{"family":"Brabham","given":"Daren C."}],"issued":{"date-parts":[["2013",5,10]]}}}],"schema":"https://github.com/citation-style-language/schema/raw/master/csl-citation.json"}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(Brabham, 2013)</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In this approach, organisations can acquire new insights and engage in knowledge co-creation via inter-organisational collaboration, i.e. collaboration with other organisations across organisational boundaries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{"citationID":"a154r7vglu5","properties":{"formattedCitation":"(Islam et al., 2017)","plainCitation":"(Islam et al., 2017)","noteIndex":0},"citationItems":[{"id":180,"uris":["http://zotero.org/users/5709166/items/8GBJN99R"],"itemData":{"id":180,"type":"article-journal","abstract":"Digital technologies offer multiple opportunities for firms, but they also involve many challenges. Incumbent firms especially need to pursue digitalization in their businesses and create digital innovations in order to stay competitive in the market. For this purpose, an increased number of incumbent firms have been collaborating with start-ups with the aim of identifying and developing new business fields. Influencing factors in the context of collaboration between incumbent firms and start-ups aiming to foster digital innovation have barely been addressed in the research. Against this background, we have compiled a literature review on collaboration and conducted a qualitative study based on 30 interviews with experts from incumbent firms and start-ups. We investigate the increasingly important inter-organizational form that is emerging from collaborative innovative processes by influencing factors identified in terms of intra-individual und interactional levels. Our main interest is in showing what factors affect incumbent firms and start-ups in pursuit of collaboration with the aim of creating and implementing digital innovation. With our results, we are contributing to the literature on collaboration as well as providing practitioners valuable guidance for fostering digital innovation by illustrating relevant factors that can be considered in future inter-organizational collaborations.","language":"en","page":"16","source":"Zotero","title":"FOSTERING DIGITAL INNOVATION THROUGH INTER-ORGANIZATIONAL COLLABORATION BETWEEN INCUMBENT FIRMS AND START-UPS","author":[{"family":"Islam","given":"Nihal"},{"family":"Buxmann","given":"Peter"},{"family":"Ding","given":"David"}],"issued":{"date-parts":[["2017"]]}}}],"schema":"https://github.com/citation-style-language/schema/raw/master/csl-citation.json"}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(Islam et al., 2017)</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p>
    <w:p w14:paraId="4CEC46C1" w14:textId="78F8B776"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lastRenderedPageBreak/>
        <w:t xml:space="preserve">Helms et al. </w:t>
      </w:r>
      <w:bookmarkStart w:id="238" w:name="OLE_LINK130"/>
      <w:bookmarkStart w:id="239" w:name="OLE_LINK131"/>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{"citationID":"a15shqc2aeq","properties":{"formattedCitation":"(2012)","plainCitation":"(2012)","noteIndex":0},"citationItems":[{"id":179,"uris":["http://zotero.org/users/5709166/items/ELCHEI34"],"itemData":{"id":179,"type":"article-journal","abstract":"Integrating social media into the innovation process can open up the potential for organizations to utilize the collective creativity of consumers from all over the world. The research in this paper sets out to identify how social media can facilitate innovation. By taking a Design Science Research approach this research presents the Social Media Innovation Method for matching innovation tasks with social media characteristics. This supports the selection of best suitable social media and can help organizations to achieve their innovation goals. At the core of the method is the honeycomb model which describes seven social media characteristics on three dimensions: audience, content and time. The method has been evaluated by using an approach called scenario walkthrough that is applied in a real-life spatial planning project. This research concludes that there is no one-size-fits-all answer to the question how social media can be of value for the innovation process. However, organizations that want to know how it can benefit their own innovation process can use the Social Media Innovation Method presented in this research as a way to provide an answer to that question, uniquely tailored to each innovation task for which social media is to be used.","language":"en","page":"13","source":"Zotero","title":"REACHING OUT: INVOLVING USERS IN INNOVATION TASKS THROUGH SOCIAL MEDIA","author":[{"family":"Helms","given":"R W"},{"family":"Booij","given":"Eric"},{"family":"Spruit","given":"M R"}],"issued":{"date-parts":[["2012"]]}},"suppress-author":true}],"schema":"https://github.com/citation-style-language/schema/raw/master/csl-citation.json"}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(2012)</w:t>
      </w:r>
      <w:r w:rsidRPr="00F153F6">
        <w:rPr>
          <w:rFonts w:ascii="Times New Roman" w:hAnsi="Times New Roman" w:cs="Times New Roman"/>
          <w:color w:val="000000" w:themeColor="text1"/>
          <w:sz w:val="24"/>
          <w:szCs w:val="24"/>
        </w:rPr>
        <w:fldChar w:fldCharType="end"/>
      </w:r>
      <w:bookmarkEnd w:id="238"/>
      <w:bookmarkEnd w:id="239"/>
      <w:r w:rsidRPr="00F153F6">
        <w:rPr>
          <w:rFonts w:ascii="Times New Roman" w:eastAsia="Times New Roman" w:hAnsi="Times New Roman" w:cs="Times New Roman"/>
          <w:iCs/>
          <w:color w:val="000000" w:themeColor="text1"/>
          <w:sz w:val="24"/>
          <w:szCs w:val="24"/>
        </w:rPr>
        <w:t xml:space="preserve"> identify five distinct approaches for involving crowds in innovation where ICT, such as social media, can find a place: general community engagement, ideas competitions, interactive value creation, participatory design, and product design. In general community engagement, users are involved in an online environment such as a forum where they can be engaged with by organisations to share their knowledge and insights. The ideas competition approach focuses on idea generation and evaluation processes where web-based applications such as Accenture GrapeVine can support people to show their ideas and evaluate them by digital crowd voting such as ‘liking’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{"citationID":"a1jtf7pqmri","properties":{"formattedCitation":"(Bayus, 2013; OLeary, 2013)","plainCitation":"(Bayus, 2013; OLeary, 2013)","noteIndex":0},"citationItems":[{"id":178,"uris":["http://zotero.org/users/5709166/items/4FW93SHQ"],"itemData":{"id":178,"type":"article-journal","container-title":"Management Science","DOI":"10.1287/mnsc.1120.1599","ISSN":"0025-1909, 1526-5501","issue":"1","journalAbbreviation":"Management Science","language":"en","page":"226-244","source":"DOI.org (Crossref)","title":"Crowdsourcing New Product Ideas over Time: An Analysis of the Dell IdeaStorm Community","title-short":"Crowdsourcing New Product Ideas over Time","volume":"59","author":[{"family":"Bayus","given":"Barry L."}],"issued":{"date-parts":[["2013",1]]}}},{"id":177,"uris":["http://zotero.org/users/5709166/items/IPVMSD97"],"itemData":{"id":177,"type":"article-journal","abstract":"Crowdsourcing is emerging as a critical source of information and knowledge in contemporary enterprises. Web 2.0-like tools are being developed to help enterprises perform crowdsourcing. Further, in an era of global competition and where “CIO” is increasingly being used to refer to “Chief Innovation Officer,” facilitating enterprise innovation is becoming more and more important. This paper presents a case that is designed to illustrate the use of a Web 2.0-like tool to gather data from an enterprise’s crowd to facilitate generating innovative ideas and help manage innovation knowledge. The case presents the basic system design and provides screens to illustrate its use. The case also examines how two firms have used the tool in the banking and consulting industries. Finally, the case examines some potential challenges associated with systems of this type.","language":"en","page":"11","source":"Zotero","title":"Driving Innovation and Knowledge Management Using Crowdsourcing","author":[{"family":"OLeary","given":"Daniel"}],"issued":{"date-parts":[["2013"]]}}}],"schema":"https://github.com/citation-style-language/schema/raw/master/csl-citation.json"}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(Bayus, 2013; OLeary, 2013)</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Participatory design is also an important ICT-enabled approach to crowdsourcing through which organisations develop a much closer collaboration with end users. Under this approach, users become involved in the design process and engage with organisations to provide their knowledge to the product directly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{"citationID":"a2qn9gg3mgt","properties":{"formattedCitation":"(Wilkinson &amp; De Angeli, 2014)","plainCitation":"(Wilkinson &amp; De Angeli, 2014)","noteIndex":0},"citationItems":[{"id":176,"uris":["http://zotero.org/users/5709166/items/J9IN2SED"],"itemData":{"id":176,"type":"article-journal","abstract":"Traditional design approaches have been accused of failing to engage with users in the design process: compromising commercial opportunity and the interactional experience of users. Alternatively, a participatory design approach was applied to the generation of ideas for new product opportunities in the active wheelchair user market and to the initial stages of a European project aiming to develop an intelligent mobility aid for older people. Users were acutely aware of problems with existing technology or designs, and including them during early discussion and design stages was shown to facilitate new concept generation. This highly transferable approach enhances the user experience and commercial potential of products and services, and will be of interest to product manufacturers, designers, and researchers, alike.","container-title":"Design Studies","DOI":"10.1016/j.destud.2014.06.001","ISSN":"0142-694X","issue":"6","journalAbbreviation":"Design Studies","language":"en","page":"614-631","source":"ScienceDirect","title":"Applying user centred and participatory design approaches to commercial product development","volume":"35","author":[{"family":"Wilkinson","given":"Christopher R."},{"family":"De Angeli","given":"Antonella"}],"issued":{"date-parts":[["2014",11,1]]}}}],"schema":"https://github.com/citation-style-language/schema/raw/master/csl-citation.json"}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(Wilkinson &amp; De Angeli, 2014)</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ICT here can build online communities of users for acquiring their knowledge for crowdsourcing. For example, based on such a user-centred innovation approach, the idea of Living Lab-based projects need ICT such as Co-space to construct virtual teams so that networks with users can be established for future knowledge co-creation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{"citationID":"a174sqjus7d","properties":{"formattedCitation":"(Walt &amp; Buitendag, 2009)","plainCitation":"(Walt &amp; Buitendag, 2009)","noteIndex":0},"citationItems":[{"id":175,"uris":["http://zotero.org/users/5709166/items/DJWMRZPK"],"itemData":{"id":175,"type":"chapter","ISBN":"978-1-932886-16-0","language":"en","note":"Google-Books-ID: qLqIK3HomoEC","publisher":"Informing Science","source":"Google Books","title":"Community Living Lab as a Collaborative Innovation Environment","author":[{"family":"Walt","given":"Jacobus S.","dropping-particle":"van der"},{"family":"Buitendag","given":"Albertus A.K."}],"issued":{"date-parts":[["2009"]]}}}],"schema":"https://github.com/citation-style-language/schema/raw/master/csl-citation.json"}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(Walt &amp; Buitendag, 2009)</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w:t>
      </w:r>
    </w:p>
    <w:bookmarkEnd w:id="158"/>
    <w:bookmarkEnd w:id="159"/>
    <w:p w14:paraId="1F6340D8" w14:textId="77777777" w:rsidR="002C1A2F" w:rsidRPr="00F153F6" w:rsidRDefault="002C1A2F" w:rsidP="004424B4">
      <w:pPr>
        <w:spacing w:line="360" w:lineRule="auto"/>
        <w:jc w:val="both"/>
        <w:rPr>
          <w:rFonts w:ascii="Times New Roman" w:hAnsi="Times New Roman" w:cs="Times New Roman"/>
          <w:color w:val="000000" w:themeColor="text1"/>
          <w:sz w:val="20"/>
          <w:szCs w:val="20"/>
        </w:rPr>
      </w:pPr>
    </w:p>
    <w:p w14:paraId="3DBB5312" w14:textId="77777777" w:rsidR="002C1A2F" w:rsidRPr="00F153F6" w:rsidRDefault="002C1A2F" w:rsidP="004424B4">
      <w:pPr>
        <w:pStyle w:val="Heading2"/>
        <w:spacing w:line="360" w:lineRule="auto"/>
        <w:rPr>
          <w:rFonts w:ascii="Times New Roman" w:hAnsi="Times New Roman" w:cs="Times New Roman"/>
          <w:color w:val="000000" w:themeColor="text1"/>
          <w:sz w:val="32"/>
          <w:szCs w:val="32"/>
        </w:rPr>
      </w:pPr>
      <w:bookmarkStart w:id="240" w:name="_Toc50065935"/>
      <w:bookmarkStart w:id="241" w:name="_Toc118371106"/>
      <w:bookmarkStart w:id="242" w:name="_Toc133252129"/>
      <w:r w:rsidRPr="00F153F6">
        <w:rPr>
          <w:rFonts w:ascii="Times New Roman" w:hAnsi="Times New Roman" w:cs="Times New Roman"/>
          <w:color w:val="000000" w:themeColor="text1"/>
          <w:sz w:val="32"/>
          <w:szCs w:val="32"/>
        </w:rPr>
        <w:t>2.7 The Context of Living Labs</w:t>
      </w:r>
      <w:bookmarkEnd w:id="240"/>
      <w:bookmarkEnd w:id="241"/>
      <w:bookmarkEnd w:id="242"/>
    </w:p>
    <w:p w14:paraId="566EA0A5" w14:textId="3DF51D99" w:rsidR="002C1A2F" w:rsidRPr="00F153F6" w:rsidRDefault="002C1A2F" w:rsidP="004424B4">
      <w:pPr>
        <w:pStyle w:val="Heading3"/>
        <w:spacing w:line="360" w:lineRule="auto"/>
        <w:ind w:firstLine="720"/>
        <w:jc w:val="both"/>
        <w:rPr>
          <w:rFonts w:ascii="Times New Roman" w:hAnsi="Times New Roman" w:cs="Times New Roman"/>
          <w:b/>
          <w:color w:val="000000" w:themeColor="text1"/>
          <w:sz w:val="28"/>
          <w:szCs w:val="28"/>
        </w:rPr>
      </w:pPr>
      <w:bookmarkStart w:id="243" w:name="_Toc50065936"/>
      <w:bookmarkStart w:id="244" w:name="_Toc118371107"/>
      <w:bookmarkStart w:id="245" w:name="_Toc133252130"/>
      <w:r w:rsidRPr="00F153F6">
        <w:rPr>
          <w:rFonts w:ascii="Times New Roman" w:hAnsi="Times New Roman" w:cs="Times New Roman"/>
          <w:b/>
          <w:color w:val="000000" w:themeColor="text1"/>
          <w:sz w:val="28"/>
          <w:szCs w:val="28"/>
        </w:rPr>
        <w:t>2.7.1 Definitions of Living Labs</w:t>
      </w:r>
      <w:bookmarkEnd w:id="243"/>
      <w:bookmarkEnd w:id="244"/>
      <w:bookmarkEnd w:id="245"/>
    </w:p>
    <w:p w14:paraId="6D15C23D" w14:textId="3385A21C"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iCs/>
          <w:color w:val="000000" w:themeColor="text1"/>
          <w:sz w:val="24"/>
          <w:szCs w:val="24"/>
        </w:rPr>
        <w:t xml:space="preserve">The concept of Living Lab has become a new arena to explore how to involve users in innovations and development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{"citationID":"q8HAqARq","properties":{"formattedCitation":"(Chayabunjonglerd &amp; Torkabadi, 2015)","plainCitation":"(Chayabunjonglerd &amp; Torkabadi, 2015)","noteIndex":0},"citationItems":[{"id":2182,"uris":["http://zotero.org/users/5709166/items/Q639HSTT"],"itemData":{"id":2182,"type":"thesis","title":"Interorganizational collaboration in a living lab HSB Living Lab as a case study","author":[{"family":"Chayabunjonglerd","given":"Panuwat"},{"family":"Torkabadi","given":"Saeid"}],"issued":{"date-parts":[["2015"]]}}}],"schema":"https://github.com/citation-style-language/schema/raw/master/csl-citation.json"}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(Chayabunjonglerd &amp; Torkabadi, 2015)</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The term ‘Living Labs’ is a user-centred research concept and was originally introduced by </w:t>
      </w:r>
      <w:bookmarkStart w:id="246" w:name="OLE_LINK11"/>
      <w:bookmarkStart w:id="247" w:name="OLE_LINK12"/>
      <w:r w:rsidRPr="00F153F6">
        <w:rPr>
          <w:rFonts w:ascii="Times New Roman" w:eastAsiaTheme="minorEastAsia" w:hAnsi="Times New Roman" w:cs="Times New Roman"/>
          <w:iCs/>
          <w:color w:val="000000" w:themeColor="text1"/>
          <w:sz w:val="24"/>
          <w:szCs w:val="24"/>
        </w:rPr>
        <w:t xml:space="preserve">Bill Mitchell </w:t>
      </w:r>
      <w:bookmarkEnd w:id="246"/>
      <w:bookmarkEnd w:id="247"/>
      <w:r w:rsidRPr="00F153F6">
        <w:rPr>
          <w:rFonts w:ascii="Times New Roman" w:eastAsiaTheme="minorEastAsia" w:hAnsi="Times New Roman" w:cs="Times New Roman"/>
          <w:iCs/>
          <w:color w:val="000000" w:themeColor="text1"/>
          <w:sz w:val="24"/>
          <w:szCs w:val="24"/>
        </w:rPr>
        <w:t xml:space="preserve">at the Massachusetts Institute of Technology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{"citationID":"nGXQIdH7","properties":{"formattedCitation":"(Hawk et al., 2012)","plainCitation":"(Hawk et al., 2012)","noteIndex":0},"citationItems":[{"id":2183,"uris":["http://zotero.org/users/5709166/items/2UTWQ64I"],"itemData":{"id":2183,"type":"article-journal","abstract":"The living lab (LL) is an open innovation ecosystem serving to provide opportunities for local stakeholders to practice research and to experiment with meaningful improvements for cities and other organizations. Living labs aim at involving the user as a cocreator. In this article the relationship between the LLs and a variety of stakeholders is discussed. Aspects of the leadership structures of LLs are critically analyzed and discussed, identifying opportunities and challenges. Examples of a LL in action are given. Recommendations for future development of the LLs are discussed in the concluding part of the article. [PUBLICATION ABSTRACT]","container-title":"Quarterly Review of Distance Education; Charlotte","ISSN":"15283518","issue":"4","language":"English","license":"Copyright Information Age Publishing, Inc. Winter 2012","page":"225-231,269-270","source":"ProQuest","title":"THE LIVING LABS: Innovation in Real-Life Settings","title-short":"THE LIVING LABS","volume":"13","author":[{"family":"Hawk","given":"Nathan"},{"family":"Romine","given":"Martha"},{"family":"Bartle","given":"Gamin"}],"issued":{"date-parts":[["2012"]],"season":"Winter"}}}],"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(Hawk et al., 2012)</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Scholars has conceptualised Living Labs from many perspectives such as an organisation, a platform, a system, or a methodology, as summarised in Table 2.</w:t>
      </w:r>
      <w:r w:rsidR="00643D53" w:rsidRPr="00F153F6">
        <w:rPr>
          <w:rFonts w:ascii="Times New Roman" w:eastAsiaTheme="minorEastAsia" w:hAnsi="Times New Roman" w:cs="Times New Roman"/>
          <w:iCs/>
          <w:color w:val="000000" w:themeColor="text1"/>
          <w:sz w:val="24"/>
          <w:szCs w:val="24"/>
        </w:rPr>
        <w:t>4</w:t>
      </w:r>
      <w:r w:rsidRPr="00F153F6">
        <w:rPr>
          <w:rFonts w:ascii="Times New Roman" w:eastAsiaTheme="minorEastAsia" w:hAnsi="Times New Roman" w:cs="Times New Roman"/>
          <w:iCs/>
          <w:color w:val="000000" w:themeColor="text1"/>
          <w:sz w:val="24"/>
          <w:szCs w:val="24"/>
        </w:rPr>
        <w:t xml:space="preserve">. </w:t>
      </w:r>
    </w:p>
    <w:p w14:paraId="76C9985D" w14:textId="77777777"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p>
    <w:p w14:paraId="495B30A6" w14:textId="2920CF7C" w:rsidR="00D345CD" w:rsidRPr="00F153F6" w:rsidRDefault="00D345CD" w:rsidP="00D345CD">
      <w:pPr>
        <w:pStyle w:val="Caption"/>
        <w:keepNext/>
        <w:rPr>
          <w:rFonts w:ascii="Times New Roman" w:hAnsi="Times New Roman" w:cs="Times New Roman"/>
          <w:i w:val="0"/>
          <w:iCs w:val="0"/>
          <w:sz w:val="22"/>
          <w:szCs w:val="22"/>
        </w:rPr>
      </w:pPr>
      <w:bookmarkStart w:id="248" w:name="_Toc119448005"/>
      <w:r w:rsidRPr="00F153F6">
        <w:rPr>
          <w:rFonts w:ascii="Times New Roman" w:hAnsi="Times New Roman" w:cs="Times New Roman"/>
          <w:i w:val="0"/>
          <w:iCs w:val="0"/>
          <w:color w:val="auto"/>
          <w:sz w:val="22"/>
          <w:szCs w:val="22"/>
        </w:rPr>
        <w:t xml:space="preserve">Table 2.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Table_2.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4</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Perspectives and definitions of Living Labs</w:t>
      </w:r>
      <w:bookmarkEnd w:id="248"/>
    </w:p>
    <w:tbl>
      <w:tblPr>
        <w:tblStyle w:val="PlainTable2"/>
        <w:tblW w:w="0" w:type="auto"/>
        <w:tblLook w:val="04A0" w:firstRow="1" w:lastRow="0" w:firstColumn="1" w:lastColumn="0" w:noHBand="0" w:noVBand="1"/>
      </w:tblPr>
      <w:tblGrid>
        <w:gridCol w:w="1843"/>
        <w:gridCol w:w="1985"/>
        <w:gridCol w:w="5198"/>
      </w:tblGrid>
      <w:tr w:rsidR="002C1A2F" w:rsidRPr="00F153F6" w14:paraId="1083DBFA" w14:textId="77777777" w:rsidTr="002C1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left w:val="nil"/>
              <w:right w:val="nil"/>
            </w:tcBorders>
          </w:tcPr>
          <w:p w14:paraId="76715595" w14:textId="77777777" w:rsidR="002C1A2F" w:rsidRPr="00F153F6" w:rsidRDefault="002C1A2F" w:rsidP="004424B4">
            <w:pPr>
              <w:spacing w:line="360" w:lineRule="auto"/>
              <w:rPr>
                <w:rFonts w:ascii="Times New Roman" w:eastAsiaTheme="minorEastAsia" w:hAnsi="Times New Roman" w:cs="Times New Roman"/>
                <w:b w:val="0"/>
                <w:bCs w:val="0"/>
                <w:i/>
                <w:color w:val="000000" w:themeColor="text1"/>
                <w:sz w:val="24"/>
                <w:szCs w:val="24"/>
              </w:rPr>
            </w:pPr>
          </w:p>
        </w:tc>
        <w:tc>
          <w:tcPr>
            <w:tcW w:w="1985" w:type="dxa"/>
            <w:tcBorders>
              <w:top w:val="single" w:sz="4" w:space="0" w:color="7F7F7F" w:themeColor="text1" w:themeTint="80"/>
              <w:left w:val="nil"/>
              <w:right w:val="nil"/>
            </w:tcBorders>
            <w:hideMark/>
          </w:tcPr>
          <w:p w14:paraId="74ED34F4" w14:textId="77777777" w:rsidR="002C1A2F" w:rsidRPr="00F153F6" w:rsidRDefault="002C1A2F"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iCs/>
                <w:color w:val="000000" w:themeColor="text1"/>
                <w:sz w:val="24"/>
                <w:szCs w:val="24"/>
              </w:rPr>
              <w:t>Living Labs perspectives</w:t>
            </w:r>
          </w:p>
        </w:tc>
        <w:tc>
          <w:tcPr>
            <w:tcW w:w="5198" w:type="dxa"/>
            <w:tcBorders>
              <w:top w:val="single" w:sz="4" w:space="0" w:color="7F7F7F" w:themeColor="text1" w:themeTint="80"/>
              <w:left w:val="nil"/>
              <w:right w:val="nil"/>
            </w:tcBorders>
            <w:hideMark/>
          </w:tcPr>
          <w:p w14:paraId="4B157059" w14:textId="77777777" w:rsidR="002C1A2F" w:rsidRPr="00F153F6" w:rsidRDefault="002C1A2F"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iCs/>
                <w:color w:val="000000" w:themeColor="text1"/>
                <w:sz w:val="24"/>
                <w:szCs w:val="24"/>
              </w:rPr>
              <w:t>Definitions of Living Labs in Studies</w:t>
            </w:r>
          </w:p>
        </w:tc>
      </w:tr>
      <w:tr w:rsidR="002C1A2F" w:rsidRPr="00F153F6" w14:paraId="339C2AFB" w14:textId="77777777" w:rsidTr="002C1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Borders>
              <w:left w:val="nil"/>
              <w:bottom w:val="nil"/>
              <w:right w:val="nil"/>
            </w:tcBorders>
            <w:hideMark/>
          </w:tcPr>
          <w:p w14:paraId="2D9AD0E6" w14:textId="77777777" w:rsidR="002C1A2F" w:rsidRPr="00F153F6" w:rsidRDefault="002C1A2F" w:rsidP="004424B4">
            <w:pPr>
              <w:spacing w:line="360" w:lineRule="auto"/>
              <w:rPr>
                <w:rFonts w:ascii="Times New Roman" w:eastAsiaTheme="minorEastAsia" w:hAnsi="Times New Roman" w:cs="Times New Roman"/>
                <w:b w:val="0"/>
                <w:bCs w:val="0"/>
                <w:i/>
                <w:color w:val="000000" w:themeColor="text1"/>
              </w:rPr>
            </w:pPr>
            <w:r w:rsidRPr="00F153F6">
              <w:rPr>
                <w:rFonts w:ascii="Times New Roman" w:eastAsiaTheme="minorEastAsia" w:hAnsi="Times New Roman" w:cs="Times New Roman"/>
                <w:i/>
                <w:color w:val="000000" w:themeColor="text1"/>
              </w:rPr>
              <w:t xml:space="preserve">Milieu </w:t>
            </w:r>
            <w:r w:rsidRPr="00F153F6">
              <w:rPr>
                <w:rFonts w:ascii="Times New Roman" w:eastAsiaTheme="minorEastAsia" w:hAnsi="Times New Roman" w:cs="Times New Roman"/>
                <w:i/>
                <w:color w:val="000000" w:themeColor="text1"/>
              </w:rPr>
              <w:lastRenderedPageBreak/>
              <w:t>Perspective on Living Labs</w:t>
            </w:r>
          </w:p>
        </w:tc>
        <w:tc>
          <w:tcPr>
            <w:tcW w:w="1985" w:type="dxa"/>
            <w:tcBorders>
              <w:left w:val="nil"/>
              <w:right w:val="nil"/>
            </w:tcBorders>
          </w:tcPr>
          <w:p w14:paraId="274CE18C" w14:textId="77777777" w:rsidR="002C1A2F" w:rsidRPr="00F153F6" w:rsidRDefault="002C1A2F"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lastRenderedPageBreak/>
              <w:t>Public-Private-</w:t>
            </w:r>
            <w:r w:rsidRPr="00F153F6">
              <w:rPr>
                <w:rFonts w:ascii="Times New Roman" w:eastAsiaTheme="minorEastAsia" w:hAnsi="Times New Roman" w:cs="Times New Roman"/>
                <w:iCs/>
                <w:color w:val="000000" w:themeColor="text1"/>
              </w:rPr>
              <w:lastRenderedPageBreak/>
              <w:t>Partnership (PPP) Environment</w:t>
            </w:r>
          </w:p>
          <w:p w14:paraId="4B75711B" w14:textId="77777777" w:rsidR="002C1A2F" w:rsidRPr="00F153F6" w:rsidRDefault="002C1A2F"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color w:val="000000" w:themeColor="text1"/>
              </w:rPr>
            </w:pPr>
          </w:p>
        </w:tc>
        <w:tc>
          <w:tcPr>
            <w:tcW w:w="5198" w:type="dxa"/>
            <w:tcBorders>
              <w:left w:val="nil"/>
              <w:right w:val="nil"/>
            </w:tcBorders>
            <w:hideMark/>
          </w:tcPr>
          <w:p w14:paraId="7380E9F4" w14:textId="77777777" w:rsidR="002C1A2F" w:rsidRPr="00F153F6" w:rsidRDefault="002C1A2F"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lastRenderedPageBreak/>
              <w:t xml:space="preserve">“Living Labs are an emerging Public Private Partnership </w:t>
            </w:r>
            <w:r w:rsidRPr="00F153F6">
              <w:rPr>
                <w:rFonts w:ascii="Times New Roman" w:eastAsiaTheme="minorEastAsia" w:hAnsi="Times New Roman" w:cs="Times New Roman"/>
                <w:iCs/>
                <w:color w:val="000000" w:themeColor="text1"/>
              </w:rPr>
              <w:lastRenderedPageBreak/>
              <w:t xml:space="preserve">(PPP) concept in which firms, public authorities and citizens work together to create, prototype, validate and test new services, businesses, markets and technologies in real-life contexts, such as cities, city regions, rural areas and collaborative virtual networks between public and private players.” </w:t>
            </w:r>
            <w:r w:rsidRPr="00F153F6">
              <w:rPr>
                <w:rFonts w:ascii="Times New Roman" w:eastAsiaTheme="minorEastAsia" w:hAnsi="Times New Roman" w:cs="Times New Roman"/>
                <w:iCs/>
                <w:color w:val="000000" w:themeColor="text1"/>
              </w:rPr>
              <w:fldChar w:fldCharType="begin"/>
            </w:r>
            <w:r w:rsidRPr="00F153F6">
              <w:rPr>
                <w:rFonts w:ascii="Times New Roman" w:eastAsiaTheme="minorEastAsia" w:hAnsi="Times New Roman" w:cs="Times New Roman"/>
                <w:iCs/>
                <w:color w:val="000000" w:themeColor="text1"/>
              </w:rPr>
              <w:instrText xml:space="preserve"> ADDIN ZOTERO_ITEM CSL_CITATION {"citationID":"a2jsdpv3omd","properties":{"formattedCitation":"(Niitamo et al., 2006, p. 1)","plainCitation":"(Niitamo et al., 2006, p. 1)","noteIndex":0},"citationItems":[{"id":360,"uris":["http://zotero.org/users/5709166/items/ZS3UYBKF"],"itemData":{"id":360,"type":"paper-conference","abstract":"Living Labs are an emerging Public Private Partnership (PPP) concept in which firms, public authorities and citizens work together to create, prototype, validate and test new services, businesses, markets and technologies in real-life contexts, such as cities, city regions, rural areas and collaborative virtual networks between public and private players. The real-life and everyday life contexts will both stimulate and challenge research and development as public authorities and citizens will not only participate in, but also contribute to the whole innovation process.","container-title":"2006 IEEE International Technology Management Conference (ICE)","DOI":"10.1109/ICE.2006.7477081","event-place":"Milan, Italy","event-title":"2006 IEEE International Technology Management Conference (ICE)","ISBN":"978-1-5090-0599-4","language":"en","page":"1-8","publisher":"IEEE","publisher-place":"Milan, Italy","source":"DOI.org (Crossref)","title":"State-of-the-art and good practice in the field of living labs","URL":"http://ieeexplore.ieee.org/document/7477081/","author":[{"family":"Niitamo","given":"Veli-Pekka"},{"family":"Kulkki","given":"Seija"},{"family":"Eriksson","given":"Mats"},{"family":"Hribernik","given":"Karl A."}],"accessed":{"date-parts":[["2020",1,13]]},"issued":{"date-parts":[["2006",6]]}},"locator":"1","label":"page"}],"schema":"https://github.com/citation-style-language/schema/raw/master/csl-citation.json"} </w:instrText>
            </w:r>
            <w:r w:rsidRPr="00F153F6">
              <w:rPr>
                <w:rFonts w:ascii="Times New Roman" w:eastAsiaTheme="minorEastAsia" w:hAnsi="Times New Roman" w:cs="Times New Roman"/>
                <w:iCs/>
                <w:color w:val="000000" w:themeColor="text1"/>
              </w:rPr>
              <w:fldChar w:fldCharType="separate"/>
            </w:r>
            <w:r w:rsidRPr="00F153F6">
              <w:rPr>
                <w:rFonts w:ascii="Times New Roman" w:hAnsi="Times New Roman" w:cs="Times New Roman"/>
                <w:color w:val="000000" w:themeColor="text1"/>
                <w:szCs w:val="24"/>
              </w:rPr>
              <w:t>(Niitamo et al., 2006, p. 1)</w:t>
            </w:r>
            <w:r w:rsidRPr="00F153F6">
              <w:rPr>
                <w:rFonts w:ascii="Times New Roman" w:eastAsiaTheme="minorEastAsia" w:hAnsi="Times New Roman" w:cs="Times New Roman"/>
                <w:iCs/>
                <w:color w:val="000000" w:themeColor="text1"/>
              </w:rPr>
              <w:fldChar w:fldCharType="end"/>
            </w:r>
          </w:p>
        </w:tc>
      </w:tr>
      <w:tr w:rsidR="002C1A2F" w:rsidRPr="00F153F6" w14:paraId="151779C2" w14:textId="77777777" w:rsidTr="004314D7">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7F7F7F" w:themeColor="text1" w:themeTint="80"/>
              <w:left w:val="nil"/>
              <w:bottom w:val="nil"/>
              <w:right w:val="nil"/>
            </w:tcBorders>
            <w:vAlign w:val="center"/>
            <w:hideMark/>
          </w:tcPr>
          <w:p w14:paraId="0929A40C" w14:textId="77777777" w:rsidR="002C1A2F" w:rsidRPr="00F153F6" w:rsidRDefault="002C1A2F" w:rsidP="004424B4">
            <w:pPr>
              <w:spacing w:line="360" w:lineRule="auto"/>
              <w:rPr>
                <w:rFonts w:ascii="Times New Roman" w:eastAsiaTheme="minorEastAsia" w:hAnsi="Times New Roman" w:cs="Times New Roman"/>
                <w:iCs/>
                <w:color w:val="000000" w:themeColor="text1"/>
              </w:rPr>
            </w:pPr>
          </w:p>
        </w:tc>
        <w:tc>
          <w:tcPr>
            <w:tcW w:w="1985" w:type="dxa"/>
            <w:tcBorders>
              <w:top w:val="nil"/>
              <w:left w:val="nil"/>
              <w:bottom w:val="nil"/>
              <w:right w:val="nil"/>
            </w:tcBorders>
          </w:tcPr>
          <w:p w14:paraId="1D871111" w14:textId="77777777" w:rsidR="002C1A2F" w:rsidRPr="00F153F6" w:rsidRDefault="002C1A2F"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Open-innovation Networks</w:t>
            </w:r>
          </w:p>
          <w:p w14:paraId="61A66F33" w14:textId="77777777" w:rsidR="002C1A2F" w:rsidRPr="00F153F6" w:rsidRDefault="002C1A2F"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color w:val="000000" w:themeColor="text1"/>
              </w:rPr>
            </w:pPr>
          </w:p>
        </w:tc>
        <w:tc>
          <w:tcPr>
            <w:tcW w:w="5198" w:type="dxa"/>
            <w:tcBorders>
              <w:top w:val="nil"/>
              <w:left w:val="nil"/>
              <w:bottom w:val="nil"/>
              <w:right w:val="nil"/>
            </w:tcBorders>
          </w:tcPr>
          <w:p w14:paraId="58AA3747" w14:textId="28D1432F" w:rsidR="002C1A2F" w:rsidRPr="00F153F6" w:rsidRDefault="002C1A2F"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 xml:space="preserve">A Living Lab is a network that integrates both user-centred research and open innovation </w:t>
            </w:r>
            <w:r w:rsidRPr="00F153F6">
              <w:rPr>
                <w:rFonts w:ascii="Times New Roman" w:eastAsiaTheme="minorEastAsia" w:hAnsi="Times New Roman" w:cs="Times New Roman"/>
                <w:iCs/>
                <w:color w:val="000000" w:themeColor="text1"/>
              </w:rPr>
              <w:fldChar w:fldCharType="begin"/>
            </w:r>
            <w:r w:rsidRPr="00F153F6">
              <w:rPr>
                <w:rFonts w:ascii="Times New Roman" w:eastAsiaTheme="minorEastAsia" w:hAnsi="Times New Roman" w:cs="Times New Roman"/>
                <w:iCs/>
                <w:color w:val="000000" w:themeColor="text1"/>
              </w:rPr>
              <w:instrText xml:space="preserve"> ADDIN ZOTERO_ITEM CSL_CITATION {"citationID":"a1i7e5js3l5","properties":{"formattedCitation":"(Leminen et al., 2012)","plainCitation":"(Leminen et al., 2012)","noteIndex":0},"citationItems":[{"id":470,"uris":["http://zotero.org/users/5709166/items/S9BSZJAT"],"itemData":{"id":470,"type":"article-journal","container-title":"Technology Innovation Management Review","language":"en","page":"7","source":"Zotero","title":"Living Labs as Open-Innovation Networks","author":[{"family":"Leminen","given":"Seppo"},{"family":"Westerlund","given":"Mika"},{"family":"Nyström","given":"Anna-Greta"}],"issued":{"date-parts":[["2012"]]}},"label":"page"}],"schema":"https://github.com/citation-style-language/schema/raw/master/csl-citation.json"} </w:instrText>
            </w:r>
            <w:r w:rsidRPr="00F153F6">
              <w:rPr>
                <w:rFonts w:ascii="Times New Roman" w:eastAsiaTheme="minorEastAsia" w:hAnsi="Times New Roman" w:cs="Times New Roman"/>
                <w:iCs/>
                <w:color w:val="000000" w:themeColor="text1"/>
              </w:rPr>
              <w:fldChar w:fldCharType="separate"/>
            </w:r>
            <w:r w:rsidRPr="00F153F6">
              <w:rPr>
                <w:rFonts w:ascii="Times New Roman" w:hAnsi="Times New Roman" w:cs="Times New Roman"/>
                <w:color w:val="000000" w:themeColor="text1"/>
                <w:szCs w:val="24"/>
              </w:rPr>
              <w:t>(Leminen et al., 2012)</w:t>
            </w:r>
            <w:r w:rsidRPr="00F153F6">
              <w:rPr>
                <w:rFonts w:ascii="Times New Roman" w:eastAsiaTheme="minorEastAsia" w:hAnsi="Times New Roman" w:cs="Times New Roman"/>
                <w:iCs/>
                <w:color w:val="000000" w:themeColor="text1"/>
              </w:rPr>
              <w:fldChar w:fldCharType="end"/>
            </w:r>
          </w:p>
        </w:tc>
      </w:tr>
      <w:tr w:rsidR="002C1A2F" w:rsidRPr="00F153F6" w14:paraId="7EC78693" w14:textId="77777777" w:rsidTr="002C1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left w:val="nil"/>
              <w:bottom w:val="nil"/>
              <w:right w:val="nil"/>
            </w:tcBorders>
            <w:vAlign w:val="center"/>
            <w:hideMark/>
          </w:tcPr>
          <w:p w14:paraId="40A6CE95" w14:textId="77777777" w:rsidR="002C1A2F" w:rsidRPr="00F153F6" w:rsidRDefault="002C1A2F" w:rsidP="004424B4">
            <w:pPr>
              <w:spacing w:line="360" w:lineRule="auto"/>
              <w:rPr>
                <w:rFonts w:ascii="Times New Roman" w:eastAsiaTheme="minorEastAsia" w:hAnsi="Times New Roman" w:cs="Times New Roman"/>
                <w:iCs/>
                <w:color w:val="000000" w:themeColor="text1"/>
              </w:rPr>
            </w:pPr>
          </w:p>
        </w:tc>
        <w:tc>
          <w:tcPr>
            <w:tcW w:w="1985" w:type="dxa"/>
            <w:tcBorders>
              <w:left w:val="nil"/>
              <w:right w:val="nil"/>
            </w:tcBorders>
          </w:tcPr>
          <w:p w14:paraId="5A50126E" w14:textId="77777777" w:rsidR="002C1A2F" w:rsidRPr="00F153F6" w:rsidRDefault="002C1A2F"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Open Innovation Ecosystem</w:t>
            </w:r>
          </w:p>
          <w:p w14:paraId="4CDFD9CE" w14:textId="77777777" w:rsidR="002C1A2F" w:rsidRPr="00F153F6" w:rsidRDefault="002C1A2F"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color w:val="000000" w:themeColor="text1"/>
              </w:rPr>
            </w:pPr>
          </w:p>
        </w:tc>
        <w:tc>
          <w:tcPr>
            <w:tcW w:w="5198" w:type="dxa"/>
            <w:tcBorders>
              <w:left w:val="nil"/>
              <w:right w:val="nil"/>
            </w:tcBorders>
            <w:hideMark/>
          </w:tcPr>
          <w:p w14:paraId="42B3977E" w14:textId="367CAFA8" w:rsidR="002C1A2F" w:rsidRPr="00F153F6" w:rsidRDefault="002C1A2F"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 xml:space="preserve">“Living Labs are defined as user-centred, open innovation ecosystems based on systematic user co-creation approach, integrating research and innovation processes in real life communities and settings.” </w:t>
            </w:r>
            <w:r w:rsidRPr="00F153F6">
              <w:rPr>
                <w:rFonts w:ascii="Times New Roman" w:eastAsiaTheme="minorEastAsia" w:hAnsi="Times New Roman" w:cs="Times New Roman"/>
                <w:iCs/>
                <w:color w:val="000000" w:themeColor="text1"/>
              </w:rPr>
              <w:fldChar w:fldCharType="begin"/>
            </w:r>
            <w:r w:rsidR="00B73834" w:rsidRPr="00F153F6">
              <w:rPr>
                <w:rFonts w:ascii="Times New Roman" w:eastAsiaTheme="minorEastAsia" w:hAnsi="Times New Roman" w:cs="Times New Roman"/>
                <w:iCs/>
                <w:color w:val="000000" w:themeColor="text1"/>
              </w:rPr>
              <w:instrText xml:space="preserve"> ADDIN ZOTERO_ITEM CSL_CITATION {"citationID":"ahcntqbp8f","properties":{"formattedCitation":"(ENoLL, 2019 official website)","plainCitation":"(ENoLL, 2019 official website)","noteIndex":0},"citationItems":[{"id":1937,"uris":["http://zotero.org/users/5709166/items/HIAJMR8Y"],"itemData":{"id":1937,"type":"webpage","abstract":"Living Labs (LLs) are defined as user-centred, open innovation ecosystems based on systematic user co-creation approach, integrating research and innovation processes …","container-title":"European Network of Living Labs","language":"en","title":"What are Living Labs","URL":"https://enoll.org/about-us/what-are-living-labs/","author":[{"family":"ENoLL","given":"ENoLL"}],"accessed":{"date-parts":[["2019",11,26]]},"issued":{"date-parts":[["2019"]]}},"label":"page","suffix":"official website"}],"schema":"https://github.com/citation-style-language/schema/raw/master/csl-citation.json"} </w:instrText>
            </w:r>
            <w:r w:rsidRPr="00F153F6">
              <w:rPr>
                <w:rFonts w:ascii="Times New Roman" w:eastAsiaTheme="minorEastAsia" w:hAnsi="Times New Roman" w:cs="Times New Roman"/>
                <w:iCs/>
                <w:color w:val="000000" w:themeColor="text1"/>
              </w:rPr>
              <w:fldChar w:fldCharType="separate"/>
            </w:r>
            <w:r w:rsidR="00B73834" w:rsidRPr="00F153F6">
              <w:rPr>
                <w:rFonts w:ascii="Times New Roman" w:hAnsi="Times New Roman" w:cs="Times New Roman"/>
              </w:rPr>
              <w:t>(ENoLL, 2019 official website)</w:t>
            </w:r>
            <w:r w:rsidRPr="00F153F6">
              <w:rPr>
                <w:rFonts w:ascii="Times New Roman" w:eastAsiaTheme="minorEastAsia" w:hAnsi="Times New Roman" w:cs="Times New Roman"/>
                <w:iCs/>
                <w:color w:val="000000" w:themeColor="text1"/>
              </w:rPr>
              <w:fldChar w:fldCharType="end"/>
            </w:r>
          </w:p>
        </w:tc>
      </w:tr>
      <w:tr w:rsidR="002C1A2F" w:rsidRPr="00F153F6" w14:paraId="04FD8232" w14:textId="77777777" w:rsidTr="004314D7">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7F7F7F" w:themeColor="text1" w:themeTint="80"/>
              <w:left w:val="nil"/>
              <w:bottom w:val="nil"/>
              <w:right w:val="nil"/>
            </w:tcBorders>
            <w:vAlign w:val="center"/>
            <w:hideMark/>
          </w:tcPr>
          <w:p w14:paraId="4782B262" w14:textId="77777777" w:rsidR="002C1A2F" w:rsidRPr="00F153F6" w:rsidRDefault="002C1A2F" w:rsidP="004424B4">
            <w:pPr>
              <w:spacing w:line="360" w:lineRule="auto"/>
              <w:rPr>
                <w:rFonts w:ascii="Times New Roman" w:eastAsiaTheme="minorEastAsia" w:hAnsi="Times New Roman" w:cs="Times New Roman"/>
                <w:iCs/>
                <w:color w:val="000000" w:themeColor="text1"/>
              </w:rPr>
            </w:pPr>
          </w:p>
        </w:tc>
        <w:tc>
          <w:tcPr>
            <w:tcW w:w="1985" w:type="dxa"/>
            <w:tcBorders>
              <w:top w:val="nil"/>
              <w:left w:val="nil"/>
              <w:bottom w:val="nil"/>
              <w:right w:val="nil"/>
            </w:tcBorders>
          </w:tcPr>
          <w:p w14:paraId="7C02328A" w14:textId="77777777" w:rsidR="002C1A2F" w:rsidRPr="00F153F6" w:rsidRDefault="002C1A2F"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Open innovation Environment</w:t>
            </w:r>
          </w:p>
          <w:p w14:paraId="7B59C945" w14:textId="77777777" w:rsidR="002C1A2F" w:rsidRPr="00F153F6" w:rsidRDefault="002C1A2F"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color w:val="000000" w:themeColor="text1"/>
              </w:rPr>
            </w:pPr>
          </w:p>
        </w:tc>
        <w:tc>
          <w:tcPr>
            <w:tcW w:w="5198" w:type="dxa"/>
            <w:tcBorders>
              <w:top w:val="nil"/>
              <w:left w:val="nil"/>
              <w:bottom w:val="nil"/>
              <w:right w:val="nil"/>
            </w:tcBorders>
            <w:hideMark/>
          </w:tcPr>
          <w:p w14:paraId="3E8B670F" w14:textId="77777777" w:rsidR="002C1A2F" w:rsidRPr="00F153F6" w:rsidRDefault="002C1A2F"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 xml:space="preserve">“A Living Lab is an open innovation environment in real-life settings in which user-driven innovation is the co-creation process for new services, products, and societal infrastructures. Living Labs encompass societal and technological dimensions simultaneously in a business-citizens-government-academia partnership” </w:t>
            </w:r>
            <w:r w:rsidRPr="00F153F6">
              <w:rPr>
                <w:rFonts w:ascii="Times New Roman" w:eastAsiaTheme="minorEastAsia" w:hAnsi="Times New Roman" w:cs="Times New Roman"/>
                <w:iCs/>
                <w:color w:val="000000" w:themeColor="text1"/>
              </w:rPr>
              <w:fldChar w:fldCharType="begin"/>
            </w:r>
            <w:r w:rsidRPr="00F153F6">
              <w:rPr>
                <w:rFonts w:ascii="Times New Roman" w:eastAsiaTheme="minorEastAsia" w:hAnsi="Times New Roman" w:cs="Times New Roman"/>
                <w:iCs/>
                <w:color w:val="000000" w:themeColor="text1"/>
              </w:rPr>
              <w:instrText xml:space="preserve"> ADDIN ZOTERO_ITEM CSL_CITATION {"citationID":"a872tee32h","properties":{"formattedCitation":"(Kareborn &amp; Stahlbrost, 2009, p. 2)","plainCitation":"(Kareborn &amp; Stahlbrost, 2009, p. 2)","noteIndex":0},"citationItems":[{"id":2184,"uris":["http://zotero.org/users/5709166/items/W5LH2VE8"],"itemData":{"id":2184,"type":"article-journal","abstract":"In this paper we focus on a new research area, Living Lab that introduces new ways of managing innovation processes. A Living Lab can be viewed as both an innovation milieu and an innovation approach, and the aim of this paper is to clarify these two perspectives, as well as to illustrate how they can enrich each other. This is done by presenting one Living Lab milieu, Botnia Living Lab, and its key components; and one Living Lab approach, FormIT, and its key principles. The presentation is done on two levels, one general level and one case specific level. The case focuses on involving citizens in the design of an e-service aimed to increase their influence in a municipality and its development. Through this we learnt that the key components of a Living Lab constitutes important structures that enhance the process and as such the principles.","container-title":"International Journal of Innovation and Regional Development","DOI":"10.1504/IJIRD.2009.022727","ISSN":"1753-0660, 1753-0679","issue":"4","language":"en","page":"356","source":"Crossref","title":"Living Lab: an open and citizen-centric approach for innovation","title-short":"Living Lab","volume":"1","author":[{"family":"Kareborn","given":"Birgitta Bergvall"},{"family":"Stahlbrost","given":"Anna"}],"issued":{"date-parts":[["2009"]]}},"locator":"2","label":"page"}],"schema":"https://github.com/citation-style-language/schema/raw/master/csl-citation.json"} </w:instrText>
            </w:r>
            <w:r w:rsidRPr="00F153F6">
              <w:rPr>
                <w:rFonts w:ascii="Times New Roman" w:eastAsiaTheme="minorEastAsia" w:hAnsi="Times New Roman" w:cs="Times New Roman"/>
                <w:iCs/>
                <w:color w:val="000000" w:themeColor="text1"/>
              </w:rPr>
              <w:fldChar w:fldCharType="separate"/>
            </w:r>
            <w:r w:rsidRPr="00F153F6">
              <w:rPr>
                <w:rFonts w:ascii="Times New Roman" w:hAnsi="Times New Roman" w:cs="Times New Roman"/>
                <w:color w:val="000000" w:themeColor="text1"/>
                <w:szCs w:val="24"/>
              </w:rPr>
              <w:t>(Kareborn &amp; Stahlbrost, 2009, p. 2)</w:t>
            </w:r>
            <w:r w:rsidRPr="00F153F6">
              <w:rPr>
                <w:rFonts w:ascii="Times New Roman" w:eastAsiaTheme="minorEastAsia" w:hAnsi="Times New Roman" w:cs="Times New Roman"/>
                <w:iCs/>
                <w:color w:val="000000" w:themeColor="text1"/>
              </w:rPr>
              <w:fldChar w:fldCharType="end"/>
            </w:r>
          </w:p>
        </w:tc>
      </w:tr>
      <w:tr w:rsidR="002C1A2F" w:rsidRPr="00F153F6" w14:paraId="72527FA1" w14:textId="77777777" w:rsidTr="002C1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left w:val="nil"/>
              <w:bottom w:val="nil"/>
              <w:right w:val="nil"/>
            </w:tcBorders>
            <w:vAlign w:val="center"/>
            <w:hideMark/>
          </w:tcPr>
          <w:p w14:paraId="0C78602E" w14:textId="77777777" w:rsidR="002C1A2F" w:rsidRPr="00F153F6" w:rsidRDefault="002C1A2F" w:rsidP="004424B4">
            <w:pPr>
              <w:spacing w:line="360" w:lineRule="auto"/>
              <w:rPr>
                <w:rFonts w:ascii="Times New Roman" w:eastAsiaTheme="minorEastAsia" w:hAnsi="Times New Roman" w:cs="Times New Roman"/>
                <w:iCs/>
                <w:color w:val="000000" w:themeColor="text1"/>
              </w:rPr>
            </w:pPr>
          </w:p>
        </w:tc>
        <w:tc>
          <w:tcPr>
            <w:tcW w:w="1985" w:type="dxa"/>
            <w:tcBorders>
              <w:left w:val="nil"/>
              <w:right w:val="nil"/>
            </w:tcBorders>
            <w:hideMark/>
          </w:tcPr>
          <w:p w14:paraId="010E780A" w14:textId="77777777" w:rsidR="002C1A2F" w:rsidRPr="00F153F6" w:rsidRDefault="002C1A2F"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Socio-technical Ecosystem</w:t>
            </w:r>
          </w:p>
        </w:tc>
        <w:tc>
          <w:tcPr>
            <w:tcW w:w="5198" w:type="dxa"/>
            <w:tcBorders>
              <w:left w:val="nil"/>
              <w:right w:val="nil"/>
            </w:tcBorders>
          </w:tcPr>
          <w:p w14:paraId="182F86C9" w14:textId="592CDAC3" w:rsidR="002C1A2F" w:rsidRPr="00F153F6" w:rsidRDefault="002C1A2F"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 xml:space="preserve">“A combined lab/household system that involves the creation of a real-life, user-driven, and open innovation environment” </w:t>
            </w:r>
            <w:r w:rsidRPr="00F153F6">
              <w:rPr>
                <w:rFonts w:ascii="Times New Roman" w:eastAsiaTheme="minorEastAsia" w:hAnsi="Times New Roman" w:cs="Times New Roman"/>
                <w:iCs/>
                <w:color w:val="000000" w:themeColor="text1"/>
              </w:rPr>
              <w:fldChar w:fldCharType="begin"/>
            </w:r>
            <w:r w:rsidRPr="00F153F6">
              <w:rPr>
                <w:rFonts w:ascii="Times New Roman" w:eastAsiaTheme="minorEastAsia" w:hAnsi="Times New Roman" w:cs="Times New Roman"/>
                <w:iCs/>
                <w:color w:val="000000" w:themeColor="text1"/>
              </w:rPr>
              <w:instrText xml:space="preserve"> ADDIN ZOTERO_ITEM CSL_CITATION {"citationID":"a1bne0h0k2m","properties":{"formattedCitation":"(Shin, 2019, p. 265)","plainCitation":"(Shin, 2019, p. 265)","noteIndex":0},"citationItems":[{"id":356,"uris":["http://zotero.org/users/5709166/items/M2USJWNW"],"itemData":{"id":356,"type":"article-journal","abstract":"Living Lab approaches, as one of socio-technical approaches, are effective strategy for user-driven technology development. The recent development of the Internet of Things (loT) and its various technologies appear to be promising possibilities to adopt Living Lab innovation into community domains. Using Living Lab frame, this study examines the developmental processes of the IoT from a multi-level analysis: a micro approach of user acceptance and experience of IoT services; a meso approach of socio-technical evaluation of selected site; and a macro approach of regulation and strategies on IoT. Through the multi-level approach, it conceptualizes a Living Lab process to create, test, and adept a social IoT environment. The findings should guide governments' promotion of IoT services to increase user acceptance by enhancing usability and benefits and ensuring sustainability. The findings also provide guidelines, strategies, and best practices for practitioners to integrate IoT into communities and society effectively. The insights help to conceptualize how the IoT can be situated and contextualized within human-centered contexts. The results of this study show that creating IoT innovations require prudent coordination of different stakeholders and roles across innovation cycle. Particularly user-centered approach warrants a new innovative way to structure and facilitate user involvement within the context of Living Labs for IoT.","container-title":"Government Information Quarterly","DOI":"10.1016/j.giq.2018.08.001","ISSN":"0740624X","issue":"2","journalAbbreviation":"Government Information Quarterly","language":"en","page":"264-275","source":"DOI.org (Crossref)","title":"A living lab as socio-technical ecosystem: Evaluating the Korean living lab of internet of things","title-short":"A living lab as socio-technical ecosystem","volume":"36","author":[{"family":"Shin","given":"Donghee"}],"issued":{"date-parts":[["2019",4]]}},"locator":"265","label":"page"}],"schema":"https://github.com/citation-style-language/schema/raw/master/csl-citation.json"} </w:instrText>
            </w:r>
            <w:r w:rsidRPr="00F153F6">
              <w:rPr>
                <w:rFonts w:ascii="Times New Roman" w:eastAsiaTheme="minorEastAsia" w:hAnsi="Times New Roman" w:cs="Times New Roman"/>
                <w:iCs/>
                <w:color w:val="000000" w:themeColor="text1"/>
              </w:rPr>
              <w:fldChar w:fldCharType="separate"/>
            </w:r>
            <w:r w:rsidRPr="00F153F6">
              <w:rPr>
                <w:rFonts w:ascii="Times New Roman" w:hAnsi="Times New Roman" w:cs="Times New Roman"/>
                <w:color w:val="000000" w:themeColor="text1"/>
                <w:szCs w:val="24"/>
              </w:rPr>
              <w:t>(Shin, 2019, p. 265)</w:t>
            </w:r>
            <w:r w:rsidRPr="00F153F6">
              <w:rPr>
                <w:rFonts w:ascii="Times New Roman" w:eastAsiaTheme="minorEastAsia" w:hAnsi="Times New Roman" w:cs="Times New Roman"/>
                <w:iCs/>
                <w:color w:val="000000" w:themeColor="text1"/>
              </w:rPr>
              <w:fldChar w:fldCharType="end"/>
            </w:r>
          </w:p>
        </w:tc>
      </w:tr>
      <w:tr w:rsidR="002C1A2F" w:rsidRPr="00F153F6" w14:paraId="37F2417A" w14:textId="77777777" w:rsidTr="004314D7">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7F7F7F" w:themeColor="text1" w:themeTint="80"/>
              <w:left w:val="nil"/>
              <w:bottom w:val="nil"/>
              <w:right w:val="nil"/>
            </w:tcBorders>
            <w:vAlign w:val="center"/>
            <w:hideMark/>
          </w:tcPr>
          <w:p w14:paraId="61F74B4B" w14:textId="77777777" w:rsidR="002C1A2F" w:rsidRPr="00F153F6" w:rsidRDefault="002C1A2F" w:rsidP="004424B4">
            <w:pPr>
              <w:spacing w:line="360" w:lineRule="auto"/>
              <w:rPr>
                <w:rFonts w:ascii="Times New Roman" w:eastAsiaTheme="minorEastAsia" w:hAnsi="Times New Roman" w:cs="Times New Roman"/>
                <w:iCs/>
                <w:color w:val="000000" w:themeColor="text1"/>
              </w:rPr>
            </w:pPr>
          </w:p>
        </w:tc>
        <w:tc>
          <w:tcPr>
            <w:tcW w:w="1985" w:type="dxa"/>
            <w:tcBorders>
              <w:top w:val="nil"/>
              <w:left w:val="nil"/>
              <w:bottom w:val="nil"/>
              <w:right w:val="nil"/>
            </w:tcBorders>
            <w:hideMark/>
          </w:tcPr>
          <w:p w14:paraId="671071F5" w14:textId="77777777" w:rsidR="002C1A2F" w:rsidRPr="00F153F6" w:rsidRDefault="002C1A2F"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Milieu</w:t>
            </w:r>
          </w:p>
        </w:tc>
        <w:tc>
          <w:tcPr>
            <w:tcW w:w="5198" w:type="dxa"/>
            <w:tcBorders>
              <w:top w:val="nil"/>
              <w:left w:val="nil"/>
              <w:bottom w:val="nil"/>
              <w:right w:val="nil"/>
            </w:tcBorders>
            <w:hideMark/>
          </w:tcPr>
          <w:p w14:paraId="7CF0AB8D" w14:textId="77777777" w:rsidR="002C1A2F" w:rsidRPr="00F153F6" w:rsidRDefault="002C1A2F"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 xml:space="preserve">“A Living Lab is a user-centric innovation milieu built on every-day practice and research, with an approach that facilitates user influence in open and distributed innovation processes engaging all relevant partners in real-life contexts, aiming to create sustainable values. </w:t>
            </w:r>
            <w:r w:rsidRPr="00F153F6">
              <w:rPr>
                <w:rFonts w:ascii="Times New Roman" w:eastAsiaTheme="minorEastAsia" w:hAnsi="Times New Roman" w:cs="Times New Roman"/>
                <w:iCs/>
                <w:color w:val="000000" w:themeColor="text1"/>
              </w:rPr>
              <w:fldChar w:fldCharType="begin"/>
            </w:r>
            <w:r w:rsidRPr="00F153F6">
              <w:rPr>
                <w:rFonts w:ascii="Times New Roman" w:eastAsiaTheme="minorEastAsia" w:hAnsi="Times New Roman" w:cs="Times New Roman"/>
                <w:iCs/>
                <w:color w:val="000000" w:themeColor="text1"/>
              </w:rPr>
              <w:instrText xml:space="preserve"> ADDIN ZOTERO_ITEM CSL_CITATION {"citationID":"a7pnjdfji","properties":{"formattedCitation":"(Bergvall-K\\uc0\\u229{}reborn et al., 2010, p. 4)","plainCitation":"(Bergvall-Kåreborn et al., 2010, p. 4)","noteIndex":0},"citationItems":[{"id":362,"uris":["http://zotero.org/users/5709166/items/EUG2MJCS"],"itemData":{"id":362,"type":"article-journal","abstract":"A new trend of user involvement in open innovation processes has emerged. Concurring with this trend the Living Lab concept has been revitalized. This concept has attracted attention lately, but there exist no coherent view. In this paper we discuss and define the concept and propose five key components and five key principles for Living Labs based on experiences from over 30 development and research projects within two Living Labs, Botnia Living Lab and Halmstad Living Lab. The key components are: ICT &amp; Infrastructure; Management; Partners &amp; Users; Research; and Approach. The key principles are: Openness; Influence; Realism; Value; and Sustainability. Our proposed definition of a Living Lab is: A Living Lab is a user-centric innovation milieu built on every-day practice and research, with an approach that facilitates user influence in open and distributed innovation processes engaging all relevant partners in real-life contexts, aiming to create sustainable values.","language":"en","page":"13","source":"Zotero","title":"A Milieu for Innovation – Defining Living Labs","author":[{"family":"Bergvall-Kåreborn","given":"Birgitta"},{"family":"Eriksson","given":"Carina Ihlström"},{"family":"Ståhlbröst","given":"Anna"},{"family":"Svensson","given":"Jesper"}],"issued":{"date-parts":[["2010"]]}},"locator":"4","label":"page"}],"schema":"https://github.com/citation-style-language/schema/raw/master/csl-citation.json"} </w:instrText>
            </w:r>
            <w:r w:rsidRPr="00F153F6">
              <w:rPr>
                <w:rFonts w:ascii="Times New Roman" w:eastAsiaTheme="minorEastAsia" w:hAnsi="Times New Roman" w:cs="Times New Roman"/>
                <w:iCs/>
                <w:color w:val="000000" w:themeColor="text1"/>
              </w:rPr>
              <w:fldChar w:fldCharType="separate"/>
            </w:r>
            <w:r w:rsidRPr="00F153F6">
              <w:rPr>
                <w:rFonts w:ascii="Times New Roman" w:hAnsi="Times New Roman" w:cs="Times New Roman"/>
                <w:color w:val="000000" w:themeColor="text1"/>
                <w:szCs w:val="24"/>
              </w:rPr>
              <w:t>(Bergvall-Kåreborn et al., 2010, p. 4)</w:t>
            </w:r>
            <w:r w:rsidRPr="00F153F6">
              <w:rPr>
                <w:rFonts w:ascii="Times New Roman" w:eastAsiaTheme="minorEastAsia" w:hAnsi="Times New Roman" w:cs="Times New Roman"/>
                <w:iCs/>
                <w:color w:val="000000" w:themeColor="text1"/>
              </w:rPr>
              <w:fldChar w:fldCharType="end"/>
            </w:r>
          </w:p>
        </w:tc>
      </w:tr>
      <w:tr w:rsidR="002C1A2F" w:rsidRPr="00F153F6" w14:paraId="034025FB" w14:textId="77777777" w:rsidTr="002C1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Borders>
              <w:left w:val="nil"/>
              <w:right w:val="nil"/>
            </w:tcBorders>
            <w:hideMark/>
          </w:tcPr>
          <w:p w14:paraId="63C6A588" w14:textId="77777777" w:rsidR="002C1A2F" w:rsidRPr="00F153F6" w:rsidRDefault="002C1A2F" w:rsidP="004424B4">
            <w:pPr>
              <w:spacing w:line="360" w:lineRule="auto"/>
              <w:rPr>
                <w:rFonts w:ascii="Times New Roman" w:eastAsiaTheme="minorEastAsia" w:hAnsi="Times New Roman" w:cs="Times New Roman"/>
                <w:b w:val="0"/>
                <w:bCs w:val="0"/>
                <w:i/>
                <w:color w:val="000000" w:themeColor="text1"/>
              </w:rPr>
            </w:pPr>
            <w:r w:rsidRPr="00F153F6">
              <w:rPr>
                <w:rFonts w:ascii="Times New Roman" w:eastAsiaTheme="minorEastAsia" w:hAnsi="Times New Roman" w:cs="Times New Roman"/>
                <w:i/>
                <w:color w:val="000000" w:themeColor="text1"/>
              </w:rPr>
              <w:t xml:space="preserve">Approach Perspective on </w:t>
            </w:r>
            <w:r w:rsidRPr="00F153F6">
              <w:rPr>
                <w:rFonts w:ascii="Times New Roman" w:eastAsiaTheme="minorEastAsia" w:hAnsi="Times New Roman" w:cs="Times New Roman"/>
                <w:i/>
                <w:color w:val="000000" w:themeColor="text1"/>
              </w:rPr>
              <w:lastRenderedPageBreak/>
              <w:t>Living Labs</w:t>
            </w:r>
          </w:p>
        </w:tc>
        <w:tc>
          <w:tcPr>
            <w:tcW w:w="1985" w:type="dxa"/>
            <w:tcBorders>
              <w:left w:val="nil"/>
              <w:right w:val="nil"/>
            </w:tcBorders>
          </w:tcPr>
          <w:p w14:paraId="56C945CB" w14:textId="77777777" w:rsidR="002C1A2F" w:rsidRPr="00F153F6" w:rsidRDefault="002C1A2F"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lastRenderedPageBreak/>
              <w:t>Methodology</w:t>
            </w:r>
          </w:p>
          <w:p w14:paraId="02877276" w14:textId="77777777" w:rsidR="002C1A2F" w:rsidRPr="00F153F6" w:rsidRDefault="002C1A2F"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color w:val="000000" w:themeColor="text1"/>
              </w:rPr>
            </w:pPr>
          </w:p>
        </w:tc>
        <w:tc>
          <w:tcPr>
            <w:tcW w:w="5198" w:type="dxa"/>
            <w:tcBorders>
              <w:left w:val="nil"/>
              <w:right w:val="nil"/>
            </w:tcBorders>
            <w:hideMark/>
          </w:tcPr>
          <w:p w14:paraId="213EDA0F" w14:textId="77777777" w:rsidR="002C1A2F" w:rsidRPr="00F153F6" w:rsidRDefault="002C1A2F"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lastRenderedPageBreak/>
              <w:t xml:space="preserve">“A Living Lab is a design research methodology aimed at co-creating innovation through the involvement of </w:t>
            </w:r>
            <w:r w:rsidRPr="00F153F6">
              <w:rPr>
                <w:rFonts w:ascii="Times New Roman" w:eastAsiaTheme="minorEastAsia" w:hAnsi="Times New Roman" w:cs="Times New Roman"/>
                <w:iCs/>
                <w:color w:val="000000" w:themeColor="text1"/>
              </w:rPr>
              <w:lastRenderedPageBreak/>
              <w:t xml:space="preserve">aware users in a real-life setting” </w:t>
            </w:r>
            <w:r w:rsidRPr="00F153F6">
              <w:rPr>
                <w:rFonts w:ascii="Times New Roman" w:eastAsiaTheme="minorEastAsia" w:hAnsi="Times New Roman" w:cs="Times New Roman"/>
                <w:iCs/>
                <w:color w:val="000000" w:themeColor="text1"/>
              </w:rPr>
              <w:fldChar w:fldCharType="begin"/>
            </w:r>
            <w:r w:rsidRPr="00F153F6">
              <w:rPr>
                <w:rFonts w:ascii="Times New Roman" w:eastAsiaTheme="minorEastAsia" w:hAnsi="Times New Roman" w:cs="Times New Roman"/>
                <w:iCs/>
                <w:color w:val="000000" w:themeColor="text1"/>
              </w:rPr>
              <w:instrText xml:space="preserve"> ADDIN ZOTERO_ITEM CSL_CITATION {"citationID":"atec92h675","properties":{"formattedCitation":"(Dell\\uc0\\u8217{}Era &amp; Landoni, 2014, p. 139)","plainCitation":"(Dell’Era &amp; Landoni, 2014, p. 139)","noteIndex":0},"citationItems":[{"id":358,"uris":["http://zotero.org/users/5709166/items/WIVUIVX2"],"itemData":{"id":358,"type":"article-journal","abstract":"Living Labs have received limited attention in the literature despite their diffusion throughout Europe and recent interest from policy makers. This limited attention is linked to the newness of the phenomenon, the high heterogeneity of cases and the consequent lack of definitions and acknowledged frameworks for scholarly analyses. In this work, we argue that the originality of the Living Lab phenomenon resides in the introduction of a new methodology. Using an analysis of the literature and case studies, we propose a new definition, position this methodology among other design methodologies and highlight its peculiarities. We underline the co-creative potentialities, the awareness of users and the real-life settings. Furthermore, our case-based research allows us to identify four different specifications for this methodology, and therefore four different types of Living Labs, based on the openness of the user involvement and the adopted platform technology.","container-title":"Creativity and Innovation Management","DOI":"10.1111/caim.12061","ISSN":"1467-8691","issue":"2","language":"en","page":"137-154","source":"Wiley Online Library","title":"Living Lab: A Methodology between User-Centred Design and Participatory Design","title-short":"Living Lab","volume":"23","author":[{"family":"Dell'Era","given":"Claudio"},{"family":"Landoni","given":"Paolo"}],"issued":{"date-parts":[["2014"]]}},"locator":"139","label":"page"}],"schema":"https://github.com/citation-style-language/schema/raw/master/csl-citation.json"} </w:instrText>
            </w:r>
            <w:r w:rsidRPr="00F153F6">
              <w:rPr>
                <w:rFonts w:ascii="Times New Roman" w:eastAsiaTheme="minorEastAsia" w:hAnsi="Times New Roman" w:cs="Times New Roman"/>
                <w:iCs/>
                <w:color w:val="000000" w:themeColor="text1"/>
              </w:rPr>
              <w:fldChar w:fldCharType="separate"/>
            </w:r>
            <w:r w:rsidRPr="00F153F6">
              <w:rPr>
                <w:rFonts w:ascii="Times New Roman" w:hAnsi="Times New Roman" w:cs="Times New Roman"/>
                <w:color w:val="000000" w:themeColor="text1"/>
                <w:szCs w:val="24"/>
              </w:rPr>
              <w:t>(Dell’Era &amp; Landoni, 2014, p. 139)</w:t>
            </w:r>
            <w:r w:rsidRPr="00F153F6">
              <w:rPr>
                <w:rFonts w:ascii="Times New Roman" w:eastAsiaTheme="minorEastAsia" w:hAnsi="Times New Roman" w:cs="Times New Roman"/>
                <w:iCs/>
                <w:color w:val="000000" w:themeColor="text1"/>
              </w:rPr>
              <w:fldChar w:fldCharType="end"/>
            </w:r>
          </w:p>
        </w:tc>
      </w:tr>
      <w:tr w:rsidR="002C1A2F" w:rsidRPr="00F153F6" w14:paraId="50BE7284" w14:textId="77777777" w:rsidTr="004314D7">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7F7F7F" w:themeColor="text1" w:themeTint="80"/>
              <w:left w:val="nil"/>
              <w:bottom w:val="single" w:sz="4" w:space="0" w:color="7F7F7F" w:themeColor="text1" w:themeTint="80"/>
              <w:right w:val="nil"/>
            </w:tcBorders>
            <w:vAlign w:val="center"/>
            <w:hideMark/>
          </w:tcPr>
          <w:p w14:paraId="4EFDBEF6" w14:textId="77777777" w:rsidR="002C1A2F" w:rsidRPr="00F153F6" w:rsidRDefault="002C1A2F" w:rsidP="004424B4">
            <w:pPr>
              <w:spacing w:line="360" w:lineRule="auto"/>
              <w:rPr>
                <w:rFonts w:ascii="Times New Roman" w:eastAsiaTheme="minorEastAsia" w:hAnsi="Times New Roman" w:cs="Times New Roman"/>
                <w:iCs/>
                <w:color w:val="000000" w:themeColor="text1"/>
              </w:rPr>
            </w:pPr>
          </w:p>
        </w:tc>
        <w:tc>
          <w:tcPr>
            <w:tcW w:w="1985" w:type="dxa"/>
            <w:tcBorders>
              <w:top w:val="nil"/>
              <w:left w:val="nil"/>
              <w:bottom w:val="single" w:sz="4" w:space="0" w:color="7F7F7F" w:themeColor="text1" w:themeTint="80"/>
              <w:right w:val="nil"/>
            </w:tcBorders>
          </w:tcPr>
          <w:p w14:paraId="7793C6B9" w14:textId="77777777" w:rsidR="002C1A2F" w:rsidRPr="00F153F6" w:rsidRDefault="002C1A2F"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Approach</w:t>
            </w:r>
          </w:p>
          <w:p w14:paraId="7B3B9280" w14:textId="77777777" w:rsidR="002C1A2F" w:rsidRPr="00F153F6" w:rsidRDefault="002C1A2F"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color w:val="000000" w:themeColor="text1"/>
              </w:rPr>
            </w:pPr>
          </w:p>
        </w:tc>
        <w:tc>
          <w:tcPr>
            <w:tcW w:w="5198" w:type="dxa"/>
            <w:tcBorders>
              <w:top w:val="nil"/>
              <w:left w:val="nil"/>
              <w:bottom w:val="single" w:sz="4" w:space="0" w:color="7F7F7F" w:themeColor="text1" w:themeTint="80"/>
              <w:right w:val="nil"/>
            </w:tcBorders>
          </w:tcPr>
          <w:p w14:paraId="37703CE6" w14:textId="77777777" w:rsidR="002C1A2F" w:rsidRPr="00F153F6" w:rsidRDefault="002C1A2F"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“A human-centric research and development</w:t>
            </w:r>
          </w:p>
          <w:p w14:paraId="67DD1BE5" w14:textId="77777777" w:rsidR="002C1A2F" w:rsidRPr="00F153F6" w:rsidRDefault="002C1A2F"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approach whereby ICT innovations are cocreated,</w:t>
            </w:r>
          </w:p>
          <w:p w14:paraId="6AFEEC5C" w14:textId="263E19A7" w:rsidR="002C1A2F" w:rsidRPr="00F153F6" w:rsidRDefault="002C1A2F"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tested, and evaluated in open, collaborative, multi</w:t>
            </w:r>
            <w:r w:rsidR="00E03616" w:rsidRPr="00F153F6">
              <w:rPr>
                <w:rFonts w:ascii="Times New Roman" w:eastAsiaTheme="minorEastAsia" w:hAnsi="Times New Roman" w:cs="Times New Roman"/>
                <w:iCs/>
                <w:color w:val="000000" w:themeColor="text1"/>
              </w:rPr>
              <w:t>-</w:t>
            </w:r>
            <w:r w:rsidRPr="00F153F6">
              <w:rPr>
                <w:rFonts w:ascii="Times New Roman" w:eastAsiaTheme="minorEastAsia" w:hAnsi="Times New Roman" w:cs="Times New Roman"/>
                <w:iCs/>
                <w:color w:val="000000" w:themeColor="text1"/>
              </w:rPr>
              <w:t xml:space="preserve">contextual real-world settings.” </w:t>
            </w:r>
            <w:r w:rsidRPr="00F153F6">
              <w:rPr>
                <w:rFonts w:ascii="Times New Roman" w:eastAsiaTheme="minorEastAsia" w:hAnsi="Times New Roman" w:cs="Times New Roman"/>
                <w:iCs/>
                <w:color w:val="000000" w:themeColor="text1"/>
              </w:rPr>
              <w:fldChar w:fldCharType="begin"/>
            </w:r>
            <w:r w:rsidRPr="00F153F6">
              <w:rPr>
                <w:rFonts w:ascii="Times New Roman" w:eastAsiaTheme="minorEastAsia" w:hAnsi="Times New Roman" w:cs="Times New Roman"/>
                <w:iCs/>
                <w:color w:val="000000" w:themeColor="text1"/>
              </w:rPr>
              <w:instrText xml:space="preserve"> ADDIN ZOTERO_ITEM CSL_CITATION {"citationID":"ap6kj1l80j","properties":{"formattedCitation":"(Bui, 2009, p. 2)","plainCitation":"(Bui, 2009, p. 2)","noteIndex":0},"citationItems":[{"id":357,"uris":["http://zotero.org/users/5709166/items/Y5QGHTVX"],"itemData":{"id":357,"type":"paper-conference","abstract":"Living Labs is a rather new research area and phenomena that introduces new ways of managing innovation processes. The underlying idea is that people’s ideas, experiences, and knowledge, as well as their daily needs of support from products, services, or applications, should be the starting point in innovation. This paper illuminates experiences and accumulated knowledge to the area of concept design in an innovation process within a Living Lab. FormIT, a methodology developed for innovation processes within Living Labs is introduced through an illustration of how it has been utilised in a case. The experiences and the method are related to characteristics of Living Labs, and the paper closes with some concluding remarks in relation to concept design in a Living Lab.","event-title":"Hawaii International Conference on System Sciences","language":"en","source":"DOI.org (Crossref)","title":"Concept Design with a Living Lab Approach","author":[{"family":"Bui","given":"Tung"}],"issued":{"date-parts":[["2009"]]}},"locator":"2","label":"page"}],"schema":"https://github.com/citation-style-language/schema/raw/master/csl-citation.json"} </w:instrText>
            </w:r>
            <w:r w:rsidRPr="00F153F6">
              <w:rPr>
                <w:rFonts w:ascii="Times New Roman" w:eastAsiaTheme="minorEastAsia" w:hAnsi="Times New Roman" w:cs="Times New Roman"/>
                <w:iCs/>
                <w:color w:val="000000" w:themeColor="text1"/>
              </w:rPr>
              <w:fldChar w:fldCharType="separate"/>
            </w:r>
            <w:r w:rsidRPr="00F153F6">
              <w:rPr>
                <w:rFonts w:ascii="Times New Roman" w:hAnsi="Times New Roman" w:cs="Times New Roman"/>
                <w:color w:val="000000" w:themeColor="text1"/>
                <w:szCs w:val="24"/>
              </w:rPr>
              <w:t>(Bui, 2009, p. 2)</w:t>
            </w:r>
            <w:r w:rsidRPr="00F153F6">
              <w:rPr>
                <w:rFonts w:ascii="Times New Roman" w:eastAsiaTheme="minorEastAsia" w:hAnsi="Times New Roman" w:cs="Times New Roman"/>
                <w:iCs/>
                <w:color w:val="000000" w:themeColor="text1"/>
              </w:rPr>
              <w:fldChar w:fldCharType="end"/>
            </w:r>
          </w:p>
        </w:tc>
      </w:tr>
    </w:tbl>
    <w:p w14:paraId="353C1DC7" w14:textId="77777777"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p>
    <w:p w14:paraId="5E4F1D61" w14:textId="77777777"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iCs/>
          <w:color w:val="000000" w:themeColor="text1"/>
          <w:sz w:val="24"/>
          <w:szCs w:val="24"/>
        </w:rPr>
        <w:t xml:space="preserve">From these definitions, two important terms need to be clarified: open innovation and user-driven innovation. Open innovation refers to a distributed innovation process in which knowledge is managed across organisational boundaries, so both inbound and outbound knowledge flows are considered to engage creative ideas towards final innovation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{"citationID":"Tu0pB20O","properties":{"formattedCitation":"(H. Chesbrough &amp; Bogers, 2014)","plainCitation":"(H. Chesbrough &amp; Bogers, 2014)","noteIndex":0},"citationItems":[{"id":456,"uris":["http://zotero.org/users/5709166/items/89UQESHP"],"itemData":{"id":456,"type":"chapter","container-title":"New Frontiers in Open Innovation","ISBN":"978-0-19-968246-1","language":"en","note":"DOI: 10.1093/acprof:oso/9780199682461.003.0001","page":"3-28","publisher":"Oxford University Press","source":"Crossref","title":"Explicating Open Innovation","URL":"http://www.oxfordscholarship.com/view/10.1093/acprof:oso/9780199682461.001.0001/acprof-9780199682461-chapter-1","editor":[{"family":"Chesbrough","given":"Henry"},{"family":"Vanhaverbeke","given":"Wim"},{"family":"West","given":"Joel"}],"author":[{"family":"Chesbrough","given":"Henry"},{"family":"Bogers","given":"Marcel"}],"accessed":{"date-parts":[["2019",7,17]]},"issued":{"date-parts":[["2014",11,6]]}}}],"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(H. Chesbrough &amp; Bogers, 2014)</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t>Laminin</w:t>
      </w:r>
      <w:r w:rsidRPr="00F153F6">
        <w:rPr>
          <w:rFonts w:ascii="Times New Roman" w:eastAsiaTheme="minorEastAsia" w:hAnsi="Times New Roman" w:cs="Times New Roman"/>
          <w:iCs/>
          <w:color w:val="000000" w:themeColor="text1"/>
          <w:sz w:val="24"/>
          <w:szCs w:val="24"/>
        </w:rPr>
        <w:t xml:space="preserve">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{"citationID":"MQPmA50B","properties":{"formattedCitation":"(2013)","plainCitation":"(2013)","noteIndex":0},"citationItems":[{"id":355,"uris":["http://zotero.org/users/5709166/items/AADK8QZR"],"itemData":{"id":355,"type":"article-journal","container-title":"Technology Innovation Management Review","language":"en","page":"10","source":"Zotero","title":"Coordination and Participation in Living Lab Networks","author":[{"family":"Leminen","given":"Seppo"}],"issued":{"date-parts":[["2013"]]}},"suppress-author":true}],"schema":"https://github.com/citation-style-language/schema/raw/master/csl-citation.json"}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(2013)</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argues that open innovation is used by firms to manage innovation and thereby could be a company-led or top-down approach. </w:t>
      </w:r>
      <w:r w:rsidRPr="00F153F6">
        <w:rPr>
          <w:rFonts w:ascii="Times New Roman" w:hAnsi="Times New Roman" w:cs="Times New Roman"/>
          <w:color w:val="000000" w:themeColor="text1"/>
          <w:sz w:val="24"/>
          <w:szCs w:val="24"/>
        </w:rPr>
        <w:t>Schuurman, Marez and Ballon</w:t>
      </w:r>
      <w:r w:rsidRPr="00F153F6">
        <w:rPr>
          <w:rFonts w:ascii="Times New Roman" w:eastAsiaTheme="minorEastAsia" w:hAnsi="Times New Roman" w:cs="Times New Roman"/>
          <w:iCs/>
          <w:color w:val="000000" w:themeColor="text1"/>
          <w:sz w:val="24"/>
          <w:szCs w:val="24"/>
        </w:rPr>
        <w:t xml:space="preserve">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{"citationID":"yy8Ox7uA","properties":{"formattedCitation":"(2016)","plainCitation":"(2016)","noteIndex":0},"citationItems":[{"id":2181,"uris":["http://zotero.org/users/5709166/items/CUW2KGQ6"],"itemData":{"id":2181,"type":"article-journal","container-title":"Technology Innovation Management Review","issue":"1","language":"en","page":"10","source":"Zotero","title":"The Impact of Living Lab Methodology on Open Innovation Contributions and Outcomes","volume":"6","author":[{"family":"Schuurman","given":"Dimitri"},{"family":"Marez","given":"Lieven De"},{"family":"Ballon","given":"Pieter"}],"issued":{"date-parts":[["2016"]]}},"suppress-author":true}],"schema":"https://github.com/citation-style-language/schema/raw/master/csl-citation.json"}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(2016)</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argue that Living Lab projects yield maximal value of open innovation by opening up the organisations’ boundaries and fostering inter-organisational collaborations. Similarly, Hossain et al.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{"citationID":"61ZRXi16","properties":{"formattedCitation":"(2019)","plainCitation":"(2019)","noteIndex":0},"citationItems":[{"id":2172,"uris":["http://zotero.org/users/5709166/items/BEMCWGRS"],"itemData":{"id":2172,"type":"article-journal","abstract":"A living lab is a physical or virtual space in which to solve societal challenges, especially for urban areas, by bringing together various stakeholders for collaboration and collective ideation. Although the notion has received increasing attention from scholars, practitioners and policy makers, its essence remains unclear to many. We therefore performed a systematic literature review of a sample of 114 scholarly articles about living labs to understand the central facets discussed in the nascent literature. In particular, we explored the origin of the living lab concept and its key paradigms and characteristics, including stakeholder roles, contexts, challenges, main outcomes, and sustainability. While doing this, we discovered that the number of publications about living labs has increased significantly since 2015, and several journals are very active in publishing articles on the topic. The living lab is considered a multidisciplinary phenomenon and it encompasses various research domains despite typically being discussed under open and user innovation paradigms. What is more, the existing literature views living labs simultaneously as landscapes, real-life environments, and methodologies, and it suggests that they include heterogeneous stakeholders and apply various business models, methods, tools and approaches. Finally, living labs face some challenges, such as temporality, governance, efficiency, user recruitment, sustainability, scalability and unpredictable outcomes. In contrast, the benefits include tangible and intangible innovation and a broader diversity of innovation. Based on our analysis, we provide some implications and suggestions for future research.","container-title":"Journal of Cleaner Production","DOI":"10.1016/j.jclepro.2018.12.257","ISSN":"0959-6526","journalAbbreviation":"Journal of Cleaner Production","language":"en","page":"976-988","source":"ScienceDirect","title":"A systematic review of living lab literature","volume":"213","author":[{"family":"Hossain","given":"Mokter"},{"family":"Leminen","given":"Seppo"},{"family":"Westerlund","given":"Mika"}],"issued":{"date-parts":[["2019",3,10]]}},"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(2019)</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indicate that Living Labs is distinguished from open innovation by stressing public-private-people partnerships while open innovation includes more limited collaborations among different organisations.</w:t>
      </w:r>
    </w:p>
    <w:p w14:paraId="1C26F406" w14:textId="1D1751D7"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iCs/>
          <w:color w:val="000000" w:themeColor="text1"/>
          <w:sz w:val="24"/>
          <w:szCs w:val="24"/>
        </w:rPr>
        <w:t xml:space="preserve">User innovation refers to innovation that involves users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{"citationID":"d18I3sqT","properties":{"formattedCitation":"(Bogers et al., 2010)","plainCitation":"(Bogers et al., 2010)","noteIndex":0},"citationItems":[{"id":354,"uris":["http://zotero.org/users/5709166/items/Y287GUUQ"],"itemData":{"id":354,"type":"article-journal","container-title":"Journal of Management","DOI":"10.1177/0149206309353944","ISSN":"0149-2063, 1557-1211","issue":"4","journalAbbreviation":"Journal of Management","language":"en","page":"857-875","source":"DOI.org (Crossref)","title":"Users as Innovators: A Review, Critique, and Future Research Directions","title-short":"Users as Innovators","volume":"36","author":[{"family":"Bogers","given":"Marcel"},{"family":"Afuah","given":"Allan"},{"family":"Bastian","given":"Bettina"}],"issued":{"date-parts":[["2010",7]]}}}],"schema":"https://github.com/citation-style-language/schema/raw/master/csl-citation.json"}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(Bogers et al., 2010)</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t>Leminen</w:t>
      </w:r>
      <w:r w:rsidRPr="00F153F6">
        <w:rPr>
          <w:rFonts w:ascii="Times New Roman" w:eastAsiaTheme="minorEastAsia" w:hAnsi="Times New Roman" w:cs="Times New Roman"/>
          <w:iCs/>
          <w:color w:val="000000" w:themeColor="text1"/>
          <w:sz w:val="24"/>
          <w:szCs w:val="24"/>
        </w:rPr>
        <w:t xml:space="preserve">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{"citationID":"GLD0f2Zr","properties":{"formattedCitation":"(2013)","plainCitation":"(2013)","noteIndex":0},"citationItems":[{"id":355,"uris":["http://zotero.org/users/5709166/items/AADK8QZR"],"itemData":{"id":355,"type":"article-journal","container-title":"Technology Innovation Management Review","language":"en","page":"10","source":"Zotero","title":"Coordination and Participation in Living Lab Networks","author":[{"family":"Leminen","given":"Seppo"}],"issued":{"date-parts":[["2013"]]}},"suppress-author":true}],"schema":"https://github.com/citation-style-language/schema/raw/master/csl-citation.json"}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(2013)</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argues that user involvement in innovation may be an approach that is community-led, or bottom-up, while Living Labs stress a user-driven innovation whereby users are involved as co-creators. User-driven innovation refers to “the process of tapping users’ knowledge in order to develop new products, services and concepts”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{"citationID":"a28s7aqnfn","properties":{"formattedCitation":"(Wise &amp; H\\uc0\\u248{}genhaven, 2008, p. 7)","plainCitation":"(Wise &amp; Høgenhaven, 2008, p. 7)","noteIndex":0},"citationItems":[{"id":2180,"uris":["http://zotero.org/users/5709166/items/V4WJ255P"],"itemData":{"id":2180,"type":"article-journal","title":"User-Driven Innovation: Context and Cases in the Nordic Region","URL":"http://www.diva-portal.org/smash/get/diva2:707144/FULLTEXT01.pdf","author":[{"family":"Wise","given":"Emily"},{"family":"Høgenhaven","given":"Casper"}],"accessed":{"date-parts":[["2019",12,13]]},"issued":{"date-parts":[["2008"]]}},"locator":"7","label":"pag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(Wise &amp; Høgenhaven, 2008, p. 7)</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This user-oriented view emphasises the role of user involvement in context and engages the understanding of true user requirements towards innovation. </w:t>
      </w:r>
      <w:r w:rsidRPr="00F153F6">
        <w:rPr>
          <w:rFonts w:ascii="Times New Roman" w:hAnsi="Times New Roman" w:cs="Times New Roman"/>
          <w:color w:val="000000" w:themeColor="text1"/>
          <w:sz w:val="24"/>
          <w:szCs w:val="24"/>
        </w:rPr>
        <w:t>Kristensson et al.</w:t>
      </w:r>
      <w:r w:rsidRPr="00F153F6">
        <w:rPr>
          <w:rFonts w:ascii="Times New Roman" w:eastAsiaTheme="minorEastAsia" w:hAnsi="Times New Roman" w:cs="Times New Roman"/>
          <w:iCs/>
          <w:color w:val="000000" w:themeColor="text1"/>
          <w:sz w:val="24"/>
          <w:szCs w:val="24"/>
        </w:rPr>
        <w:t xml:space="preserve">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{"citationID":"GT9bb4VB","properties":{"formattedCitation":"(2010)","plainCitation":"(2010)","noteIndex":0},"citationItems":[{"id":353,"uris":["http://zotero.org/users/5709166/items/HKZS947N"],"itemData":{"id":353,"type":"paper-conference","abstract":"Many companies are today struggling with developing new services with attractive use valuethat result in value for the user. Accordingly, methods that facilitate the understanding of value creation ...","DOI":"10.1016/j.technovation.2011.04.006","source":"Semantic Scholar","title":"Customer Integration within Service Development : A review of methods and an analysis of insitu and exsitu contributions","title-short":"Customer Integration within Service Development","author":[{"family":"Kristensson","given":"Per"},{"family":"Magnusson","given":"Peter R."},{"family":"Edvardsson","given":"Bo"},{"family":"Sundström","given":"Erik"}],"issued":{"date-parts":[["2010"]]}},"suppress-author":true}],"schema":"https://github.com/citation-style-language/schema/raw/master/csl-citation.json"}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(2010)</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argue that a Living Lab is a context in which users are involved inside situations rather than outside. This reflects that a user plays a driving role in innovation instead of being an enabler, which distinguishes Living Labs from other innovation approaches with user involvement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{"citationID":"ucdwrAqP","properties":{"formattedCitation":"(Hossain et al., 2019)","plainCitation":"(Hossain et al., 2019)","noteIndex":0},"citationItems":[{"id":2172,"uris":["http://zotero.org/users/5709166/items/BEMCWGRS"],"itemData":{"id":2172,"type":"article-journal","abstract":"A living lab is a physical or virtual space in which to solve societal challenges, especially for urban areas, by bringing together various stakeholders for collaboration and collective ideation. Although the notion has received increasing attention from scholars, practitioners and policy makers, its essence remains unclear to many. We therefore performed a systematic literature review of a sample of 114 scholarly articles about living labs to understand the central facets discussed in the nascent literature. In particular, we explored the origin of the living lab concept and its key paradigms and characteristics, including stakeholder roles, contexts, challenges, main outcomes, and sustainability. While doing this, we discovered that the number of publications about living labs has increased significantly since 2015, and several journals are very active in publishing articles on the topic. The living lab is considered a multidisciplinary phenomenon and it encompasses various research domains despite typically being discussed under open and user innovation paradigms. What is more, the existing literature views living labs simultaneously as landscapes, real-life environments, and methodologies, and it suggests that they include heterogeneous stakeholders and apply various business models, methods, tools and approaches. Finally, living labs face some challenges, such as temporality, governance, efficiency, user recruitment, sustainability, scalability and unpredictable outcomes. In contrast, the benefits include tangible and intangible innovation and a broader diversity of innovation. Based on our analysis, we provide some implications and suggestions for future research.","container-title":"Journal of Cleaner Production","DOI":"10.1016/j.jclepro.2018.12.257","ISSN":"0959-6526","journalAbbreviation":"Journal of Cleaner Production","language":"en","page":"976-988","source":"ScienceDirect","title":"A systematic review of living lab literature","volume":"213","author":[{"family":"Hossain","given":"Mokter"},{"family":"Leminen","given":"Seppo"},{"family":"Westerlund","given":"Mika"}],"issued":{"date-parts":[["2019",3,10]]}}}],"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(Hossain et al., 2019)</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Such an emphasis ensures that user-driven innovation becomes an important approach in meeting a user’s needs in current dynamic business environments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{"citationID":"8IYvdkf2","properties":{"formattedCitation":"(Tacer et al., 2018)","plainCitation":"(Tacer et al., 2018)","noteIndex":0},"citationItems":[{"id":2179,"uris":["http://zotero.org/users/5709166/items/7WXVLJM5"],"itemData":{"id":2179,"type":"article-journal","abstract":"In dynamic business environments entrepreneurs increasingly strive to customise new products/services to displayed and latent user needs. User-driven innovation (U.D.I.) aims to incorporate user needs by giving users an active role in the innovation process. Despite the growing interest of researchers in U.D.I., empirical evidence remains scarce, because of a lack of a psychometrically sound instrument to enhance insight into U.D.I. This paper derives an integrative definition of U.D.I. from different U.D.I. research streams and proposes a model with three distinctive dimensions of U.D.I.: user involvement, searching feedback and design orientation. Three consecutive studies result in a 13-item U.D.I. scale with appropriate reliability, dimensionality, convergent and discriminant validity. Pilot studies include researchers, entrepreneurs and practitioners. The main study comprises data of 357 S.M.E.s. The analyses confirm the multidimensionality of the proposed construct. This study contributes to existing research of U.D.I. in entrepreneurship by addressing the multidimensional nature of U.D.I. with a new research instrument. The proposed U.D.I. scale can be used in future investigations of U.D.I. The construct is informative also for practitioners in introducing U.D.I. to their companies.","container-title":"Economic Research-Ekonomska Istraživanja","DOI":"10.1080/1331677X.2018.1484784","ISSN":"1331-677X","issue":"1","page":"1472-1487","source":"Taylor and Francis+NEJM","title":"User-driven innovation: scale development and validation","title-short":"User-driven innovation","volume":"31","author":[{"family":"Tacer","given":"Blanka"},{"family":"Ruzzier","given":"Mitja"},{"family":"Nagy","given":"Tine"}],"issued":{"date-parts":[["2018",1,1]]}}}],"schema":"https://github.com/citation-style-language/schema/raw/master/csl-citation.json"}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(Tacer et al., 2018)</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Living Labs have become a popular pragmatic approach to involve users and help </w:t>
      </w:r>
      <w:r w:rsidRPr="00F153F6">
        <w:rPr>
          <w:rFonts w:ascii="Times New Roman" w:eastAsiaTheme="minorEastAsia" w:hAnsi="Times New Roman" w:cs="Times New Roman"/>
          <w:iCs/>
          <w:color w:val="000000" w:themeColor="text1"/>
          <w:sz w:val="24"/>
          <w:szCs w:val="24"/>
        </w:rPr>
        <w:lastRenderedPageBreak/>
        <w:t xml:space="preserve">companies to achieve innovation and product development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{"citationID":"aZR1HqAj","properties":{"formattedCitation":"(Guzm\\uc0\\u225{}n et al., 2013)","plainCitation":"(Guzmán et al., 2013)","noteIndex":0},"citationItems":[{"id":2178,"uris":["http://zotero.org/users/5709166/items/H32RN76B"],"itemData":{"id":2178,"type":"article-journal","abstract":"OVERVIEW: Living labs are innovation infrastructures within which software companies and research organizations collaborate with lead users and early adopters in creating participative strategies to deﬁne, design, develop, and validate new products and services that maximize the socioeconomic conditions of the partnership. For this kind of innovation cluster to succeed, it must implement effective practices to manage the collaboration. However, there is currently no process reference model for efﬁcient practices to manage a living lab. A case study involving six living labs was carried out to create and validate a process reference model for living labs.","container-title":"Research-Technology Management","DOI":"10.5437/08956308X5603087","ISSN":"0895-6308, 1930-0166","issue":"3","language":"en","page":"29-39","source":"Crossref","title":"Living Labs for User-Driven Innovation: A Process Reference Model","title-short":"Living Labs for User-Driven Innovation","volume":"56","author":[{"family":"Guzmán","given":"Javier García"},{"family":"Carpio","given":"Alvaro Fernández","non-dropping-particle":"del"},{"family":"Colomo-Palacios","given":"Ricardo"},{"family":"Diego","given":"Manuel Velasco","non-dropping-particle":"de"}],"issued":{"date-parts":[["2013",5]]}}}],"schema":"https://github.com/citation-style-language/schema/raw/master/csl-citation.json"}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(Guzmán et al., 2013)</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These terms reflect the key benefits and contributions of Living Labs for the whole society and therefore render them a rather new and significant research area to study.</w:t>
      </w:r>
    </w:p>
    <w:p w14:paraId="1D6C3F3B" w14:textId="77777777" w:rsidR="002C1A2F" w:rsidRPr="00F153F6" w:rsidRDefault="002C1A2F" w:rsidP="004424B4">
      <w:pPr>
        <w:pStyle w:val="Heading3"/>
        <w:spacing w:line="360" w:lineRule="auto"/>
        <w:ind w:firstLine="720"/>
        <w:jc w:val="both"/>
        <w:rPr>
          <w:rFonts w:ascii="Times New Roman" w:hAnsi="Times New Roman" w:cs="Times New Roman"/>
          <w:b/>
          <w:color w:val="000000" w:themeColor="text1"/>
          <w:sz w:val="28"/>
          <w:szCs w:val="28"/>
        </w:rPr>
      </w:pPr>
      <w:bookmarkStart w:id="249" w:name="_Toc50065937"/>
      <w:bookmarkStart w:id="250" w:name="_Toc118371108"/>
      <w:bookmarkStart w:id="251" w:name="_Toc133252131"/>
      <w:r w:rsidRPr="00F153F6">
        <w:rPr>
          <w:rFonts w:ascii="Times New Roman" w:hAnsi="Times New Roman" w:cs="Times New Roman"/>
          <w:b/>
          <w:color w:val="000000" w:themeColor="text1"/>
          <w:sz w:val="28"/>
          <w:szCs w:val="28"/>
        </w:rPr>
        <w:t>2.7.2 The Characteristics of Living Labs</w:t>
      </w:r>
      <w:bookmarkEnd w:id="249"/>
      <w:bookmarkEnd w:id="250"/>
      <w:bookmarkEnd w:id="251"/>
    </w:p>
    <w:p w14:paraId="5CC284FC" w14:textId="022FA7A3"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iCs/>
          <w:color w:val="000000" w:themeColor="text1"/>
          <w:sz w:val="24"/>
          <w:szCs w:val="24"/>
        </w:rPr>
        <w:t xml:space="preserve">Based on the definitions of Living Labs, their concept could be viewed from two schools of thought: a milieu; and an approach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{"citationID":"V4wl5Fgg","properties":{"formattedCitation":"(Bergvall-K\\uc0\\u229{}reborn et al., 2010)","plainCitation":"(Bergvall-Kåreborn et al., 2010)","noteIndex":0},"citationItems":[{"id":362,"uris":["http://zotero.org/users/5709166/items/EUG2MJCS"],"itemData":{"id":362,"type":"article-journal","abstract":"A new trend of user involvement in open innovation processes has emerged. Concurring with this trend the Living Lab concept has been revitalized. This concept has attracted attention lately, but there exist no coherent view. In this paper we discuss and define the concept and propose five key components and five key principles for Living Labs based on experiences from over 30 development and research projects within two Living Labs, Botnia Living Lab and Halmstad Living Lab. The key components are: ICT &amp; Infrastructure; Management; Partners &amp; Users; Research; and Approach. The key principles are: Openness; Influence; Realism; Value; and Sustainability. Our proposed definition of a Living Lab is: A Living Lab is a user-centric innovation milieu built on every-day practice and research, with an approach that facilitates user influence in open and distributed innovation processes engaging all relevant partners in real-life contexts, aiming to create sustainable values.","language":"en","page":"13","source":"Zotero","title":"A Milieu for Innovation – Defining Living Labs","author":[{"family":"Bergvall-Kåreborn","given":"Birgitta"},{"family":"Eriksson","given":"Carina Ihlström"},{"family":"Ståhlbröst","given":"Anna"},{"family":"Svensson","given":"Jesper"}],"issued":{"date-parts":[["2010"]]}}}],"schema":"https://github.com/citation-style-language/schema/raw/master/csl-citation.json"}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(Bergvall-Kåreborn et al., 2010)</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The </w:t>
      </w:r>
      <w:r w:rsidRPr="00F153F6">
        <w:rPr>
          <w:rFonts w:ascii="Times New Roman" w:eastAsiaTheme="minorEastAsia" w:hAnsi="Times New Roman" w:cs="Times New Roman"/>
          <w:i/>
          <w:color w:val="000000" w:themeColor="text1"/>
          <w:sz w:val="24"/>
          <w:szCs w:val="24"/>
        </w:rPr>
        <w:t>milieu</w:t>
      </w:r>
      <w:r w:rsidRPr="00F153F6">
        <w:rPr>
          <w:rFonts w:ascii="Times New Roman" w:eastAsiaTheme="minorEastAsia" w:hAnsi="Times New Roman" w:cs="Times New Roman"/>
          <w:iCs/>
          <w:color w:val="000000" w:themeColor="text1"/>
          <w:sz w:val="24"/>
          <w:szCs w:val="24"/>
        </w:rPr>
        <w:t xml:space="preserve"> school describes a Living Lab as a user-centric context with unique characteristics that support collaborative activities, and thereby involves aspects of environments, networks, and ecosystems. Extant literature highlights that there are five crucial components embedded in the context of Living Labs. </w:t>
      </w:r>
      <w:r w:rsidRPr="00F153F6">
        <w:rPr>
          <w:rFonts w:ascii="Times New Roman" w:eastAsiaTheme="minorEastAsia" w:hAnsi="Times New Roman" w:cs="Times New Roman"/>
          <w:b/>
          <w:bCs/>
          <w:iCs/>
          <w:color w:val="000000" w:themeColor="text1"/>
          <w:sz w:val="24"/>
          <w:szCs w:val="24"/>
        </w:rPr>
        <w:t>Users</w:t>
      </w:r>
      <w:r w:rsidRPr="00F153F6">
        <w:rPr>
          <w:rFonts w:ascii="Times New Roman" w:eastAsiaTheme="minorEastAsia" w:hAnsi="Times New Roman" w:cs="Times New Roman"/>
          <w:iCs/>
          <w:color w:val="000000" w:themeColor="text1"/>
          <w:sz w:val="24"/>
          <w:szCs w:val="24"/>
        </w:rPr>
        <w:t xml:space="preserve"> reflect the end users/potential end users involved in innovation processes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{"citationID":"EF5L8z3b","properties":{"formattedCitation":"(Hossain et al., 2019)","plainCitation":"(Hossain et al., 2019)","noteIndex":0},"citationItems":[{"id":2172,"uris":["http://zotero.org/users/5709166/items/BEMCWGRS"],"itemData":{"id":2172,"type":"article-journal","abstract":"A living lab is a physical or virtual space in which to solve societal challenges, especially for urban areas, by bringing together various stakeholders for collaboration and collective ideation. Although the notion has received increasing attention from scholars, practitioners and policy makers, its essence remains unclear to many. We therefore performed a systematic literature review of a sample of 114 scholarly articles about living labs to understand the central facets discussed in the nascent literature. In particular, we explored the origin of the living lab concept and its key paradigms and characteristics, including stakeholder roles, contexts, challenges, main outcomes, and sustainability. While doing this, we discovered that the number of publications about living labs has increased significantly since 2015, and several journals are very active in publishing articles on the topic. The living lab is considered a multidisciplinary phenomenon and it encompasses various research domains despite typically being discussed under open and user innovation paradigms. What is more, the existing literature views living labs simultaneously as landscapes, real-life environments, and methodologies, and it suggests that they include heterogeneous stakeholders and apply various business models, methods, tools and approaches. Finally, living labs face some challenges, such as temporality, governance, efficiency, user recruitment, sustainability, scalability and unpredictable outcomes. In contrast, the benefits include tangible and intangible innovation and a broader diversity of innovation. Based on our analysis, we provide some implications and suggestions for future research.","container-title":"Journal of Cleaner Production","DOI":"10.1016/j.jclepro.2018.12.257","ISSN":"0959-6526","journalAbbreviation":"Journal of Cleaner Production","language":"en","page":"976-988","source":"ScienceDirect","title":"A systematic review of living lab literature","volume":"213","author":[{"family":"Hossain","given":"Mokter"},{"family":"Leminen","given":"Seppo"},{"family":"Westerlund","given":"Mika"}],"issued":{"date-parts":[["2019",3,10]]}}}],"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(Hossain et al., 2019)</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w:t>
      </w:r>
      <w:r w:rsidRPr="00F153F6">
        <w:rPr>
          <w:rFonts w:ascii="Times New Roman" w:eastAsiaTheme="minorEastAsia" w:hAnsi="Times New Roman" w:cs="Times New Roman"/>
          <w:b/>
          <w:bCs/>
          <w:iCs/>
          <w:color w:val="000000" w:themeColor="text1"/>
          <w:sz w:val="24"/>
          <w:szCs w:val="24"/>
        </w:rPr>
        <w:t>Real life Environment</w:t>
      </w:r>
      <w:r w:rsidRPr="00F153F6">
        <w:rPr>
          <w:rFonts w:ascii="Times New Roman" w:eastAsiaTheme="minorEastAsia" w:hAnsi="Times New Roman" w:cs="Times New Roman"/>
          <w:iCs/>
          <w:color w:val="000000" w:themeColor="text1"/>
          <w:sz w:val="24"/>
          <w:szCs w:val="24"/>
        </w:rPr>
        <w:t xml:space="preserve"> represents the collaborative platform where users interact and provide reflections on the real world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{"citationID":"E7Du2pjp","properties":{"formattedCitation":"(Gasc\\uc0\\u243{}, 2017; Veeckman et al., 2013)","plainCitation":"(Gascó, 2017; Veeckman et al., 2013)","noteIndex":0},"citationItems":[{"id":2173,"uris":["http://zotero.org/users/5709166/items/A3GLDLXI"],"itemData":{"id":2173,"type":"article-journal","abstract":"Public sector innovation is an important issue in the agenda of policymakers and academics but there is a need for a change of perspective, one that promotes a more open model of innovating, which takes advantage of the possibilities offered by collaboration between citizens, entrepreneurs and civil society as well as of new emerging technologies. Living labs are environments that can support public open innovation processes. This article makes a practical contribution to understand the role of living labs as intermediaries of public open innovation. The analysis focuses on the dynamics of these innovation intermediaries, their outcomes, and their main challenges. In particular, it adopts a qualitative approach (fourteen semi-structured interviews and one focus group were conducted) in order to analyze two living labs: Citilab in the city of Cornellà and the network of fab athenaeums (public fab labs) in the city of Barcelona, both in Spain. After a thorough analysis of the attributes of these living labs, the article concludes that 1) living labs provide the opportunity for public agencies to meet with private sector organizations and thus function as innovation intermediaries, 2) implementing an open innovation perspective is considered more important than obtaining specific innovation results, and 3) scalability and sustainability are the main problems living labs encounter as open innovation intermediaries.","collection-title":"Open Innovation in the Public Sector","container-title":"Government Information Quarterly","DOI":"10.1016/j.giq.2016.09.003","ISSN":"0740-624X","issue":"1","journalAbbreviation":"Government Information Quarterly","language":"en","page":"90-98","source":"ScienceDirect","title":"Living labs: Implementing open innovation in the public sector","title-short":"Living labs","volume":"34","author":[{"family":"Gascó","given":"Mila"}],"issued":{"date-parts":[["2017",1,1]]}}},{"id":2175,"uris":["http://zotero.org/users/5709166/items/C3BLPRJS"],"itemData":{"id":2175,"type":"article-journal","container-title":"Technology Innovation Management Review","language":"en","page":"10","source":"Zotero","title":"Linking Living Lab Characteristics and Their Outcomes: Towards a Conceptual Framework","author":[{"family":"Veeckman","given":"Carina"},{"family":"Schuurman","given":"Dimitri"},{"family":"Leminen","given":"Seppo"},{"family":"Westerlund","given":"Mika"}],"issued":{"date-parts":[["2013"]]}}}],"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(Gascó, 2017; Veeckman et al., 2013)</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t xml:space="preserve">Følstad </w:t>
      </w:r>
      <w:r w:rsidRPr="00F153F6">
        <w:rPr>
          <w:rFonts w:ascii="Times New Roman" w:eastAsiaTheme="minorEastAsia" w:hAnsi="Times New Roman" w:cs="Times New Roman"/>
          <w:iCs/>
          <w:color w:val="000000" w:themeColor="text1"/>
          <w:sz w:val="24"/>
          <w:szCs w:val="24"/>
        </w:rPr>
        <w:fldChar w:fldCharType="begin"/>
      </w:r>
      <w:r w:rsidR="00206572" w:rsidRPr="00F153F6">
        <w:rPr>
          <w:rFonts w:ascii="Times New Roman" w:eastAsiaTheme="minorEastAsia" w:hAnsi="Times New Roman" w:cs="Times New Roman"/>
          <w:iCs/>
          <w:color w:val="000000" w:themeColor="text1"/>
          <w:sz w:val="24"/>
          <w:szCs w:val="24"/>
        </w:rPr>
        <w:instrText xml:space="preserve"> ADDIN ZOTERO_ITEM CSL_CITATION {"citationID":"tB5kNYGD","properties":{"formattedCitation":"(2008)","plainCitation":"(2008)","noteIndex":0},"citationItems":[{"id":"WjXiMXKA/GnDPEhAO","uris":["http://zotero.org/users/5709166/items/LMG5HHEU"],"itemData":{"id":86,"type":"article-journal","abstract":"Living Labs are environments for involving users in innovation and development, and are regarded as a way of meeting the innovation challenges faced by information and communication technology (ICT) service providers. Living Labs have thus generated a great deal of interest in the field of ICT in the course of the last few years. However, the current body of Living Lab research literature indicates a lack of common understanding of how Living Labs can be used for ICT innovation and development. Moreover, there appears to be little agreement regarding needed future research. In order to establish a basis for future work on Living Labs, a review of the Living Lab literature related to ICT innovation and development has been carried out. Literature searches were made in four academic archives, as well as the ISI Web of Knowledge, Google and Google Scholar. Thirty-two relevant academic papers were retrieved. An overview of the literature was established and the literature was analyzed with regard to (1) common and diverging perspectives on Living Labs, (2) the state-of-the-art of Living Lab processes and methods, and (3) theoretical foundations of Living Labs. On the basis of the analyses, a common Living Lab definition is suggested. Two emerging Living Lab trends, as well as a pressing need for future research on Living Lab processes and methods, are introduced and discussed.","container-title":"Living Labs","language":"en","page":"33","source":"Zotero","title":"LIVING LABS FOR INNOVATION AND DEVELOPMENT OF INFORMATION AND COMMUNICATION TECHNOLOGY: A LITERATURE REVIEW","volume":"10","author":[{"family":"Følstad","given":"Asbjørn"}],"issued":{"date-parts":[["2008"]]}},"suppress-author":true}],"schema":"https://github.com/citation-style-language/schema/raw/master/csl-citation.json"}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(2008)</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indicates that a Living Lab is a real-life environment in which various stakeholders co-create, validate and test existing products or services, and develop new outcomes. </w:t>
      </w:r>
      <w:r w:rsidRPr="00F153F6">
        <w:rPr>
          <w:rFonts w:ascii="Times New Roman" w:hAnsi="Times New Roman" w:cs="Times New Roman"/>
          <w:color w:val="000000" w:themeColor="text1"/>
          <w:sz w:val="24"/>
          <w:szCs w:val="24"/>
        </w:rPr>
        <w:t>Leminen et al.</w:t>
      </w:r>
      <w:r w:rsidRPr="00F153F6">
        <w:rPr>
          <w:rFonts w:ascii="Times New Roman" w:eastAsiaTheme="minorEastAsia" w:hAnsi="Times New Roman" w:cs="Times New Roman"/>
          <w:iCs/>
          <w:color w:val="000000" w:themeColor="text1"/>
          <w:sz w:val="24"/>
          <w:szCs w:val="24"/>
        </w:rPr>
        <w:t xml:space="preserve">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{"citationID":"FSwwnVan","properties":{"formattedCitation":"(2017)","plainCitation":"(2017)","noteIndex":0},"citationItems":[{"id":352,"uris":["http://zotero.org/users/5709166/items/9QBUWLLY"],"itemData":{"id":352,"type":"article-journal","container-title":"Technology Innovation Management Review","DOI":"10.22215/timreview/1118","ISSN":"19270321","issue":"11","journalAbbreviation":"TIM Review","language":"en","page":"21-35","source":"DOI.org (Crossref)","title":"Towards Third-Generation Living Lab Networks in Cities","volume":"7","author":[{"family":"Leminen","given":"Seppo"},{"family":"Rajahonka","given":"Mervi"},{"family":"Westerlund","given":"Mika"}],"issued":{"date-parts":[["2017",11,27]]}},"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(2017)</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argue that real life settings represent a landscape intertwined with stakeholders and Living Lab activities. </w:t>
      </w:r>
      <w:r w:rsidRPr="00F153F6">
        <w:rPr>
          <w:rFonts w:ascii="Times New Roman" w:eastAsiaTheme="minorEastAsia" w:hAnsi="Times New Roman" w:cs="Times New Roman"/>
          <w:b/>
          <w:bCs/>
          <w:iCs/>
          <w:color w:val="000000" w:themeColor="text1"/>
          <w:sz w:val="24"/>
          <w:szCs w:val="24"/>
        </w:rPr>
        <w:t>ICT &amp; Infrastructure</w:t>
      </w:r>
      <w:r w:rsidRPr="00F153F6">
        <w:rPr>
          <w:rFonts w:ascii="Times New Roman" w:eastAsiaTheme="minorEastAsia" w:hAnsi="Times New Roman" w:cs="Times New Roman"/>
          <w:iCs/>
          <w:color w:val="000000" w:themeColor="text1"/>
          <w:sz w:val="24"/>
          <w:szCs w:val="24"/>
        </w:rPr>
        <w:t xml:space="preserve"> represents information and communication technologies that facilitate a co-creation process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{"citationID":"kwxCAIiW","properties":{"formattedCitation":"(Hossain et al., 2019; Pallot et al., 2011)","plainCitation":"(Hossain et al., 2019; Pallot et al., 2011)","noteIndex":0},"citationItems":[{"id":2172,"uris":["http://zotero.org/users/5709166/items/BEMCWGRS"],"itemData":{"id":2172,"type":"article-journal","abstract":"A living lab is a physical or virtual space in which to solve societal challenges, especially for urban areas, by bringing together various stakeholders for collaboration and collective ideation. Although the notion has received increasing attention from scholars, practitioners and policy makers, its essence remains unclear to many. We therefore performed a systematic literature review of a sample of 114 scholarly articles about living labs to understand the central facets discussed in the nascent literature. In particular, we explored the origin of the living lab concept and its key paradigms and characteristics, including stakeholder roles, contexts, challenges, main outcomes, and sustainability. While doing this, we discovered that the number of publications about living labs has increased significantly since 2015, and several journals are very active in publishing articles on the topic. The living lab is considered a multidisciplinary phenomenon and it encompasses various research domains despite typically being discussed under open and user innovation paradigms. What is more, the existing literature views living labs simultaneously as landscapes, real-life environments, and methodologies, and it suggests that they include heterogeneous stakeholders and apply various business models, methods, tools and approaches. Finally, living labs face some challenges, such as temporality, governance, efficiency, user recruitment, sustainability, scalability and unpredictable outcomes. In contrast, the benefits include tangible and intangible innovation and a broader diversity of innovation. Based on our analysis, we provide some implications and suggestions for future research.","container-title":"Journal of Cleaner Production","DOI":"10.1016/j.jclepro.2018.12.257","ISSN":"0959-6526","journalAbbreviation":"Journal of Cleaner Production","language":"en","page":"976-988","source":"ScienceDirect","title":"A systematic review of living lab literature","volume":"213","author":[{"family":"Hossain","given":"Mokter"},{"family":"Leminen","given":"Seppo"},{"family":"Westerlund","given":"Mika"}],"issued":{"date-parts":[["2019",3,10]]}}},{"id":1936,"uris":["http://zotero.org/users/5709166/items/8BTJ2EB5"],"itemData":{"id":1936,"type":"article-journal","abstract":"New paradigms, such as Open Innovation (Chesbrough, 2003) and Web 2.0 (O’Reilly, 2004) as well as Living Labs operating as a User Centred Open Innovation Ecosystem (Pallot, 2009), promote a more proactive role of users in the R&amp;D process. However, a number of existing methods for involving users are abundantly described in the literature, such as Lead User (Von Hippel, 2005), User Driven Innovation (Von Hippel, 1986), User Centred Design (Von Hippel, 2005) and User Created Content (O’Reilly, 1998) as well as User Co-Creation (Prahalad &amp; Ramaswamy, 2000). This paper explores the domain landscape of Living Lab research, based on the landscape of human-centred design research (Sanders &amp; Stappers, 2008; Sanders, 2008) and later introduced in the domain of Living Lab research (Mulder &amp; Stappers, 2009). It also discusses the links with existing theories such as Social Capital Theory (Nahapiet and Ghoshal, 1998) and Social Cognitive Theory (Bandura, 1986) as well as Socio-Emotional Intelligence Theory (Goleman, 1998). It also explores the creation of User Group Experience concept for bringing the socio-emotional perspective (Norman, 1995; 1998; 2004; 207; Goleman, 1998) into User Experience (Fleming, 1998) that appears too much focusing on individual users and usability.","language":"en","page":"11","source":"Zotero","title":"Living Lab Research Landscape: From User Centred Design and User Experience towards User Cocreation","author":[{"family":"Pallot","given":"Marc"},{"family":"Trousse","given":"Brigitte"},{"family":"Senach","given":"Bernard"},{"family":"Scapin","given":"Dominique"}],"issued":{"date-parts":[["2011"]]}}}],"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(Hossain et al., 2019; Pallot et al., 2011)</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t>Bergvall-Kåreborn et al.</w:t>
      </w:r>
      <w:r w:rsidRPr="00F153F6">
        <w:rPr>
          <w:rFonts w:ascii="Times New Roman" w:eastAsiaTheme="minorEastAsia" w:hAnsi="Times New Roman" w:cs="Times New Roman"/>
          <w:iCs/>
          <w:color w:val="000000" w:themeColor="text1"/>
          <w:sz w:val="24"/>
          <w:szCs w:val="24"/>
        </w:rPr>
        <w:t xml:space="preserve">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{"citationID":"DEX58wsU","properties":{"formattedCitation":"(2010)","plainCitation":"(2010)","noteIndex":0},"citationItems":[{"id":362,"uris":["http://zotero.org/users/5709166/items/EUG2MJCS"],"itemData":{"id":362,"type":"article-journal","abstract":"A new trend of user involvement in open innovation processes has emerged. Concurring with this trend the Living Lab concept has been revitalized. This concept has attracted attention lately, but there exist no coherent view. In this paper we discuss and define the concept and propose five key components and five key principles for Living Labs based on experiences from over 30 development and research projects within two Living Labs, Botnia Living Lab and Halmstad Living Lab. The key components are: ICT &amp; Infrastructure; Management; Partners &amp; Users; Research; and Approach. The key principles are: Openness; Influence; Realism; Value; and Sustainability. Our proposed definition of a Living Lab is: A Living Lab is a user-centric innovation milieu built on every-day practice and research, with an approach that facilitates user influence in open and distributed innovation processes engaging all relevant partners in real-life contexts, aiming to create sustainable values.","language":"en","page":"13","source":"Zotero","title":"A Milieu for Innovation – Defining Living Labs","author":[{"family":"Bergvall-Kåreborn","given":"Birgitta"},{"family":"Eriksson","given":"Carina Ihlström"},{"family":"Ståhlbröst","given":"Anna"},{"family":"Svensson","given":"Jesper"}],"issued":{"date-parts":[["2010"]]}},"suppress-author":true}],"schema":"https://github.com/citation-style-language/schema/raw/master/csl-citation.json"}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(2010)</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argue that Living Labs provide the existing and new ICT to facilitate the co-operation and co-creation of innovation processes among stakeholders. </w:t>
      </w:r>
      <w:r w:rsidRPr="00F153F6">
        <w:rPr>
          <w:rFonts w:ascii="Times New Roman" w:eastAsiaTheme="minorEastAsia" w:hAnsi="Times New Roman" w:cs="Times New Roman"/>
          <w:b/>
          <w:bCs/>
          <w:iCs/>
          <w:color w:val="000000" w:themeColor="text1"/>
          <w:sz w:val="24"/>
          <w:szCs w:val="24"/>
        </w:rPr>
        <w:t xml:space="preserve">Organisation &amp; Methods </w:t>
      </w:r>
      <w:r w:rsidRPr="00F153F6">
        <w:rPr>
          <w:rFonts w:ascii="Times New Roman" w:eastAsiaTheme="minorEastAsia" w:hAnsi="Times New Roman" w:cs="Times New Roman"/>
          <w:iCs/>
          <w:color w:val="000000" w:themeColor="text1"/>
          <w:sz w:val="24"/>
          <w:szCs w:val="24"/>
        </w:rPr>
        <w:t xml:space="preserve">represent proposed rules and methods for the innovation process in context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{"citationID":"JM2qOQRc","properties":{"formattedCitation":"(Bergvall-K\\uc0\\u229{}reborn et al., 2010; Kr\\uc0\\u246{}se et al., 2012)","plainCitation":"(Bergvall-Kåreborn et al., 2010; Kröse et al., 2012)","noteIndex":0},"citationItems":[{"id":362,"uris":["http://zotero.org/users/5709166/items/EUG2MJCS"],"itemData":{"id":362,"type":"article-journal","abstract":"A new trend of user involvement in open innovation processes has emerged. Concurring with this trend the Living Lab concept has been revitalized. This concept has attracted attention lately, but there exist no coherent view. In this paper we discuss and define the concept and propose five key components and five key principles for Living Labs based on experiences from over 30 development and research projects within two Living Labs, Botnia Living Lab and Halmstad Living Lab. The key components are: ICT &amp; Infrastructure; Management; Partners &amp; Users; Research; and Approach. The key principles are: Openness; Influence; Realism; Value; and Sustainability. Our proposed definition of a Living Lab is: A Living Lab is a user-centric innovation milieu built on every-day practice and research, with an approach that facilitates user influence in open and distributed innovation processes engaging all relevant partners in real-life contexts, aiming to create sustainable values.","language":"en","page":"13","source":"Zotero","title":"A Milieu for Innovation – Defining Living Labs","author":[{"family":"Bergvall-Kåreborn","given":"Birgitta"},{"family":"Eriksson","given":"Carina Ihlström"},{"family":"Ståhlbröst","given":"Anna"},{"family":"Svensson","given":"Jesper"}],"issued":{"date-parts":[["2010"]]}}},{"id":2176,"uris":["http://zotero.org/users/5709166/items/MD9NCYYN"],"itemData":{"id":2176,"type":"chapter","abstract":"The way that innovation is currently done requires a new research methodology that enables co-creation and frequent, iterative evaluation in realworld settings. This paper describes the employment of the living lab methodology that corresponds to this need. Particularly, this paper presents the way that the Amsterdam University of Applies Sciences (HvA) incorporates living labs in its educational program with a particular focus on ambient intelligence. A number of examples are given to illustrate its place in the university’s curriculum. Drawing on from this, problems and solutions are highlighted in a ‘lessons learned’ section.","container-title":"Ambient Intelligence","event-place":"Berlin, Heidelberg","ISBN":"978-3-642-34897-6","language":"en","note":"DOI: 10.1007/978-3-642-34898-3_27","page":"356-363","publisher":"Springer Berlin Heidelberg","publisher-place":"Berlin, Heidelberg","source":"Crossref","title":"Living Labs as Educational Tool for Ambient Intelligence","URL":"http://link.springer.com/10.1007/978-3-642-34898-3_27","volume":"7683","collection-editor":[{"family":"Hutchison","given":"David"},{"family":"Kanade","given":"Takeo"},{"family":"Kittler","given":"Josef"},{"family":"Kleinberg","given":"Jon M."},{"family":"Mattern","given":"Friedemann"},{"family":"Mitchell","given":"John C."},{"family":"Naor","given":"Moni"},{"family":"Nierstrasz","given":"Oscar"},{"family":"Pandu Rangan","given":"C."},{"family":"Steffen","given":"Bernhard"},{"family":"Sudan","given":"Madhu"},{"family":"Terzopoulos","given":"Demetri"},{"family":"Tygar","given":"Doug"},{"family":"Vardi","given":"Moshe Y."},{"family":"Weikum","given":"Gerhard"}],"editor":[{"family":"Paternò","given":"Fabio"},{"family":"Ruyter","given":"Boris","non-dropping-particle":"de"},{"family":"Markopoulos","given":"Panos"},{"family":"Santoro","given":"Carmen"},{"family":"Loenen","given":"Evert","non-dropping-particle":"van"},{"family":"Luyten","given":"Kris"}],"author":[{"family":"Kröse","given":"Ben"},{"family":"Veenstra","given":"Mettina"},{"family":"Robben","given":"Saskia"},{"family":"Kanis","given":"Marije"}],"accessed":{"date-parts":[["2019",12,15]]},"issued":{"date-parts":[["2012"]]}}}],"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(Bergvall-Kåreborn et al., 2010; Kröse et al., 2012)</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and </w:t>
      </w:r>
      <w:r w:rsidRPr="00F153F6">
        <w:rPr>
          <w:rFonts w:ascii="Times New Roman" w:eastAsiaTheme="minorEastAsia" w:hAnsi="Times New Roman" w:cs="Times New Roman"/>
          <w:b/>
          <w:bCs/>
          <w:iCs/>
          <w:color w:val="000000" w:themeColor="text1"/>
          <w:sz w:val="24"/>
          <w:szCs w:val="24"/>
        </w:rPr>
        <w:t>Partners</w:t>
      </w:r>
      <w:r w:rsidRPr="00F153F6">
        <w:rPr>
          <w:rFonts w:ascii="Times New Roman" w:eastAsiaTheme="minorEastAsia" w:hAnsi="Times New Roman" w:cs="Times New Roman"/>
          <w:iCs/>
          <w:color w:val="000000" w:themeColor="text1"/>
          <w:sz w:val="24"/>
          <w:szCs w:val="24"/>
        </w:rPr>
        <w:t xml:space="preserve"> represent resources of external knowledge for co-creation </w:t>
      </w:r>
      <w:r w:rsidRPr="00F153F6">
        <w:rPr>
          <w:rFonts w:ascii="Times New Roman" w:hAnsi="Times New Roman" w:cs="Times New Roman"/>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{"citationID":"a1a7el61sto","properties":{"formattedCitation":"(Bergvall-K\\uc0\\u229{}reborn et al., 2010; Schuurman, Baccarne, et al., 2016)","plainCitation":"(Bergvall-Kåreborn et al., 2010; Schuurman, Baccarne, et al., 2016)","noteIndex":0},"citationItems":[{"id":362,"uris":["http://zotero.org/users/5709166/items/EUG2MJCS"],"itemData":{"id":362,"type":"article-journal","abstract":"A new trend of user involvement in open innovation processes has emerged. Concurring with this trend the Living Lab concept has been revitalized. This concept has attracted attention lately, but there exist no coherent view. In this paper we discuss and define the concept and propose five key components and five key principles for Living Labs based on experiences from over 30 development and research projects within two Living Labs, Botnia Living Lab and Halmstad Living Lab. The key components are: ICT &amp; Infrastructure; Management; Partners &amp; Users; Research; and Approach. The key principles are: Openness; Influence; Realism; Value; and Sustainability. Our proposed definition of a Living Lab is: A Living Lab is a user-centric innovation milieu built on every-day practice and research, with an approach that facilitates user influence in open and distributed innovation processes engaging all relevant partners in real-life contexts, aiming to create sustainable values.","language":"en","page":"13","source":"Zotero","title":"A Milieu for Innovation – Defining Living Labs","author":[{"family":"Bergvall-Kåreborn","given":"Birgitta"},{"family":"Eriksson","given":"Carina Ihlström"},{"family":"Ståhlbröst","given":"Anna"},{"family":"Svensson","given":"Jesper"}],"issued":{"date-parts":[["2010"]]}}},{"id":2665,"uris":["http://zotero.org/users/5709166/items/YJ3LDFKJ"],"itemData":{"id":2665,"type":"article-journal","abstract":"In nowadays knowledge economy, no more general ‘best practice’ innovation management exists. Within this paper we investigate the potential of Living Labs as open innovation systems that foster different knowledge transfers amongst the actors participating in them. By means of an in-depth case study research we explore a variety of hypotheses abstracted from the open innovation literature on knowledge transfers and other variables influencing exchange and collaboration in open innovation systems. We conclude that given certain criteria are met, Living Labs can be a solution for sustainable innovation development.","container-title":"International Journal of Business Innovation and Research","DOI":"10.1504/IJBIR.2016.074832","ISSN":"1751-0252, 1751-0260","issue":"2/3","language":"en","page":"322","source":"Crossref","title":"Living Labs as open innovation systems for knowledge exchange: solutions for sustainable innovation development","title-short":"Living Labs as open innovation systems for knowledge exchange","volume":"10","author":[{"family":"Schuurman","given":"Dimitri"},{"family":"Baccarne","given":"Bastiaan"},{"family":"Marez","given":"Lieven De"},{"family":"Veeckman","given":"Carina"},{"family":"Ballon","given":"Pieter"}],"issued":{"date-parts":[["2016"]]}}}],"schema":"https://github.com/citation-style-language/schema/raw/master/csl-citation.json"}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(Bergvall-Kåreborn et al., 2010; Schuurman, Baccarne, et al., 2016)</w:t>
      </w:r>
      <w:r w:rsidRPr="00F153F6">
        <w:rPr>
          <w:rFonts w:ascii="Times New Roman" w:hAnsi="Times New Roman" w:cs="Times New Roman"/>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w:t>
      </w:r>
      <w:r w:rsidRPr="00F153F6">
        <w:rPr>
          <w:rFonts w:ascii="Times New Roman" w:eastAsiaTheme="minorEastAsia" w:hAnsi="Times New Roman" w:cs="Times New Roman"/>
          <w:b/>
          <w:bCs/>
          <w:iCs/>
          <w:color w:val="000000" w:themeColor="text1"/>
          <w:sz w:val="24"/>
          <w:szCs w:val="24"/>
        </w:rPr>
        <w:t xml:space="preserve">Networks </w:t>
      </w:r>
      <w:r w:rsidRPr="00F153F6">
        <w:rPr>
          <w:rFonts w:ascii="Times New Roman" w:eastAsiaTheme="minorEastAsia" w:hAnsi="Times New Roman" w:cs="Times New Roman"/>
          <w:iCs/>
          <w:color w:val="000000" w:themeColor="text1"/>
          <w:sz w:val="24"/>
          <w:szCs w:val="24"/>
        </w:rPr>
        <w:t xml:space="preserve">refer to the structure of Living Lab networks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{"citationID":"DkI2nBBo","properties":{"formattedCitation":"(Leminen et al., 2012)","plainCitation":"(Leminen et al., 2012)","noteIndex":0},"citationItems":[{"id":470,"uris":["http://zotero.org/users/5709166/items/S9BSZJAT"],"itemData":{"id":470,"type":"article-journal","container-title":"Technology Innovation Management Review","language":"en","page":"7","source":"Zotero","title":"Living Labs as Open-Innovation Networks","author":[{"family":"Leminen","given":"Seppo"},{"family":"Westerlund","given":"Mika"},{"family":"Nyström","given":"Anna-Greta"}],"issued":{"date-parts":[["2012"]]}}}],"schema":"https://github.com/citation-style-language/schema/raw/master/csl-citation.json"}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(Leminen et al., 2012)</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t xml:space="preserve">Nyström et al.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{"citationID":"vEHWarjG","properties":{"formattedCitation":"(2014)","plainCitation":"(2014)","noteIndex":0},"citationItems":[{"id":343,"uris":["http://zotero.org/users/5709166/items/R9HANBZ8"],"itemData":{"id":343,"type":"article-journal","abstract":"Innovation networks are embodied and shaped by their participants. This paper examines actors' roles in living labs, which are deﬁned as networks of open innovation. The study utilizes four approaches to roles: structuralist, symbolic interactionist, resource-based, and action-based approaches. Our empirical analysis of 26 living labs in four different countries identiﬁes a number of actor roles associated with open innovation. In addition, it reveals four role patterns characteristic of living labs: (i) ambidexterity, (ii) reciprocity, (iii) temporality, and (iv) multiplicity. These patterns distinguish actor collaboration in networks characterized by heterogeneous actors, the coexistence of individual and shared motives, high degree of openness, and user involvement. Scholars and practitioners of innovation learn that understanding of role patterns in living labs can contribute to building, utilization, and orchestration of open innovation networks.","container-title":"Industrial Marketing Management","DOI":"10.1016/j.indmarman.2013.12.016","ISSN":"00198501","issue":"3","journalAbbreviation":"Industrial Marketing Management","language":"en","page":"483-495","source":"DOI.org (Crossref)","title":"Actor roles and role patterns influencing innovation in living labs","volume":"43","author":[{"family":"Nyström","given":"Anna-Greta"},{"family":"Leminen","given":"Seppo"},{"family":"Westerlund","given":"Mika"},{"family":"Kortelainen","given":"Mika"}],"issued":{"date-parts":[["2014",4]]}},"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(2014)</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define Living Labs as networks because they involve multiple stakeholders in the innovation process. Shin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{"citationID":"JZPv9ZxZ","properties":{"formattedCitation":"(2019)","plainCitation":"(2019)","noteIndex":0},"citationItems":[{"id":356,"uris":["http://zotero.org/users/5709166/items/M2USJWNW"],"itemData":{"id":356,"type":"article-journal","abstract":"Living Lab approaches, as one of socio-technical approaches, are effective strategy for user-driven technology development. The recent development of the Internet of Things (loT) and its various technologies appear to be promising possibilities to adopt Living Lab innovation into community domains. Using Living Lab frame, this study examines the developmental processes of the IoT from a multi-level analysis: a micro approach of user acceptance and experience of IoT services; a meso approach of socio-technical evaluation of selected site; and a macro approach of regulation and strategies on IoT. Through the multi-level approach, it conceptualizes a Living Lab process to create, test, and adept a social IoT environment. The findings should guide governments' promotion of IoT services to increase user acceptance by enhancing usability and benefits and ensuring sustainability. The findings also provide guidelines, strategies, and best practices for practitioners to integrate IoT into communities and society effectively. The insights help to conceptualize how the IoT can be situated and contextualized within human-centered contexts. The results of this study show that creating IoT innovations require prudent coordination of different stakeholders and roles across innovation cycle. Particularly user-centered approach warrants a new innovative way to structure and facilitate user involvement within the context of Living Labs for IoT.","container-title":"Government Information Quarterly","DOI":"10.1016/j.giq.2018.08.001","ISSN":"0740624X","issue":"2","journalAbbreviation":"Government Information Quarterly","language":"en","page":"264-275","source":"DOI.org (Crossref)","title":"A living lab as socio-technical ecosystem: Evaluating the Korean living lab of internet of things","title-short":"A living lab as socio-technical ecosystem","volume":"36","author":[{"family":"Shin","given":"Donghee"}],"issued":{"date-parts":[["2019",4]]}},"suppress-author":true}],"schema":"https://github.com/citation-style-language/schema/raw/master/csl-citation.json"}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(2019)</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defines Living Labs as an ecosystem as it combines people, organisations, technologies, activities and resources towards innovation. </w:t>
      </w:r>
      <w:r w:rsidRPr="00F153F6">
        <w:rPr>
          <w:rFonts w:ascii="Times New Roman" w:hAnsi="Times New Roman" w:cs="Times New Roman"/>
          <w:color w:val="000000" w:themeColor="text1"/>
          <w:sz w:val="24"/>
          <w:szCs w:val="24"/>
        </w:rPr>
        <w:t xml:space="preserve">Leminen et al. </w:t>
      </w:r>
      <w:r w:rsidRPr="00F153F6">
        <w:rPr>
          <w:rFonts w:ascii="Times New Roman" w:hAnsi="Times New Roman" w:cs="Times New Roman"/>
          <w:color w:val="000000" w:themeColor="text1"/>
          <w:sz w:val="24"/>
          <w:szCs w:val="24"/>
        </w:rPr>
        <w:fldChar w:fldCharType="begin"/>
      </w:r>
      <w:r w:rsidRPr="00F153F6">
        <w:rPr>
          <w:rFonts w:ascii="Times New Roman" w:hAnsi="Times New Roman" w:cs="Times New Roman"/>
          <w:color w:val="000000" w:themeColor="text1"/>
          <w:sz w:val="24"/>
          <w:szCs w:val="24"/>
        </w:rPr>
        <w:instrText xml:space="preserve"> ADDIN ZOTERO_ITEM CSL_CITATION {"citationID":"g9Eg9yLa","properties":{"formattedCitation":"(2015)","plainCitation":"(2015)","noteIndex":0},"citationItems":[{"id":341,"uris":["http://zotero.org/users/5709166/items/MLNETI22"],"itemData":{"id":341,"type":"article-journal","abstract":"This study explores user innovation in living labs that build on the co-creation of value with users in real-life environments. It focuses on the link between the role mechanisms of user innovators and the innovation outcome. The study introduces a framework based on four types of creative consumers to analyze user roles in 26 living labs in Finland, South Africa, Spain, and Sweden. It contributes to the literature on user innovation by revealing how the role mechanisms affect innovation in living labs. Although users adopt given roles, resulting in incremental innovation, proactive user innovators foster the birth of radical innovation.","collection-title":"Leveraging Users as Innovators: Managing the Creative Potential of Individual Consumers","container-title":"Journal of Engineering and Technology Management","DOI":"10.1016/j.jengtecman.2015.08.008","ISSN":"0923-4748","journalAbbreviation":"Journal of Engineering and Technology Management","language":"en","page":"6-20","source":"ScienceDirect","title":"A typology of creative consumers in living labs","volume":"37","author":[{"family":"Leminen","given":"Seppo"},{"family":"Nyström","given":"Anna-Greta"},{"family":"Westerlund","given":"Mika"}],"issued":{"date-parts":[["2015",7,1]]}},"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(2015)</w:t>
      </w:r>
      <w:r w:rsidRPr="00F153F6">
        <w:rPr>
          <w:rFonts w:ascii="Times New Roman" w:hAnsi="Times New Roman" w:cs="Times New Roman"/>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argue that Living Lab networks include inter-organisational collaborations and single/dual Living Labs. Their later work describes three Living Lab network structures: a distributed multiplex network structure, distributed network structure, and centralised network structure. These structures construct the relationships among organisations constituting Living Labs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{"citationID":"PmsyUVvA","properties":{"formattedCitation":"(Leminen et al., 2016)","plainCitation":"(Leminen et al., 2016)","noteIndex":0},"citationItems":[{"id":342,"uris":["http://zotero.org/users/5709166/items/6E9ZI8A8"],"itemData":{"id":342,"type":"article-journal","abstract":"Purpose This study aims to focus on living labs as a means of achieving radical innovation by discussing the differences in their network structure and its effect on the type of innovation outcome. Design/methodology/approach This research analyses 24 living labs in four countries using qualitative methods. Findings A specific network structure referred to as a distributed multiplex supports radical innovation in living labs, while distributed and centralized network structures support incremental innovations. Also, the results suggest that radical innovation depends on the driving actor and objectives in a living lab. Research limitations/implications A bias on the perceived novelty of innovation may exist when analyzing data collected through interviews with a limited number of living lab participants compared to a large number of informants. This study proposes a two-dimensional framework based on the network structure to investigate innovation in living labs. Practical implications This paper offers a classification tool to identify, categorize and make sense of organizations’ participation in open innovation networks and in living labs. Originality/value The study provides evidence that, although the distributed multiplex network structure supports the emergence of radical innovations, the distributed and centralized network structures support incremental innovation. A combination of a provider- or utilizer-driven living lab and a distributed multiplex network structure, with a clearly defined and future-oriented strategic objective, offers good potential for radical innovation to occur.","container-title":"Journal of Business &amp; Industrial Marketing","DOI":"10.1108/JBIM-10-2012-0179","ISSN":"0885-8624","issue":"6","page":"743-757","source":"Emerald Insight","title":"The effect of network structure on radical innovation in living labs","volume":"31","author":[{"family":"Leminen","given":"Seppo"},{"family":"Nyström","given":"Anna-Greta"},{"family":"Westerlund","given":"Mika"},{"family":"Kortelainen","given":"Mika J."}],"issued":{"date-parts":[["2016",1,1]]}}}],"schema":"https://github.com/citation-style-language/schema/raw/master/csl-citation.json"}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(Leminen et al., 2016)</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w:t>
      </w:r>
    </w:p>
    <w:p w14:paraId="2D74AD7C" w14:textId="539BBC3A"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iCs/>
          <w:color w:val="000000" w:themeColor="text1"/>
          <w:sz w:val="24"/>
          <w:szCs w:val="24"/>
        </w:rPr>
        <w:lastRenderedPageBreak/>
        <w:t xml:space="preserve">The Living Lab concept is </w:t>
      </w:r>
      <w:r w:rsidR="009E32A5" w:rsidRPr="00F153F6">
        <w:rPr>
          <w:rFonts w:ascii="Times New Roman" w:eastAsiaTheme="minorEastAsia" w:hAnsi="Times New Roman" w:cs="Times New Roman"/>
          <w:iCs/>
          <w:color w:val="000000" w:themeColor="text1"/>
          <w:sz w:val="24"/>
          <w:szCs w:val="24"/>
        </w:rPr>
        <w:t>also</w:t>
      </w:r>
      <w:r w:rsidRPr="00F153F6">
        <w:rPr>
          <w:rFonts w:ascii="Times New Roman" w:eastAsiaTheme="minorEastAsia" w:hAnsi="Times New Roman" w:cs="Times New Roman"/>
          <w:iCs/>
          <w:color w:val="000000" w:themeColor="text1"/>
          <w:sz w:val="24"/>
          <w:szCs w:val="24"/>
        </w:rPr>
        <w:t xml:space="preserve"> argued </w:t>
      </w:r>
      <w:r w:rsidR="009E32A5" w:rsidRPr="00F153F6">
        <w:rPr>
          <w:rFonts w:ascii="Times New Roman" w:eastAsiaTheme="minorEastAsia" w:hAnsi="Times New Roman" w:cs="Times New Roman"/>
          <w:iCs/>
          <w:color w:val="000000" w:themeColor="text1"/>
          <w:sz w:val="24"/>
          <w:szCs w:val="24"/>
        </w:rPr>
        <w:t xml:space="preserve">as an </w:t>
      </w:r>
      <w:r w:rsidR="009E32A5" w:rsidRPr="00F153F6">
        <w:rPr>
          <w:rFonts w:ascii="Times New Roman" w:eastAsiaTheme="minorEastAsia" w:hAnsi="Times New Roman" w:cs="Times New Roman"/>
          <w:i/>
          <w:color w:val="000000" w:themeColor="text1"/>
          <w:sz w:val="24"/>
          <w:szCs w:val="24"/>
        </w:rPr>
        <w:t>approach</w:t>
      </w:r>
      <w:r w:rsidR="009E32A5" w:rsidRPr="00F153F6">
        <w:rPr>
          <w:rFonts w:ascii="Times New Roman" w:eastAsiaTheme="minorEastAsia" w:hAnsi="Times New Roman" w:cs="Times New Roman"/>
          <w:iCs/>
          <w:color w:val="000000" w:themeColor="text1"/>
          <w:sz w:val="24"/>
          <w:szCs w:val="24"/>
        </w:rPr>
        <w:t xml:space="preserve"> or</w:t>
      </w:r>
      <w:r w:rsidRPr="00F153F6">
        <w:rPr>
          <w:rFonts w:ascii="Times New Roman" w:eastAsiaTheme="minorEastAsia" w:hAnsi="Times New Roman" w:cs="Times New Roman"/>
          <w:iCs/>
          <w:color w:val="000000" w:themeColor="text1"/>
          <w:sz w:val="24"/>
          <w:szCs w:val="24"/>
        </w:rPr>
        <w:t xml:space="preserve"> an organisation-specific methodology through which inter-organisational co-creation activities take place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{"citationID":"qh5Bp12R","properties":{"formattedCitation":"(Malmberg et al., 2017)","plainCitation":"(Malmberg et al., 2017)","noteIndex":0},"citationItems":[{"id":1932,"uris":["http://zotero.org/users/5709166/items/N232RVUA"],"itemData":{"id":1932,"type":"article-journal","abstract":"Top experts in Living Lab research and practice from the European Network of Living Labs (ENoLL) have contributed to the Living Lab Methodology Handbook by sharing their knowledge on the most recent findings on the topic. This handbook introduces research background and serves as a practical guidance for researchers and practitioners on Living Lab methodologies, co-creation and user engagement. It also aims to inspire the reader with the lessons learned from thorough research together with practical experiences from real-life cases. The handbook is specifically focusing on the topical area of Internet of Things, and explains how the Living Lab approach can greatly support the research and development activities in that area.\n\nThis handbook was initiated under the coordination and support action “User Engagement for Large Scale Pilots in the Internet of Things” (U4IoT) that provides online and offline toolkits, workshops and other forms of support to actively engage end-users and citizens in the pilot projects of European IoT Large-scale pilots programme. This project has received funding from the European Union’s Horizon 2020 research and innovation programme and the Swiss State Secretariat for Education, Research and Innovation under grant agreement No 732078.","DOI":"10.5281/ZENODO.1146321","language":"en","license":"Creative Commons Attribution 4.0, Open Access","source":"DOI.org (Datacite)","title":"Living Lab Methodology Handbook","URL":"https://zenodo.org/record/1146321","author":[{"family":"Malmberg","given":"Katariina"},{"family":"Vaittinen","given":"Ines"},{"family":"Evans","given":"Penny"},{"family":"Schuurman","given":"Dimitri"},{"family":"Ståhlbröst","given":"Anna"},{"family":"Vervoort","given":"Koen"}],"accessed":{"date-parts":[["2019",11,26]]},"issued":{"date-parts":[["2017",10,16]]}}}],"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(Malmberg et al., 2017)</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Living Lab</w:t>
      </w:r>
      <w:r w:rsidR="009E32A5" w:rsidRPr="00F153F6">
        <w:rPr>
          <w:rFonts w:ascii="Times New Roman" w:eastAsiaTheme="minorEastAsia" w:hAnsi="Times New Roman" w:cs="Times New Roman"/>
          <w:iCs/>
          <w:color w:val="000000" w:themeColor="text1"/>
          <w:sz w:val="24"/>
          <w:szCs w:val="24"/>
        </w:rPr>
        <w:t xml:space="preserve"> approach</w:t>
      </w:r>
      <w:r w:rsidRPr="00F153F6">
        <w:rPr>
          <w:rFonts w:ascii="Times New Roman" w:eastAsiaTheme="minorEastAsia" w:hAnsi="Times New Roman" w:cs="Times New Roman"/>
          <w:iCs/>
          <w:color w:val="000000" w:themeColor="text1"/>
          <w:sz w:val="24"/>
          <w:szCs w:val="24"/>
        </w:rPr>
        <w:t xml:space="preserve"> stimulate co-creation by involving multiple stakeholder groups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{"citationID":"lXudZeMv","properties":{"formattedCitation":"(Franz, 2015)","plainCitation":"(Franz, 2015)","noteIndex":0},"citationItems":[{"id":340,"uris":["http://zotero.org/users/5709166/items/SAGTEJI3"],"itemData":{"id":340,"type":"article-journal","abstract":"Purpose The purpose of this paper is to develop a more socially centred understanding of living labs for urban research questions by reflecting on current technologically centred and innovation-driven approaches. Design/methodology/approach The paper takes the form of literature review complemented by conceptual knowledge from practical experiences. Findings Urban living labs, as they were introduced from a technological and economic point of view, have to be translated into the context of social sciences. By doing so, they may be a promising tool to stimulate co-creation and collaboration also in urban research projects that focus on social research questions and include diverse target groups. Socially centred living labs take into account the local context by developing a space of encounter for the participants in the urban living lab and by implementing a set of living methods that suit both the research design and the local requirements. Originality/value This paper argues that urban living labs can be a valuable tool in urban research to include researchers, politicians, local stakeholders and residents in an open concept of co-creation. It argues that a locally contextualised design in terms of space and methods is necessary to create an environment of trust and collaboration.","container-title":"info","DOI":"10.1108/info-01-2015-0008","ISSN":"1463-6697","issue":"4","page":"53-66","source":"Emerald Insight","title":"Designing social living labs in urban research","volume":"17","author":[{"family":"Franz","given":"Yvonne"}],"editor":[{"family":"Dr Pieter Ballon","given":"Mr Dimitri Schuurman"}],"issued":{"date-parts":[["2015",1,1]]}}}],"schema":"https://github.com/citation-style-language/schema/raw/master/csl-citation.json"}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(Franz, 2015)</w:t>
      </w:r>
      <w:r w:rsidRPr="00F153F6">
        <w:rPr>
          <w:rFonts w:ascii="Times New Roman" w:eastAsiaTheme="minorEastAsia" w:hAnsi="Times New Roman" w:cs="Times New Roman"/>
          <w:iCs/>
          <w:color w:val="000000" w:themeColor="text1"/>
          <w:sz w:val="24"/>
          <w:szCs w:val="24"/>
        </w:rPr>
        <w:fldChar w:fldCharType="end"/>
      </w:r>
      <w:r w:rsidR="009E32A5" w:rsidRPr="00F153F6">
        <w:rPr>
          <w:rFonts w:ascii="Times New Roman" w:eastAsiaTheme="minorEastAsia" w:hAnsi="Times New Roman" w:cs="Times New Roman"/>
          <w:iCs/>
          <w:color w:val="000000" w:themeColor="text1"/>
          <w:sz w:val="24"/>
          <w:szCs w:val="24"/>
        </w:rPr>
        <w:t>. People who adopt the approach attempt to cultivate</w:t>
      </w:r>
      <w:r w:rsidRPr="00F153F6">
        <w:rPr>
          <w:rFonts w:ascii="Times New Roman" w:eastAsiaTheme="minorEastAsia" w:hAnsi="Times New Roman" w:cs="Times New Roman"/>
          <w:iCs/>
          <w:color w:val="000000" w:themeColor="text1"/>
          <w:sz w:val="24"/>
          <w:szCs w:val="24"/>
        </w:rPr>
        <w:t xml:space="preserve"> a structured environment for innovation</w:t>
      </w:r>
      <w:r w:rsidR="009E32A5" w:rsidRPr="00F153F6">
        <w:rPr>
          <w:rFonts w:ascii="Times New Roman" w:eastAsiaTheme="minorEastAsia" w:hAnsi="Times New Roman" w:cs="Times New Roman"/>
          <w:iCs/>
          <w:color w:val="000000" w:themeColor="text1"/>
          <w:sz w:val="24"/>
          <w:szCs w:val="24"/>
        </w:rPr>
        <w:t xml:space="preserve">, and </w:t>
      </w:r>
      <w:r w:rsidRPr="00F153F6">
        <w:rPr>
          <w:rFonts w:ascii="Times New Roman" w:eastAsiaTheme="minorEastAsia" w:hAnsi="Times New Roman" w:cs="Times New Roman"/>
          <w:iCs/>
          <w:color w:val="000000" w:themeColor="text1"/>
          <w:sz w:val="24"/>
          <w:szCs w:val="24"/>
        </w:rPr>
        <w:t xml:space="preserve">inviting and engaging with end users through </w:t>
      </w:r>
      <w:r w:rsidR="009E32A5" w:rsidRPr="00F153F6">
        <w:rPr>
          <w:rFonts w:ascii="Times New Roman" w:eastAsiaTheme="minorEastAsia" w:hAnsi="Times New Roman" w:cs="Times New Roman"/>
          <w:iCs/>
          <w:color w:val="000000" w:themeColor="text1"/>
          <w:sz w:val="24"/>
          <w:szCs w:val="24"/>
        </w:rPr>
        <w:t xml:space="preserve">co-creation </w:t>
      </w:r>
      <w:r w:rsidRPr="00F153F6">
        <w:rPr>
          <w:rFonts w:ascii="Times New Roman" w:eastAsiaTheme="minorEastAsia" w:hAnsi="Times New Roman" w:cs="Times New Roman"/>
          <w:iCs/>
          <w:color w:val="000000" w:themeColor="text1"/>
          <w:sz w:val="24"/>
          <w:szCs w:val="24"/>
        </w:rPr>
        <w:t>activities</w:t>
      </w:r>
      <w:r w:rsidRPr="00F153F6">
        <w:rPr>
          <w:rFonts w:ascii="Times New Roman" w:hAnsi="Times New Roman" w:cs="Times New Roman"/>
          <w:color w:val="000000" w:themeColor="text1"/>
          <w:sz w:val="24"/>
          <w:szCs w:val="24"/>
        </w:rPr>
        <w:t xml:space="preserve"> (Dell’Era &amp; Landoni,</w:t>
      </w:r>
      <w:r w:rsidRPr="00F153F6">
        <w:rPr>
          <w:rFonts w:ascii="Times New Roman" w:eastAsiaTheme="minorEastAsia" w:hAnsi="Times New Roman" w:cs="Times New Roman"/>
          <w:iCs/>
          <w:color w:val="000000" w:themeColor="text1"/>
          <w:sz w:val="24"/>
          <w:szCs w:val="24"/>
        </w:rPr>
        <w:t xml:space="preserve">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{"citationID":"QBso0xW2","properties":{"formattedCitation":"(2014)","plainCitation":"(2014)","noteIndex":0},"citationItems":[{"id":358,"uris":["http://zotero.org/users/5709166/items/WIVUIVX2"],"itemData":{"id":358,"type":"article-journal","abstract":"Living Labs have received limited attention in the literature despite their diffusion throughout Europe and recent interest from policy makers. This limited attention is linked to the newness of the phenomenon, the high heterogeneity of cases and the consequent lack of definitions and acknowledged frameworks for scholarly analyses. In this work, we argue that the originality of the Living Lab phenomenon resides in the introduction of a new methodology. Using an analysis of the literature and case studies, we propose a new definition, position this methodology among other design methodologies and highlight its peculiarities. We underline the co-creative potentialities, the awareness of users and the real-life settings. Furthermore, our case-based research allows us to identify four different specifications for this methodology, and therefore four different types of Living Labs, based on the openness of the user involvement and the adopted platform technology.","container-title":"Creativity and Innovation Management","DOI":"10.1111/caim.12061","ISSN":"1467-8691","issue":"2","language":"en","page":"137-154","source":"Wiley Online Library","title":"Living Lab: A Methodology between User-Centred Design and Participatory Design","title-short":"Living Lab","volume":"23","author":[{"family":"Dell'Era","given":"Claudio"},{"family":"Landoni","given":"Paolo"}],"issued":{"date-parts":[["2014"]]}},"suppress-author":true}],"schema":"https://github.com/citation-style-language/schema/raw/master/csl-citation.json"}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(2014)</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Such a structured environment is composed of a number of key features that several studies have in recent years attempted to map, which are summarised below in Table 2.</w:t>
      </w:r>
      <w:r w:rsidR="00643D53" w:rsidRPr="00F153F6">
        <w:rPr>
          <w:rFonts w:ascii="Times New Roman" w:eastAsiaTheme="minorEastAsia" w:hAnsi="Times New Roman" w:cs="Times New Roman"/>
          <w:iCs/>
          <w:color w:val="000000" w:themeColor="text1"/>
          <w:sz w:val="24"/>
          <w:szCs w:val="24"/>
        </w:rPr>
        <w:t>5</w:t>
      </w:r>
      <w:r w:rsidRPr="00F153F6">
        <w:rPr>
          <w:rFonts w:ascii="Times New Roman" w:eastAsiaTheme="minorEastAsia" w:hAnsi="Times New Roman" w:cs="Times New Roman"/>
          <w:iCs/>
          <w:color w:val="000000" w:themeColor="text1"/>
          <w:sz w:val="24"/>
          <w:szCs w:val="24"/>
        </w:rPr>
        <w:t>.</w:t>
      </w:r>
    </w:p>
    <w:p w14:paraId="70304423" w14:textId="77777777"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p>
    <w:p w14:paraId="5FE39919" w14:textId="06C74D0B" w:rsidR="00D345CD" w:rsidRPr="00F153F6" w:rsidRDefault="00D345CD" w:rsidP="00D345CD">
      <w:pPr>
        <w:pStyle w:val="Caption"/>
        <w:keepNext/>
        <w:rPr>
          <w:rFonts w:ascii="Times New Roman" w:hAnsi="Times New Roman" w:cs="Times New Roman"/>
          <w:i w:val="0"/>
          <w:iCs w:val="0"/>
          <w:color w:val="auto"/>
          <w:sz w:val="22"/>
          <w:szCs w:val="22"/>
        </w:rPr>
      </w:pPr>
      <w:bookmarkStart w:id="252" w:name="_Toc119448006"/>
      <w:r w:rsidRPr="00F153F6">
        <w:rPr>
          <w:rFonts w:ascii="Times New Roman" w:hAnsi="Times New Roman" w:cs="Times New Roman"/>
          <w:i w:val="0"/>
          <w:iCs w:val="0"/>
          <w:color w:val="auto"/>
          <w:sz w:val="22"/>
          <w:szCs w:val="22"/>
        </w:rPr>
        <w:t xml:space="preserve">Table 2.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Table_2.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5</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Key characteristics of Living Labs</w:t>
      </w:r>
      <w:bookmarkEnd w:id="252"/>
    </w:p>
    <w:tbl>
      <w:tblPr>
        <w:tblW w:w="0" w:type="auto"/>
        <w:tblBorders>
          <w:top w:val="single" w:sz="4" w:space="0" w:color="7F7F7F" w:themeColor="text1" w:themeTint="80"/>
          <w:bottom w:val="single" w:sz="4" w:space="0" w:color="7F7F7F" w:themeColor="text1" w:themeTint="80"/>
          <w:insideH w:val="single" w:sz="4" w:space="0" w:color="auto"/>
        </w:tblBorders>
        <w:tblLook w:val="04A0" w:firstRow="1" w:lastRow="0" w:firstColumn="1" w:lastColumn="0" w:noHBand="0" w:noVBand="1"/>
      </w:tblPr>
      <w:tblGrid>
        <w:gridCol w:w="1985"/>
        <w:gridCol w:w="2977"/>
        <w:gridCol w:w="4064"/>
      </w:tblGrid>
      <w:tr w:rsidR="002C1A2F" w:rsidRPr="00F153F6" w14:paraId="0A2A24EA" w14:textId="77777777" w:rsidTr="004B42EA">
        <w:tc>
          <w:tcPr>
            <w:tcW w:w="1985" w:type="dxa"/>
            <w:hideMark/>
          </w:tcPr>
          <w:p w14:paraId="186BE693" w14:textId="77777777" w:rsidR="002C1A2F" w:rsidRPr="00F153F6" w:rsidRDefault="002C1A2F" w:rsidP="004424B4">
            <w:pPr>
              <w:spacing w:after="0" w:line="360" w:lineRule="auto"/>
              <w:jc w:val="both"/>
              <w:rPr>
                <w:rFonts w:ascii="Times New Roman" w:eastAsiaTheme="minorEastAsia" w:hAnsi="Times New Roman" w:cs="Times New Roman"/>
                <w:b/>
                <w:bCs/>
                <w:iCs/>
                <w:color w:val="000000" w:themeColor="text1"/>
                <w:sz w:val="24"/>
                <w:szCs w:val="24"/>
              </w:rPr>
            </w:pPr>
            <w:bookmarkStart w:id="253" w:name="OLE_LINK34"/>
            <w:bookmarkStart w:id="254" w:name="OLE_LINK35"/>
            <w:r w:rsidRPr="00F153F6">
              <w:rPr>
                <w:rFonts w:ascii="Times New Roman" w:eastAsiaTheme="minorEastAsia" w:hAnsi="Times New Roman" w:cs="Times New Roman"/>
                <w:b/>
                <w:bCs/>
                <w:iCs/>
                <w:color w:val="000000" w:themeColor="text1"/>
                <w:sz w:val="24"/>
                <w:szCs w:val="24"/>
              </w:rPr>
              <w:t>Key Characteristics</w:t>
            </w:r>
          </w:p>
        </w:tc>
        <w:tc>
          <w:tcPr>
            <w:tcW w:w="2977" w:type="dxa"/>
            <w:hideMark/>
          </w:tcPr>
          <w:p w14:paraId="7E7950E4" w14:textId="77777777" w:rsidR="002C1A2F" w:rsidRPr="00F153F6" w:rsidRDefault="002C1A2F" w:rsidP="004424B4">
            <w:pPr>
              <w:spacing w:after="0" w:line="360" w:lineRule="auto"/>
              <w:jc w:val="both"/>
              <w:rPr>
                <w:rFonts w:ascii="Times New Roman" w:eastAsiaTheme="minorEastAsia" w:hAnsi="Times New Roman" w:cs="Times New Roman"/>
                <w:b/>
                <w:bCs/>
                <w:iCs/>
                <w:color w:val="000000" w:themeColor="text1"/>
                <w:sz w:val="24"/>
                <w:szCs w:val="24"/>
              </w:rPr>
            </w:pPr>
            <w:r w:rsidRPr="00F153F6">
              <w:rPr>
                <w:rFonts w:ascii="Times New Roman" w:eastAsiaTheme="minorEastAsia" w:hAnsi="Times New Roman" w:cs="Times New Roman"/>
                <w:b/>
                <w:bCs/>
                <w:iCs/>
                <w:color w:val="000000" w:themeColor="text1"/>
                <w:sz w:val="24"/>
                <w:szCs w:val="24"/>
              </w:rPr>
              <w:t>Brief implications</w:t>
            </w:r>
          </w:p>
        </w:tc>
        <w:tc>
          <w:tcPr>
            <w:tcW w:w="4064" w:type="dxa"/>
            <w:hideMark/>
          </w:tcPr>
          <w:p w14:paraId="0F214393" w14:textId="77777777" w:rsidR="002C1A2F" w:rsidRPr="00F153F6" w:rsidRDefault="002C1A2F" w:rsidP="004424B4">
            <w:pPr>
              <w:spacing w:after="0" w:line="360" w:lineRule="auto"/>
              <w:jc w:val="both"/>
              <w:rPr>
                <w:rFonts w:ascii="Times New Roman" w:eastAsiaTheme="minorEastAsia" w:hAnsi="Times New Roman" w:cs="Times New Roman"/>
                <w:b/>
                <w:bCs/>
                <w:iCs/>
                <w:color w:val="000000" w:themeColor="text1"/>
                <w:sz w:val="24"/>
                <w:szCs w:val="24"/>
              </w:rPr>
            </w:pPr>
            <w:r w:rsidRPr="00F153F6">
              <w:rPr>
                <w:rFonts w:ascii="Times New Roman" w:eastAsiaTheme="minorEastAsia" w:hAnsi="Times New Roman" w:cs="Times New Roman"/>
                <w:b/>
                <w:bCs/>
                <w:iCs/>
                <w:color w:val="000000" w:themeColor="text1"/>
                <w:sz w:val="24"/>
                <w:szCs w:val="24"/>
              </w:rPr>
              <w:t>References</w:t>
            </w:r>
          </w:p>
        </w:tc>
      </w:tr>
      <w:tr w:rsidR="002C1A2F" w:rsidRPr="00F153F6" w14:paraId="32141E1E" w14:textId="77777777" w:rsidTr="004B42EA">
        <w:tc>
          <w:tcPr>
            <w:tcW w:w="1985" w:type="dxa"/>
            <w:hideMark/>
          </w:tcPr>
          <w:p w14:paraId="0DD6D591" w14:textId="77777777" w:rsidR="002C1A2F" w:rsidRPr="00F153F6" w:rsidRDefault="002C1A2F" w:rsidP="004424B4">
            <w:pPr>
              <w:spacing w:after="0" w:line="360" w:lineRule="auto"/>
              <w:jc w:val="both"/>
              <w:rPr>
                <w:rFonts w:ascii="Times New Roman" w:eastAsiaTheme="minorEastAsia" w:hAnsi="Times New Roman" w:cs="Times New Roman"/>
                <w:i/>
                <w:color w:val="000000" w:themeColor="text1"/>
              </w:rPr>
            </w:pPr>
            <w:r w:rsidRPr="00F153F6">
              <w:rPr>
                <w:rFonts w:ascii="Times New Roman" w:eastAsiaTheme="minorEastAsia" w:hAnsi="Times New Roman" w:cs="Times New Roman"/>
                <w:i/>
                <w:color w:val="000000" w:themeColor="text1"/>
              </w:rPr>
              <w:t xml:space="preserve">Real life settings </w:t>
            </w:r>
          </w:p>
        </w:tc>
        <w:tc>
          <w:tcPr>
            <w:tcW w:w="2977" w:type="dxa"/>
            <w:hideMark/>
          </w:tcPr>
          <w:p w14:paraId="05CBC3C4" w14:textId="77777777" w:rsidR="002C1A2F" w:rsidRPr="00F153F6" w:rsidRDefault="002C1A2F" w:rsidP="004424B4">
            <w:pPr>
              <w:spacing w:after="0" w:line="360" w:lineRule="auto"/>
              <w:jc w:val="both"/>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User’s real living environment</w:t>
            </w:r>
          </w:p>
        </w:tc>
        <w:tc>
          <w:tcPr>
            <w:tcW w:w="4064" w:type="dxa"/>
            <w:hideMark/>
          </w:tcPr>
          <w:p w14:paraId="7521F07F" w14:textId="77777777" w:rsidR="002C1A2F" w:rsidRPr="00F153F6" w:rsidRDefault="002C1A2F" w:rsidP="004424B4">
            <w:pPr>
              <w:spacing w:after="0" w:line="360" w:lineRule="auto"/>
              <w:jc w:val="both"/>
              <w:rPr>
                <w:rFonts w:ascii="Times New Roman" w:eastAsiaTheme="minorEastAsia" w:hAnsi="Times New Roman" w:cs="Times New Roman"/>
                <w:iCs/>
                <w:color w:val="000000" w:themeColor="text1"/>
              </w:rPr>
            </w:pPr>
            <w:r w:rsidRPr="00F153F6">
              <w:rPr>
                <w:rFonts w:ascii="Times New Roman" w:hAnsi="Times New Roman" w:cs="Times New Roman"/>
                <w:color w:val="000000" w:themeColor="text1"/>
                <w:sz w:val="20"/>
                <w:szCs w:val="20"/>
              </w:rPr>
              <w:fldChar w:fldCharType="begin"/>
            </w:r>
            <w:r w:rsidRPr="00F153F6">
              <w:rPr>
                <w:rFonts w:ascii="Times New Roman" w:eastAsiaTheme="minorEastAsia" w:hAnsi="Times New Roman" w:cs="Times New Roman"/>
                <w:iCs/>
                <w:color w:val="000000" w:themeColor="text1"/>
              </w:rPr>
              <w:instrText xml:space="preserve"> ADDIN ZOTERO_ITEM CSL_CITATION {"citationID":"wAhor178","properties":{"formattedCitation":"(Dell\\uc0\\u8217{}Era &amp; Landoni, 2014; Hakkarainen &amp; Hyysalo, 2013; Hossain et al., 2019; Malmberg et al., 2017)","plainCitation":"(Dell’Era &amp; Landoni, 2014; Hakkarainen &amp; Hyysalo, 2013; Hossain et al., 2019; Malmberg et al., 2017)","noteIndex":0},"citationItems":[{"id":358,"uris":["http://zotero.org/users/5709166/items/WIVUIVX2"],"itemData":{"id":358,"type":"article-journal","abstract":"Living Labs have received limited attention in the literature despite their diffusion throughout Europe and recent interest from policy makers. This limited attention is linked to the newness of the phenomenon, the high heterogeneity of cases and the consequent lack of definitions and acknowledged frameworks for scholarly analyses. In this work, we argue that the originality of the Living Lab phenomenon resides in the introduction of a new methodology. Using an analysis of the literature and case studies, we propose a new definition, position this methodology among other design methodologies and highlight its peculiarities. We underline the co-creative potentialities, the awareness of users and the real-life settings. Furthermore, our case-based research allows us to identify four different specifications for this methodology, and therefore four different types of Living Labs, based on the openness of the user involvement and the adopted platform technology.","container-title":"Creativity and Innovation Management","DOI":"10.1111/caim.12061","ISSN":"1467-8691","issue":"2","language":"en","page":"137-154","source":"Wiley Online Library","title":"Living Lab: A Methodology between User-Centred Design and Participatory Design","title-short":"Living Lab","volume":"23","author":[{"family":"Dell'Era","given":"Claudio"},{"family":"Landoni","given":"Paolo"}],"issued":{"date-parts":[["2014"]]}}},{"id":351,"uris":["http://zotero.org/users/5709166/items/XASPIHC2"],"itemData":{"id":351,"type":"article-journal","container-title":"Technology Innovation Management Review","language":"en","page":"7","source":"Zotero","title":"How Do We Keep the Living Laboratory Alive? Learning and Conflicts in Living Lab Collaboration","author":[{"family":"Hakkarainen","given":"Louna"},{"family":"Hyysalo","given":"Sampsa"}],"issued":{"date-parts":[["2013"]]}}},{"id":2172,"uris":["http://zotero.org/users/5709166/items/BEMCWGRS"],"itemData":{"id":2172,"type":"article-journal","abstract":"A living lab is a physical or virtual space in which to solve societal challenges, especially for urban areas, by bringing together various stakeholders for collaboration and collective ideation. Although the notion has received increasing attention from scholars, practitioners and policy makers, its essence remains unclear to many. We therefore performed a systematic literature review of a sample of 114 scholarly articles about living labs to understand the central facets discussed in the nascent literature. In particular, we explored the origin of the living lab concept and its key paradigms and characteristics, including stakeholder roles, contexts, challenges, main outcomes, and sustainability. While doing this, we discovered that the number of publications about living labs has increased significantly since 2015, and several journals are very active in publishing articles on the topic. The living lab is considered a multidisciplinary phenomenon and it encompasses various research domains despite typically being discussed under open and user innovation paradigms. What is more, the existing literature views living labs simultaneously as landscapes, real-life environments, and methodologies, and it suggests that they include heterogeneous stakeholders and apply various business models, methods, tools and approaches. Finally, living labs face some challenges, such as temporality, governance, efficiency, user recruitment, sustainability, scalability and unpredictable outcomes. In contrast, the benefits include tangible and intangible innovation and a broader diversity of innovation. Based on our analysis, we provide some implications and suggestions for future research.","container-title":"Journal of Cleaner Production","DOI":"10.1016/j.jclepro.2018.12.257","ISSN":"0959-6526","journalAbbreviation":"Journal of Cleaner Production","language":"en","page":"976-988","source":"ScienceDirect","title":"A systematic review of living lab literature","volume":"213","author":[{"family":"Hossain","given":"Mokter"},{"family":"Leminen","given":"Seppo"},{"family":"Westerlund","given":"Mika"}],"issued":{"date-parts":[["2019",3,10]]}}},{"id":1932,"uris":["http://zotero.org/users/5709166/items/N232RVUA"],"itemData":{"id":1932,"type":"article-journal","abstract":"Top experts in Living Lab research and practice from the European Network of Living Labs (ENoLL) have contributed to the Living Lab Methodology Handbook by sharing their knowledge on the most recent findings on the topic. This handbook introduces research background and serves as a practical guidance for researchers and practitioners on Living Lab methodologies, co-creation and user engagement. It also aims to inspire the reader with the lessons learned from thorough research together with practical experiences from real-life cases. The handbook is specifically focusing on the topical area of Internet of Things, and explains how the Living Lab approach can greatly support the research and development activities in that area.\n\nThis handbook was initiated under the coordination and support action “User Engagement for Large Scale Pilots in the Internet of Things” (U4IoT) that provides online and offline toolkits, workshops and other forms of support to actively engage end-users and citizens in the pilot projects of European IoT Large-scale pilots programme. This project has received funding from the European Union’s Horizon 2020 research and innovation programme and the Swiss State Secretariat for Education, Research and Innovation under grant agreement No 732078.","DOI":"10.5281/ZENODO.1146321","language":"en","license":"Creative Commons Attribution 4.0, Open Access","source":"DOI.org (Datacite)","title":"Living Lab Methodology Handbook","URL":"https://zenodo.org/record/1146321","author":[{"family":"Malmberg","given":"Katariina"},{"family":"Vaittinen","given":"Ines"},{"family":"Evans","given":"Penny"},{"family":"Schuurman","given":"Dimitri"},{"family":"Ståhlbröst","given":"Anna"},{"family":"Vervoort","given":"Koen"}],"accessed":{"date-parts":[["2019",11,26]]},"issued":{"date-parts":[["2017",10,16]]}}}],"schema":"https://github.com/citation-style-language/schema/raw/master/csl-citation.json"} </w:instrText>
            </w:r>
            <w:r w:rsidRPr="00F153F6">
              <w:rPr>
                <w:rFonts w:ascii="Times New Roman" w:hAnsi="Times New Roman" w:cs="Times New Roman"/>
                <w:color w:val="000000" w:themeColor="text1"/>
                <w:sz w:val="20"/>
                <w:szCs w:val="20"/>
              </w:rPr>
              <w:fldChar w:fldCharType="separate"/>
            </w:r>
            <w:r w:rsidRPr="00F153F6">
              <w:rPr>
                <w:rFonts w:ascii="Times New Roman" w:hAnsi="Times New Roman" w:cs="Times New Roman"/>
                <w:color w:val="000000" w:themeColor="text1"/>
              </w:rPr>
              <w:t>(Dell’Era &amp; Landoni, 2014; Hakkarainen &amp; Hyysalo, 2013; Hossain et al., 2019; Malmberg et al., 2017)</w:t>
            </w:r>
            <w:r w:rsidRPr="00F153F6">
              <w:rPr>
                <w:rFonts w:ascii="Times New Roman" w:hAnsi="Times New Roman" w:cs="Times New Roman"/>
                <w:color w:val="000000" w:themeColor="text1"/>
                <w:sz w:val="20"/>
                <w:szCs w:val="20"/>
              </w:rPr>
              <w:fldChar w:fldCharType="end"/>
            </w:r>
          </w:p>
        </w:tc>
      </w:tr>
      <w:tr w:rsidR="002C1A2F" w:rsidRPr="00F153F6" w14:paraId="77472BC7" w14:textId="77777777" w:rsidTr="004B42EA">
        <w:tc>
          <w:tcPr>
            <w:tcW w:w="1985" w:type="dxa"/>
            <w:hideMark/>
          </w:tcPr>
          <w:p w14:paraId="48D4209E" w14:textId="77777777" w:rsidR="002C1A2F" w:rsidRPr="00F153F6" w:rsidRDefault="002C1A2F" w:rsidP="004424B4">
            <w:pPr>
              <w:spacing w:after="0" w:line="360" w:lineRule="auto"/>
              <w:jc w:val="both"/>
              <w:rPr>
                <w:rFonts w:ascii="Times New Roman" w:eastAsiaTheme="minorEastAsia" w:hAnsi="Times New Roman" w:cs="Times New Roman"/>
                <w:i/>
                <w:color w:val="000000" w:themeColor="text1"/>
              </w:rPr>
            </w:pPr>
            <w:r w:rsidRPr="00F153F6">
              <w:rPr>
                <w:rFonts w:ascii="Times New Roman" w:eastAsiaTheme="minorEastAsia" w:hAnsi="Times New Roman" w:cs="Times New Roman"/>
                <w:i/>
                <w:color w:val="000000" w:themeColor="text1"/>
              </w:rPr>
              <w:t>Stakeholder involvement</w:t>
            </w:r>
          </w:p>
        </w:tc>
        <w:tc>
          <w:tcPr>
            <w:tcW w:w="2977" w:type="dxa"/>
            <w:hideMark/>
          </w:tcPr>
          <w:p w14:paraId="0CF41E53" w14:textId="77777777" w:rsidR="002C1A2F" w:rsidRPr="00F153F6" w:rsidRDefault="002C1A2F" w:rsidP="004424B4">
            <w:pPr>
              <w:spacing w:after="0" w:line="360" w:lineRule="auto"/>
              <w:jc w:val="both"/>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Various stakeholders from different organisations get involved in the Living Labs</w:t>
            </w:r>
          </w:p>
        </w:tc>
        <w:tc>
          <w:tcPr>
            <w:tcW w:w="4064" w:type="dxa"/>
            <w:hideMark/>
          </w:tcPr>
          <w:p w14:paraId="0C3C103A" w14:textId="77777777" w:rsidR="002C1A2F" w:rsidRPr="00F153F6" w:rsidRDefault="002C1A2F" w:rsidP="004424B4">
            <w:pPr>
              <w:spacing w:after="0" w:line="360" w:lineRule="auto"/>
              <w:jc w:val="both"/>
              <w:rPr>
                <w:rFonts w:ascii="Times New Roman" w:eastAsiaTheme="minorEastAsia" w:hAnsi="Times New Roman" w:cs="Times New Roman"/>
                <w:iCs/>
                <w:color w:val="000000" w:themeColor="text1"/>
              </w:rPr>
            </w:pPr>
            <w:r w:rsidRPr="00F153F6">
              <w:rPr>
                <w:rFonts w:ascii="Times New Roman" w:hAnsi="Times New Roman" w:cs="Times New Roman"/>
                <w:color w:val="000000" w:themeColor="text1"/>
                <w:sz w:val="20"/>
                <w:szCs w:val="20"/>
              </w:rPr>
              <w:fldChar w:fldCharType="begin"/>
            </w:r>
            <w:r w:rsidRPr="00F153F6">
              <w:rPr>
                <w:rFonts w:ascii="Times New Roman" w:eastAsiaTheme="minorEastAsia" w:hAnsi="Times New Roman" w:cs="Times New Roman"/>
                <w:iCs/>
                <w:color w:val="000000" w:themeColor="text1"/>
              </w:rPr>
              <w:instrText xml:space="preserve"> ADDIN ZOTERO_ITEM CSL_CITATION {"citationID":"MNYQHphi","properties":{"formattedCitation":"(Ballon et al., 2015; Leminen et al., 2012; Malmberg et al., 2017; Veeckman et al., 2013; Westerlund &amp; Leminen, 2011)","plainCitation":"(Ballon et al., 2015; Leminen et al., 2012; Malmberg et al., 2017; Veeckman et al., 2013; Westerlund &amp; Leminen, 2011)","noteIndex":0},"citationItems":[{"id":349,"uris":["http://zotero.org/users/5709166/items/RIBLRHPS"],"itemData":{"id":349,"type":"book","abstract":"This e-book on \"Living labs: concepts, tools and cases\" comes 10 years after the first scientific publications that defined the notion of living labs, but more than 15 years after the appearance of the first living lab projects (Ballon et al, 2005; Eriksson et al., 2005). This 5-year gap demonstrates the extent to which living labs have been a practice-driven phenomenon. Right up to this day, they represent a pragmatic approach to innovation (of ICTs and other artefacts), characterised a.o. by experimentation in real-life and active involvement of users.While there is now a certain body of literature that attempts to clarify and analyse the concept (Følstad, 2008; Almirall et al., 2012; Leminen et al., 2012), living lab practices are still underresearched, and a theoretical and methodological gap continues to exist in terms of the restricted amount and visibility of living lab literature vis-à-vis the rather large community of practice (Schuurman, 2015). The present e-book aims to assist in filling that gap.","event-place":"Bingley, UNITED KINGDOM","ISBN":"978-1-78560-427-0","publisher":"Emerald Publishing Limited","publisher-place":"Bingley, UNITED KINGDOM","source":"ProQuest Ebook Central","title":"Living Labs: Concepts, Tools and Cases","title-short":"Living Labs","URL":"http://ebookcentral.proquest.com/lib/sheffield/detail.action?docID=2093108","author":[{"family":"Ballon","given":"Pieter"},{"family":"Schuurman","given":"Dimitri"},{"family":"Blackman","given":"Colin"}],"accessed":{"date-parts":[["2020",1,13]]},"issued":{"date-parts":[["2015"]]}}},{"id":470,"uris":["http://zotero.org/users/5709166/items/S9BSZJAT"],"itemData":{"id":470,"type":"article-journal","container-title":"Technology Innovation Management Review","language":"en","page":"7","source":"Zotero","title":"Living Labs as Open-Innovation Networks","author":[{"family":"Leminen","given":"Seppo"},{"family":"Westerlund","given":"Mika"},{"family":"Nyström","given":"Anna-Greta"}],"issued":{"date-parts":[["2012"]]}}},{"id":1932,"uris":["http://zotero.org/users/5709166/items/N232RVUA"],"itemData":{"id":1932,"type":"article-journal","abstract":"Top experts in Living Lab research and practice from the European Network of Living Labs (ENoLL) have contributed to the Living Lab Methodology Handbook by sharing their knowledge on the most recent findings on the topic. This handbook introduces research background and serves as a practical guidance for researchers and practitioners on Living Lab methodologies, co-creation and user engagement. It also aims to inspire the reader with the lessons learned from thorough research together with practical experiences from real-life cases. The handbook is specifically focusing on the topical area of Internet of Things, and explains how the Living Lab approach can greatly support the research and development activities in that area.\n\nThis handbook was initiated under the coordination and support action “User Engagement for Large Scale Pilots in the Internet of Things” (U4IoT) that provides online and offline toolkits, workshops and other forms of support to actively engage end-users and citizens in the pilot projects of European IoT Large-scale pilots programme. This project has received funding from the European Union’s Horizon 2020 research and innovation programme and the Swiss State Secretariat for Education, Research and Innovation under grant agreement No 732078.","DOI":"10.5281/ZENODO.1146321","language":"en","license":"Creative Commons Attribution 4.0, Open Access","source":"DOI.org (Datacite)","title":"Living Lab Methodology Handbook","URL":"https://zenodo.org/record/1146321","author":[{"family":"Malmberg","given":"Katariina"},{"family":"Vaittinen","given":"Ines"},{"family":"Evans","given":"Penny"},{"family":"Schuurman","given":"Dimitri"},{"family":"Ståhlbröst","given":"Anna"},{"family":"Vervoort","given":"Koen"}],"accessed":{"date-parts":[["2019",11,26]]},"issued":{"date-parts":[["2017",10,16]]}}},{"id":2175,"uris":["http://zotero.org/users/5709166/items/C3BLPRJS"],"itemData":{"id":2175,"type":"article-journal","container-title":"Technology Innovation Management Review","language":"en","page":"10","source":"Zotero","title":"Linking Living Lab Characteristics and Their Outcomes: Towards a Conceptual Framework","author":[{"family":"Veeckman","given":"Carina"},{"family":"Schuurman","given":"Dimitri"},{"family":"Leminen","given":"Seppo"},{"family":"Westerlund","given":"Mika"}],"issued":{"date-parts":[["2013"]]}}},{"id":348,"uris":["http://zotero.org/users/5709166/items/XM6LHSN5"],"itemData":{"id":348,"type":"article-journal","container-title":"Technology Innovation Management Review","language":"en","page":"7","source":"Zotero","title":"Managing the Challenges of Becoming an Open Innovation Company: Experiences from Living Labs","author":[{"family":"Westerlund","given":"Mika"},{"family":"Leminen","given":"Seppo"}],"issued":{"date-parts":[["2011"]]}}}],"schema":"https://github.com/citation-style-language/schema/raw/master/csl-citation.json"} </w:instrText>
            </w:r>
            <w:r w:rsidRPr="00F153F6">
              <w:rPr>
                <w:rFonts w:ascii="Times New Roman" w:hAnsi="Times New Roman" w:cs="Times New Roman"/>
                <w:color w:val="000000" w:themeColor="text1"/>
                <w:sz w:val="20"/>
                <w:szCs w:val="20"/>
              </w:rPr>
              <w:fldChar w:fldCharType="separate"/>
            </w:r>
            <w:r w:rsidRPr="00F153F6">
              <w:rPr>
                <w:rFonts w:ascii="Times New Roman" w:hAnsi="Times New Roman" w:cs="Times New Roman"/>
                <w:color w:val="000000" w:themeColor="text1"/>
              </w:rPr>
              <w:t>(Ballon et al., 2015; Leminen et al., 2012; Malmberg et al., 2017; Veeckman et al., 2013; Westerlund &amp; Leminen, 2011)</w:t>
            </w:r>
            <w:r w:rsidRPr="00F153F6">
              <w:rPr>
                <w:rFonts w:ascii="Times New Roman" w:hAnsi="Times New Roman" w:cs="Times New Roman"/>
                <w:color w:val="000000" w:themeColor="text1"/>
                <w:sz w:val="20"/>
                <w:szCs w:val="20"/>
              </w:rPr>
              <w:fldChar w:fldCharType="end"/>
            </w:r>
          </w:p>
        </w:tc>
      </w:tr>
      <w:tr w:rsidR="002C1A2F" w:rsidRPr="00F153F6" w14:paraId="05DE9316" w14:textId="77777777" w:rsidTr="004B42EA">
        <w:tc>
          <w:tcPr>
            <w:tcW w:w="1985" w:type="dxa"/>
            <w:hideMark/>
          </w:tcPr>
          <w:p w14:paraId="00675FAB" w14:textId="77777777" w:rsidR="002C1A2F" w:rsidRPr="00F153F6" w:rsidRDefault="002C1A2F" w:rsidP="004424B4">
            <w:pPr>
              <w:spacing w:after="0" w:line="360" w:lineRule="auto"/>
              <w:jc w:val="both"/>
              <w:rPr>
                <w:rFonts w:ascii="Times New Roman" w:eastAsiaTheme="minorEastAsia" w:hAnsi="Times New Roman" w:cs="Times New Roman"/>
                <w:i/>
                <w:color w:val="000000" w:themeColor="text1"/>
              </w:rPr>
            </w:pPr>
            <w:r w:rsidRPr="00F153F6">
              <w:rPr>
                <w:rFonts w:ascii="Times New Roman" w:eastAsiaTheme="minorEastAsia" w:hAnsi="Times New Roman" w:cs="Times New Roman"/>
                <w:i/>
                <w:color w:val="000000" w:themeColor="text1"/>
              </w:rPr>
              <w:t>Living lab activities</w:t>
            </w:r>
          </w:p>
        </w:tc>
        <w:tc>
          <w:tcPr>
            <w:tcW w:w="2977" w:type="dxa"/>
            <w:hideMark/>
          </w:tcPr>
          <w:p w14:paraId="18CDC5AA" w14:textId="77777777" w:rsidR="002C1A2F" w:rsidRPr="00F153F6" w:rsidRDefault="002C1A2F" w:rsidP="004424B4">
            <w:pPr>
              <w:spacing w:after="0" w:line="360" w:lineRule="auto"/>
              <w:jc w:val="both"/>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 xml:space="preserve">Innovation activities conducted by the Living Lab </w:t>
            </w:r>
          </w:p>
        </w:tc>
        <w:tc>
          <w:tcPr>
            <w:tcW w:w="4064" w:type="dxa"/>
            <w:hideMark/>
          </w:tcPr>
          <w:p w14:paraId="2924DA7C" w14:textId="77777777" w:rsidR="002C1A2F" w:rsidRPr="00F153F6" w:rsidRDefault="002C1A2F" w:rsidP="004424B4">
            <w:pPr>
              <w:spacing w:after="0" w:line="360" w:lineRule="auto"/>
              <w:jc w:val="both"/>
              <w:rPr>
                <w:rFonts w:ascii="Times New Roman" w:eastAsiaTheme="minorEastAsia" w:hAnsi="Times New Roman" w:cs="Times New Roman"/>
                <w:iCs/>
                <w:color w:val="000000" w:themeColor="text1"/>
              </w:rPr>
            </w:pPr>
            <w:r w:rsidRPr="00F153F6">
              <w:rPr>
                <w:rFonts w:ascii="Times New Roman" w:hAnsi="Times New Roman" w:cs="Times New Roman"/>
                <w:color w:val="000000" w:themeColor="text1"/>
                <w:sz w:val="20"/>
                <w:szCs w:val="20"/>
              </w:rPr>
              <w:fldChar w:fldCharType="begin"/>
            </w:r>
            <w:r w:rsidRPr="00F153F6">
              <w:rPr>
                <w:rFonts w:ascii="Times New Roman" w:eastAsiaTheme="minorEastAsia" w:hAnsi="Times New Roman" w:cs="Times New Roman"/>
                <w:iCs/>
                <w:color w:val="000000" w:themeColor="text1"/>
              </w:rPr>
              <w:instrText xml:space="preserve"> ADDIN ZOTERO_ITEM CSL_CITATION {"citationID":"BKtRUVTR","properties":{"formattedCitation":"(Almirall &amp; Wareham, 2008, 2011; Hossain et al., 2019; Leminen &amp; Westerlund, 2016)","plainCitation":"(Almirall &amp; Wareham, 2008, 2011; Hossain et al., 2019; Leminen &amp; Westerlund, 2016)","noteIndex":0},"citationItems":[{"id":346,"uris":["http://zotero.org/users/5709166/items/4EE7HZHW"],"itemData":{"id":346,"type":"webpage","abstract":"ResearchGate is a network dedicated to science and research. Connect, collaborate and discover scientific publications, jobs and conferences. All for free.","container-title":"ResearchGate","language":"en","title":"Living Labs and Open Innovation: Roles and Applicability","title-short":"(18) Living Labs and Open Innovation","URL":"https://www.researchgate.net/publication/272566792_Living_Labs_and_Open_Innovation_Roles_and_Applicability","author":[{"family":"Almirall","given":"Esteve"},{"family":"Wareham","given":"Jonathan"}],"accessed":{"date-parts":[["2020",1,14]]},"issued":{"date-parts":[["2008"]]}}},{"id":344,"uris":["http://zotero.org/users/5709166/items/U6B2D7II"],"itemData":{"id":344,"type":"article-journal","abstract":"We perform a comparative case analysis of four working Living Labs to identify their common functions. Theoretically, we ground our analysis in terms of how they function, their processes of exploration and exploitation, where they work in the innovation strata and how new socially negotiated meanings are negotiated and diffused. Our research highlights four novel insights: first, Living Labs function at the low- and mid-level innovation strata; second, Living Labs are technologically agnostic; third, Living Labs use context based experience to surface new, socially constructed meanings for products and services; and finally, Living Labs are equally focused on exploration and exploitation.","container-title":"Technology Analysis &amp; Strategic Management","DOI":"10.1080/09537325.2011.537110","ISSN":"0953-7325","issue":"1","page":"87-102","source":"Taylor and Francis+NEJM","title":"Living Labs: arbiters of mid- and ground-level innovation","title-short":"Living Labs","volume":"23","author":[{"family":"Almirall","given":"Esteve"},{"family":"Wareham","given":"Jonathan"}],"issued":{"date-parts":[["2011",1,1]]}}},{"id":2172,"uris":["http://zotero.org/users/5709166/items/BEMCWGRS"],"itemData":{"id":2172,"type":"article-journal","abstract":"A living lab is a physical or virtual space in which to solve societal challenges, especially for urban areas, by bringing together various stakeholders for collaboration and collective ideation. Although the notion has received increasing attention from scholars, practitioners and policy makers, its essence remains unclear to many. We therefore performed a systematic literature review of a sample of 114 scholarly articles about living labs to understand the central facets discussed in the nascent literature. In particular, we explored the origin of the living lab concept and its key paradigms and characteristics, including stakeholder roles, contexts, challenges, main outcomes, and sustainability. While doing this, we discovered that the number of publications about living labs has increased significantly since 2015, and several journals are very active in publishing articles on the topic. The living lab is considered a multidisciplinary phenomenon and it encompasses various research domains despite typically being discussed under open and user innovation paradigms. What is more, the existing literature views living labs simultaneously as landscapes, real-life environments, and methodologies, and it suggests that they include heterogeneous stakeholders and apply various business models, methods, tools and approaches. Finally, living labs face some challenges, such as temporality, governance, efficiency, user recruitment, sustainability, scalability and unpredictable outcomes. In contrast, the benefits include tangible and intangible innovation and a broader diversity of innovation. Based on our analysis, we provide some implications and suggestions for future research.","container-title":"Journal of Cleaner Production","DOI":"10.1016/j.jclepro.2018.12.257","ISSN":"0959-6526","journalAbbreviation":"Journal of Cleaner Production","language":"en","page":"976-988","source":"ScienceDirect","title":"A systematic review of living lab literature","volume":"213","author":[{"family":"Hossain","given":"Mokter"},{"family":"Leminen","given":"Seppo"},{"family":"Westerlund","given":"Mika"}],"issued":{"date-parts":[["2019",3,10]]}}},{"id":347,"uris":["http://zotero.org/users/5709166/items/P7B5ATRB"],"itemData":{"id":347,"type":"article-journal","abstract":"This study identifies eight prevailing research avenues of living labs, an increasingly popular innovation approach, based on a comprehensive literature review. So doing, the study contributes to the literature of living labs by discussing perspectives that scholars in the field have taken to understand living labs and by providing an integrative framework to position these perspectives as distinct research avenues. Moreover, the study shows that the identified avenues share the view of living labs as real-life environments and recognise the crucial role of users in innovation.","container-title":"International Journal of Technology Marketing","DOI":"10.1504/IJTMKT.2016.079731","ISSN":"1741-878X","issue":"4","journalAbbreviation":"International Journal of Technology Marketing","page":"399-420","source":"inderscienceonline.com (Atypon)","title":"A framework for understanding the different research avenues of living labs","volume":"11","author":[{"family":"Leminen","given":"Seppo"},{"family":"Westerlund","given":"Mika"}],"issued":{"date-parts":[["2016",1,1]]}}}],"schema":"https://github.com/citation-style-language/schema/raw/master/csl-citation.json"} </w:instrText>
            </w:r>
            <w:r w:rsidRPr="00F153F6">
              <w:rPr>
                <w:rFonts w:ascii="Times New Roman" w:hAnsi="Times New Roman" w:cs="Times New Roman"/>
                <w:color w:val="000000" w:themeColor="text1"/>
                <w:sz w:val="20"/>
                <w:szCs w:val="20"/>
              </w:rPr>
              <w:fldChar w:fldCharType="separate"/>
            </w:r>
            <w:r w:rsidRPr="00F153F6">
              <w:rPr>
                <w:rFonts w:ascii="Times New Roman" w:hAnsi="Times New Roman" w:cs="Times New Roman"/>
                <w:color w:val="000000" w:themeColor="text1"/>
              </w:rPr>
              <w:t>(Almirall &amp; Wareham, 2008, 2011; Hossain et al., 2019; Leminen &amp; Westerlund, 2016)</w:t>
            </w:r>
            <w:r w:rsidRPr="00F153F6">
              <w:rPr>
                <w:rFonts w:ascii="Times New Roman" w:hAnsi="Times New Roman" w:cs="Times New Roman"/>
                <w:color w:val="000000" w:themeColor="text1"/>
                <w:sz w:val="20"/>
                <w:szCs w:val="20"/>
              </w:rPr>
              <w:fldChar w:fldCharType="end"/>
            </w:r>
          </w:p>
        </w:tc>
      </w:tr>
      <w:tr w:rsidR="002C1A2F" w:rsidRPr="00F153F6" w14:paraId="2DF6297D" w14:textId="77777777" w:rsidTr="004B42EA">
        <w:tc>
          <w:tcPr>
            <w:tcW w:w="1985" w:type="dxa"/>
            <w:hideMark/>
          </w:tcPr>
          <w:p w14:paraId="46BD55FC" w14:textId="77777777" w:rsidR="002C1A2F" w:rsidRPr="00F153F6" w:rsidRDefault="002C1A2F" w:rsidP="004424B4">
            <w:pPr>
              <w:spacing w:after="0" w:line="360" w:lineRule="auto"/>
              <w:jc w:val="both"/>
              <w:rPr>
                <w:rFonts w:ascii="Times New Roman" w:eastAsiaTheme="minorEastAsia" w:hAnsi="Times New Roman" w:cs="Times New Roman"/>
                <w:i/>
                <w:color w:val="000000" w:themeColor="text1"/>
              </w:rPr>
            </w:pPr>
            <w:r w:rsidRPr="00F153F6">
              <w:rPr>
                <w:rFonts w:ascii="Times New Roman" w:eastAsiaTheme="minorEastAsia" w:hAnsi="Times New Roman" w:cs="Times New Roman"/>
                <w:i/>
                <w:color w:val="000000" w:themeColor="text1"/>
              </w:rPr>
              <w:t xml:space="preserve">Methods, tools and approaches </w:t>
            </w:r>
          </w:p>
        </w:tc>
        <w:tc>
          <w:tcPr>
            <w:tcW w:w="2977" w:type="dxa"/>
            <w:hideMark/>
          </w:tcPr>
          <w:p w14:paraId="689877B7" w14:textId="77777777" w:rsidR="002C1A2F" w:rsidRPr="00F153F6" w:rsidRDefault="002C1A2F" w:rsidP="004424B4">
            <w:pPr>
              <w:spacing w:after="0" w:line="360" w:lineRule="auto"/>
              <w:jc w:val="both"/>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User-centric methodology towards innovation</w:t>
            </w:r>
          </w:p>
        </w:tc>
        <w:tc>
          <w:tcPr>
            <w:tcW w:w="4064" w:type="dxa"/>
          </w:tcPr>
          <w:p w14:paraId="6F410F55" w14:textId="056D5000" w:rsidR="002C1A2F" w:rsidRPr="00F153F6" w:rsidRDefault="002C1A2F" w:rsidP="004424B4">
            <w:pPr>
              <w:spacing w:after="0" w:line="360" w:lineRule="auto"/>
              <w:jc w:val="both"/>
              <w:rPr>
                <w:rFonts w:ascii="Times New Roman" w:eastAsiaTheme="minorEastAsia" w:hAnsi="Times New Roman" w:cs="Times New Roman"/>
                <w:iCs/>
                <w:color w:val="000000" w:themeColor="text1"/>
              </w:rPr>
            </w:pPr>
            <w:r w:rsidRPr="00F153F6">
              <w:rPr>
                <w:rFonts w:ascii="Times New Roman" w:hAnsi="Times New Roman" w:cs="Times New Roman"/>
                <w:color w:val="000000" w:themeColor="text1"/>
                <w:sz w:val="20"/>
                <w:szCs w:val="20"/>
              </w:rPr>
              <w:fldChar w:fldCharType="begin"/>
            </w:r>
            <w:r w:rsidRPr="00F153F6">
              <w:rPr>
                <w:rFonts w:ascii="Times New Roman" w:eastAsiaTheme="minorEastAsia" w:hAnsi="Times New Roman" w:cs="Times New Roman"/>
                <w:iCs/>
                <w:color w:val="000000" w:themeColor="text1"/>
              </w:rPr>
              <w:instrText xml:space="preserve"> ADDIN ZOTERO_ITEM CSL_CITATION {"citationID":"xIP1QrHp","properties":{"formattedCitation":"(Bui, 2009; Dell\\uc0\\u8217{}Era &amp; Landoni, 2014; Franz, 2015; Kr\\uc0\\u246{}se et al., 2012; Veeckman et al., 2013)","plainCitation":"(Bui, 2009; Dell’Era &amp; Landoni, 2014; Franz, 2015; Kröse et al., 2012; Veeckman et al., 2013)","noteIndex":0},"citationItems":[{"id":357,"uris":["http://zotero.org/users/5709166/items/Y5QGHTVX"],"itemData":{"id":357,"type":"paper-conference","abstract":"Living Labs is a rather new research area and phenomena that introduces new ways of managing innovation processes. The underlying idea is that people’s ideas, experiences, and knowledge, as well as their daily needs of support from products, services, or applications, should be the starting point in innovation. This paper illuminates experiences and accumulated knowledge to the area of concept design in an innovation process within a Living Lab. FormIT, a methodology developed for innovation processes within Living Labs is introduced through an illustration of how it has been utilised in a case. The experiences and the method are related to characteristics of Living Labs, and the paper closes with some concluding remarks in relation to concept design in a Living Lab.","event-title":"Hawaii International Conference on System Sciences","language":"en","source":"DOI.org (Crossref)","title":"Concept Design with a Living Lab Approach","author":[{"family":"Bui","given":"Tung"}],"issued":{"date-parts":[["2009"]]}}},{"id":358,"uris":["http://zotero.org/users/5709166/items/WIVUIVX2"],"itemData":{"id":358,"type":"article-journal","abstract":"Living Labs have received limited attention in the literature despite their diffusion throughout Europe and recent interest from policy makers. This limited attention is linked to the newness of the phenomenon, the high heterogeneity of cases and the consequent lack of definitions and acknowledged frameworks for scholarly analyses. In this work, we argue that the originality of the Living Lab phenomenon resides in the introduction of a new methodology. Using an analysis of the literature and case studies, we propose a new definition, position this methodology among other design methodologies and highlight its peculiarities. We underline the co-creative potentialities, the awareness of users and the real-life settings. Furthermore, our case-based research allows us to identify four different specifications for this methodology, and therefore four different types of Living Labs, based on the openness of the user involvement and the adopted platform technology.","container-title":"Creativity and Innovation Management","DOI":"10.1111/caim.12061","ISSN":"1467-8691","issue":"2","language":"en","page":"137-154","source":"Wiley Online Library","title":"Living Lab: A Methodology between User-Centred Design and Participatory Design","title-short":"Living Lab","volume":"23","author":[{"family":"Dell'Era","given":"Claudio"},{"family":"Landoni","given":"Paolo"}],"issued":{"date-parts":[["2014"]]}}},{"id":340,"uris":["http://zotero.org/users/5709166/items/SAGTEJI3"],"itemData":{"id":340,"type":"article-journal","abstract":"Purpose The purpose of this paper is to develop a more socially centred understanding of living labs for urban research questions by reflecting on current technologically centred and innovation-driven approaches. Design/methodology/approach The paper takes the form of literature review complemented by conceptual knowledge from practical experiences. Findings Urban living labs, as they were introduced from a technological and economic point of view, have to be translated into the context of social sciences. By doing so, they may be a promising tool to stimulate co-creation and collaboration also in urban research projects that focus on social research questions and include diverse target groups. Socially centred living labs take into account the local context by developing a space of encounter for the participants in the urban living lab and by implementing a set of living methods that suit both the research design and the local requirements. Originality/value This paper argues that urban living labs can be a valuable tool in urban research to include researchers, politicians, local stakeholders and residents in an open concept of co-creation. It argues that a locally contextualised design in terms of space and methods is necessary to create an environment of trust and collaboration.","container-title":"info","DOI":"10.1108/info-01-2015-0008","ISSN":"1463-6697","issue":"4","page":"53-66","source":"Emerald Insight","title":"Designing social living labs in urban research","volume":"17","author":[{"family":"Franz","given":"Yvonne"}],"editor":[{"family":"Dr Pieter Ballon","given":"Mr Dimitri Schuurman"}],"issued":{"date-parts":[["2015",1,1]]}}},{"id":2176,"uris":["http://zotero.org/users/5709166/items/MD9NCYYN"],"itemData":{"id":2176,"type":"chapter","abstract":"The way that innovation is currently done requires a new research methodology that enables co-creation and frequent, iterative evaluation in realworld settings. This paper describes the employment of the living lab methodology that corresponds to this need. Particularly, this paper presents the way that the Amsterdam University of Applies Sciences (HvA) incorporates living labs in its educational program with a particular focus on ambient intelligence. A number of examples are given to illustrate its place in the university’s curriculum. Drawing on from this, problems and solutions are highlighted in a ‘lessons learned’ section.","container-title":"Ambient Intelligence","event-place":"Berlin, Heidelberg","ISBN":"978-3-642-34897-6","language":"en","note":"DOI: 10.1007/978-3-642-34898-3_27","page":"356-363","publisher":"Springer Berlin Heidelberg","publisher-place":"Berlin, Heidelberg","source":"Crossref","title":"Living Labs as Educational Tool for Ambient Intelligence","URL":"http://link.springer.com/10.1007/978-3-642-34898-3_27","volume":"7683","collection-editor":[{"family":"Hutchison","given":"David"},{"family":"Kanade","given":"Takeo"},{"family":"Kittler","given":"Josef"},{"family":"Kleinberg","given":"Jon M."},{"family":"Mattern","given":"Friedemann"},{"family":"Mitchell","given":"John C."},{"family":"Naor","given":"Moni"},{"family":"Nierstrasz","given":"Oscar"},{"family":"Pandu Rangan","given":"C."},{"family":"Steffen","given":"Bernhard"},{"family":"Sudan","given":"Madhu"},{"family":"Terzopoulos","given":"Demetri"},{"family":"Tygar","given":"Doug"},{"family":"Vardi","given":"Moshe Y."},{"family":"Weikum","given":"Gerhard"}],"editor":[{"family":"Paternò","given":"Fabio"},{"family":"Ruyter","given":"Boris","non-dropping-particle":"de"},{"family":"Markopoulos","given":"Panos"},{"family":"Santoro","given":"Carmen"},{"family":"Loenen","given":"Evert","non-dropping-particle":"van"},{"family":"Luyten","given":"Kris"}],"author":[{"family":"Kröse","given":"Ben"},{"family":"Veenstra","given":"Mettina"},{"family":"Robben","given":"Saskia"},{"family":"Kanis","given":"Marije"}],"accessed":{"date-parts":[["2019",12,15]]},"issued":{"date-parts":[["2012"]]}}},{"id":2175,"uris":["http://zotero.org/users/5709166/items/C3BLPRJS"],"itemData":{"id":2175,"type":"article-journal","container-title":"Technology Innovation Management Review","language":"en","page":"10","source":"Zotero","title":"Linking Living Lab Characteristics and Their Outcomes: Towards a Conceptual Framework","author":[{"family":"Veeckman","given":"Carina"},{"family":"Schuurman","given":"Dimitri"},{"family":"Leminen","given":"Seppo"},{"family":"Westerlund","given":"Mika"}],"issued":{"date-parts":[["2013"]]}}}],"schema":"https://github.com/citation-style-language/schema/raw/master/csl-citation.json"} </w:instrText>
            </w:r>
            <w:r w:rsidRPr="00F153F6">
              <w:rPr>
                <w:rFonts w:ascii="Times New Roman" w:hAnsi="Times New Roman" w:cs="Times New Roman"/>
                <w:color w:val="000000" w:themeColor="text1"/>
                <w:sz w:val="20"/>
                <w:szCs w:val="20"/>
              </w:rPr>
              <w:fldChar w:fldCharType="separate"/>
            </w:r>
            <w:r w:rsidRPr="00F153F6">
              <w:rPr>
                <w:rFonts w:ascii="Times New Roman" w:hAnsi="Times New Roman" w:cs="Times New Roman"/>
                <w:color w:val="000000" w:themeColor="text1"/>
              </w:rPr>
              <w:t>(Bui, 2009; Dell’Era &amp; Landoni, 2014; Franz, 2015; Kröse et al., 2012; Veeckman et al., 2013)</w:t>
            </w:r>
            <w:r w:rsidRPr="00F153F6">
              <w:rPr>
                <w:rFonts w:ascii="Times New Roman" w:hAnsi="Times New Roman" w:cs="Times New Roman"/>
                <w:color w:val="000000" w:themeColor="text1"/>
                <w:sz w:val="20"/>
                <w:szCs w:val="20"/>
              </w:rPr>
              <w:fldChar w:fldCharType="end"/>
            </w:r>
          </w:p>
        </w:tc>
      </w:tr>
      <w:tr w:rsidR="002C1A2F" w:rsidRPr="00F153F6" w14:paraId="74CC4A92" w14:textId="77777777" w:rsidTr="004B42EA">
        <w:tc>
          <w:tcPr>
            <w:tcW w:w="1985" w:type="dxa"/>
            <w:hideMark/>
          </w:tcPr>
          <w:p w14:paraId="57A272C1" w14:textId="77777777" w:rsidR="002C1A2F" w:rsidRPr="00F153F6" w:rsidRDefault="002C1A2F" w:rsidP="004424B4">
            <w:pPr>
              <w:spacing w:after="0" w:line="360" w:lineRule="auto"/>
              <w:jc w:val="both"/>
              <w:rPr>
                <w:rFonts w:ascii="Times New Roman" w:eastAsiaTheme="minorEastAsia" w:hAnsi="Times New Roman" w:cs="Times New Roman"/>
                <w:i/>
                <w:color w:val="000000" w:themeColor="text1"/>
              </w:rPr>
            </w:pPr>
            <w:r w:rsidRPr="00F153F6">
              <w:rPr>
                <w:rFonts w:ascii="Times New Roman" w:eastAsiaTheme="minorEastAsia" w:hAnsi="Times New Roman" w:cs="Times New Roman"/>
                <w:i/>
                <w:color w:val="000000" w:themeColor="text1"/>
              </w:rPr>
              <w:t>Outcomes</w:t>
            </w:r>
          </w:p>
        </w:tc>
        <w:tc>
          <w:tcPr>
            <w:tcW w:w="2977" w:type="dxa"/>
            <w:hideMark/>
          </w:tcPr>
          <w:p w14:paraId="0E1947DC" w14:textId="77777777" w:rsidR="002C1A2F" w:rsidRPr="00F153F6" w:rsidRDefault="002C1A2F" w:rsidP="004424B4">
            <w:pPr>
              <w:spacing w:after="0" w:line="360" w:lineRule="auto"/>
              <w:jc w:val="both"/>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Diverse results of Living Lab innovations</w:t>
            </w:r>
          </w:p>
        </w:tc>
        <w:tc>
          <w:tcPr>
            <w:tcW w:w="4064" w:type="dxa"/>
            <w:hideMark/>
          </w:tcPr>
          <w:p w14:paraId="7AE66C0E" w14:textId="77777777" w:rsidR="002C1A2F" w:rsidRPr="00F153F6" w:rsidRDefault="002C1A2F" w:rsidP="004424B4">
            <w:pPr>
              <w:spacing w:after="0" w:line="360" w:lineRule="auto"/>
              <w:jc w:val="both"/>
              <w:rPr>
                <w:rFonts w:ascii="Times New Roman" w:eastAsiaTheme="minorEastAsia" w:hAnsi="Times New Roman" w:cs="Times New Roman"/>
                <w:iCs/>
                <w:color w:val="000000" w:themeColor="text1"/>
              </w:rPr>
            </w:pPr>
            <w:r w:rsidRPr="00F153F6">
              <w:rPr>
                <w:rFonts w:ascii="Times New Roman" w:hAnsi="Times New Roman" w:cs="Times New Roman"/>
                <w:color w:val="000000" w:themeColor="text1"/>
                <w:sz w:val="20"/>
                <w:szCs w:val="20"/>
              </w:rPr>
              <w:fldChar w:fldCharType="begin"/>
            </w:r>
            <w:r w:rsidRPr="00F153F6">
              <w:rPr>
                <w:rFonts w:ascii="Times New Roman" w:eastAsiaTheme="minorEastAsia" w:hAnsi="Times New Roman" w:cs="Times New Roman"/>
                <w:iCs/>
                <w:color w:val="000000" w:themeColor="text1"/>
              </w:rPr>
              <w:instrText xml:space="preserve"> ADDIN ZOTERO_ITEM CSL_CITATION {"citationID":"JSSQmVBq","properties":{"formattedCitation":"(Ballon et al., 2015; Buhl et al., 2017; Hossain et al., 2019; Leminen et al., 2017; Mulder et al., 2008; Nystr\\uc0\\u246{}m et al., 2014; Rodrigues &amp; Franco, 2018; Veeckman et al., 2013)","plainCitation":"(Ballon et al., 2015; Buhl et al., 2017; Hossain et al., 2019; Leminen et al., 2017; Mulder et al., 2008; Nyström et al., 2014; Rodrigues &amp; Franco, 2018; Veeckman et al., 2013)","noteIndex":0},"citationItems":[{"id":349,"uris":["http://zotero.org/users/5709166/items/RIBLRHPS"],"itemData":{"id":349,"type":"book","abstract":"This e-book on \"Living labs: concepts, tools and cases\" comes 10 years after the first scientific publications that defined the notion of living labs, but more than 15 years after the appearance of the first living lab projects (Ballon et al, 2005; Eriksson et al., 2005). This 5-year gap demonstrates the extent to which living labs have been a practice-driven phenomenon. Right up to this day, they represent a pragmatic approach to innovation (of ICTs and other artefacts), characterised a.o. by experimentation in real-life and active involvement of users.While there is now a certain body of literature that attempts to clarify and analyse the concept (Følstad, 2008; Almirall et al., 2012; Leminen et al., 2012), living lab practices are still underresearched, and a theoretical and methodological gap continues to exist in terms of the restricted amount and visibility of living lab literature vis-à-vis the rather large community of practice (Schuurman, 2015). The present e-book aims to assist in filling that gap.","event-place":"Bingley, UNITED KINGDOM","ISBN":"978-1-78560-427-0","publisher":"Emerald Publishing Limited","publisher-place":"Bingley, UNITED KINGDOM","source":"ProQuest Ebook Central","title":"Living Labs: Concepts, Tools and Cases","title-short":"Living Labs","URL":"http://ebookcentral.proquest.com/lib/sheffield/detail.action?docID=2093108","author":[{"family":"Ballon","given":"Pieter"},{"family":"Schuurman","given":"Dimitri"},{"family":"Blackman","given":"Colin"}],"accessed":{"date-parts":[["2020",1,13]]},"issued":{"date-parts":[["2015"]]}}},{"id":339,"uris":["http://zotero.org/users/5709166/items/RFZWZERS"],"itemData":{"id":339,"type":"article-journal","abstract":"The effectiveness of sustainable product and service innovations is often restricted by limited market acceptance or unexpected consumption patterns. The latter includes rebound effects, which occur when resources liberated by savings are used for further consumption. Recently emerging research from the Living Lab is striving to address and anticipate challenges in innovation design by integrating users in prototyping and field testing product and service innovations. The paper presents findings from a literature review on rebound effects and expert interviews identifying methods to monitor and measures to mitigate rebound effects in early innovation design via Living Lab research. We find that monitoring and mitigating rebound effects in Living Lab research includes technological and behavioural triggers as well as socio-psychological and time use effects in addition to economic re-spending effects. The experts have confirmed that Living Labs contain the potential to observe complex demand systems of users within experimental designs, encompassing indirect rebound effects in terms of expenditure as well as time use. In this respect, Living Lab research can facilitate support for sustainable innovations, which aim to encourage changes in consumer behaviour, considering re-spending and time use effects simultaneously.","container-title":"Journal of Cleaner Production","DOI":"10.1016/j.jclepro.2017.03.001","ISSN":"0959-6526","journalAbbreviation":"Journal of Cleaner Production","language":"en","page":"592-602","source":"ScienceDirect","title":"Rebound effects in Living Labs: Opportunities for monitoring and mitigating re-spending and time use effects in user integrated innovation design","title-short":"Rebound effects in Living Labs","volume":"151","author":[{"family":"Buhl","given":"Johannes"},{"family":"Geibler","given":"Justus","dropping-particle":"von"},{"family":"Echternacht","given":"Laura"},{"family":"Linder","given":"Moritz"}],"issued":{"date-parts":[["2017",5,10]]}}},{"id":2172,"uris":["http://zotero.org/users/5709166/items/BEMCWGRS"],"itemData":{"id":2172,"type":"article-journal","abstract":"A living lab is a physical or virtual space in which to solve societal challenges, especially for urban areas, by bringing together various stakeholders for collaboration and collective ideation. Although the notion has received increasing attention from scholars, practitioners and policy makers, its essence remains unclear to many. We therefore performed a systematic literature review of a sample of 114 scholarly articles about living labs to understand the central facets discussed in the nascent literature. In particular, we explored the origin of the living lab concept and its key paradigms and characteristics, including stakeholder roles, contexts, challenges, main outcomes, and sustainability. While doing this, we discovered that the number of publications about living labs has increased significantly since 2015, and several journals are very active in publishing articles on the topic. The living lab is considered a multidisciplinary phenomenon and it encompasses various research domains despite typically being discussed under open and user innovation paradigms. What is more, the existing literature views living labs simultaneously as landscapes, real-life environments, and methodologies, and it suggests that they include heterogeneous stakeholders and apply various business models, methods, tools and approaches. Finally, living labs face some challenges, such as temporality, governance, efficiency, user recruitment, sustainability, scalability and unpredictable outcomes. In contrast, the benefits include tangible and intangible innovation and a broader diversity of innovation. Based on our analysis, we provide some implications and suggestions for future research.","container-title":"Journal of Cleaner Production","DOI":"10.1016/j.jclepro.2018.12.257","ISSN":"0959-6526","journalAbbreviation":"Journal of Cleaner Production","language":"en","page":"976-988","source":"ScienceDirect","title":"A systematic review of living lab literature","volume":"213","author":[{"family":"Hossain","given":"Mokter"},{"family":"Leminen","given":"Seppo"},{"family":"Westerlund","given":"Mika"}],"issued":{"date-parts":[["2019",3,10]]}}},{"id":352,"uris":["http://zotero.org/users/5709166/items/9QBUWLLY"],"itemData":{"id":352,"type":"article-journal","container-title":"Technology Innovation Management Review","DOI":"10.22215/timreview/1118","ISSN":"19270321","issue":"11","journalAbbreviation":"TIM Review","language":"en","page":"21-35","source":"DOI.org (Crossref)","title":"Towards Third-Generation Living Lab Networks in Cities","volume":"7","author":[{"family":"Leminen","given":"Seppo"},{"family":"Rajahonka","given":"Mervi"},{"family":"Westerlund","given":"Mika"}],"issued":{"date-parts":[["2017",11,27]]}}},{"id":338,"uris":["http://zotero.org/users/5709166/items/XD5U5M5T"],"itemData":{"id":338,"type":"article-journal","abstract":"Although Living Labs have been acknowledged in Europe as an open innovation instrument and mature Living Labs have organized themselves in a European Network of Living Labs (ENoLL), common available methods and tools used in Living Labs differ widely. The current article reports on the Living Lab Harmonization Cube, a useful technique that enables the definition of a shared reference of methods and tools. The harmonization cube not only represents the most important perspectives of a Living Lab, but also enables specifying bridges between existing Living Labs. More specifically, it helps to learn from each other, benchmark the validation of user behavior studies, exchange best practices, and interconnect existing Living Labs. Next to facilitating a common ground for sharing, the cube model recognizes the degree of harmonization of used methods and tools in Living Labs. This article elaborates upon the validation approach of the harmonization cube aiming to be used in multiple domains and across several Living Labs, facilitating a common ground for sharing the essentials to keep (the network of) Living Labs living.","language":"en","page":"14","source":"Zotero","title":"THE LIVING LABS HARMONIZATION CUBE: COMMUNICATING LIVING LABS’ ESSENTIALS","volume":"10","author":[{"family":"Mulder","given":"Ingrid"},{"family":"Velthausz","given":"Daan"},{"family":"Kriens","given":"Martijn"}],"issued":{"date-parts":[["2008"]]}}},{"id":343,"uris":["http://zotero.org/users/5709166/items/R9HANBZ8"],"itemData":{"id":343,"type":"article-journal","abstract":"Innovation networks are embodied and shaped by their participants. This paper examines actors' roles in living labs, which are deﬁned as networks of open innovation. The study utilizes four approaches to roles: structuralist, symbolic interactionist, resource-based, and action-based approaches. Our empirical analysis of 26 living labs in four different countries identiﬁes a number of actor roles associated with open innovation. In addition, it reveals four role patterns characteristic of living labs: (i) ambidexterity, (ii) reciprocity, (iii) temporality, and (iv) multiplicity. These patterns distinguish actor collaboration in networks characterized by heterogeneous actors, the coexistence of individual and shared motives, high degree of openness, and user involvement. Scholars and practitioners of innovation learn that understanding of role patterns in living labs can contribute to building, utilization, and orchestration of open innovation networks.","container-title":"Industrial Marketing Management","DOI":"10.1016/j.indmarman.2013.12.016","ISSN":"00198501","issue":"3","journalAbbreviation":"Industrial Marketing Management","language":"en","page":"483-495","source":"DOI.org (Crossref)","title":"Actor roles and role patterns influencing innovation in living labs","volume":"43","author":[{"family":"Nyström","given":"Anna-Greta"},{"family":"Leminen","given":"Seppo"},{"family":"Westerlund","given":"Mika"},{"family":"Kortelainen","given":"Mika"}],"issued":{"date-parts":[["2014",4]]}}},{"id":337,"uris":["http://zotero.org/users/5709166/items/SYQVX6B6"],"itemData":{"id":337,"type":"article-journal","abstract":"From a network perspective, the main objective of this study is to analyse how living labs contribute to promoting urban entrepreneurship in towns and cities and their sustainability. To achieve this aim, a qualitative research approach was adopted, specifically an exploratory case study of a living lab in a Portuguese town. As data collecting instruments, semi-structured interviews were held with key people in charge of this incubator, the incubated firms, public partners and citizens/people. Additional documentation was obtained for data triangulation in content analysis. The empirical evidence obtained leads to concluding on the need to continue study of urban entrepreneurship and its connection with living labs in towns. The results also showed that living labs are the “cradle” for this type of entrepreneurship and a vehicle for economic and social development and sustainability. From the evidence obtained, we were able to detect three units/factors of living labs to promote urban entrepreneurship: (1) open network, (2) entrepreneurship and (3) benefits/results. The insights gained from this explorative case study have several theoretical and practical implications.","container-title":"Journal of Cleaner Production","DOI":"10.1016/j.jclepro.2018.01.150","ISSN":"0959-6526","journalAbbreviation":"Journal of Cleaner Production","language":"en","page":"780-789","source":"ScienceDirect","title":"Importance of living labs in urban Entrepreneurship:A Portuguese case study","title-short":"Importance of living labs in urban Entrepreneurship","volume":"180","author":[{"family":"Rodrigues","given":"Margarida"},{"family":"Franco","given":"Mário"}],"issued":{"date-parts":[["2018",4,10]]}}},{"id":2175,"uris":["http://zotero.org/users/5709166/items/C3BLPRJS"],"itemData":{"id":2175,"type":"article-journal","container-title":"Technology Innovation Management Review","language":"en","page":"10","source":"Zotero","title":"Linking Living Lab Characteristics and Their Outcomes: Towards a Conceptual Framework","author":[{"family":"Veeckman","given":"Carina"},{"family":"Schuurman","given":"Dimitri"},{"family":"Leminen","given":"Seppo"},{"family":"Westerlund","given":"Mika"}],"issued":{"date-parts":[["2013"]]}}}],"schema":"https://github.com/citation-style-language/schema/raw/master/csl-citation.json"} </w:instrText>
            </w:r>
            <w:r w:rsidRPr="00F153F6">
              <w:rPr>
                <w:rFonts w:ascii="Times New Roman" w:hAnsi="Times New Roman" w:cs="Times New Roman"/>
                <w:color w:val="000000" w:themeColor="text1"/>
                <w:sz w:val="20"/>
                <w:szCs w:val="20"/>
              </w:rPr>
              <w:fldChar w:fldCharType="separate"/>
            </w:r>
            <w:r w:rsidRPr="00F153F6">
              <w:rPr>
                <w:rFonts w:ascii="Times New Roman" w:hAnsi="Times New Roman" w:cs="Times New Roman"/>
                <w:color w:val="000000" w:themeColor="text1"/>
              </w:rPr>
              <w:t>(Ballon et al., 2015; Buhl et al., 2017; Hossain et al., 2019; Leminen et al., 2017; Mulder et al., 2008; Nyström et al., 2014; Rodrigues &amp; Franco, 2018; Veeckman et al., 2013)</w:t>
            </w:r>
            <w:r w:rsidRPr="00F153F6">
              <w:rPr>
                <w:rFonts w:ascii="Times New Roman" w:hAnsi="Times New Roman" w:cs="Times New Roman"/>
                <w:color w:val="000000" w:themeColor="text1"/>
                <w:sz w:val="20"/>
                <w:szCs w:val="20"/>
              </w:rPr>
              <w:fldChar w:fldCharType="end"/>
            </w:r>
          </w:p>
        </w:tc>
      </w:tr>
      <w:tr w:rsidR="002C1A2F" w:rsidRPr="00F153F6" w14:paraId="2A24D23D" w14:textId="77777777" w:rsidTr="004B42EA">
        <w:tc>
          <w:tcPr>
            <w:tcW w:w="1985" w:type="dxa"/>
            <w:hideMark/>
          </w:tcPr>
          <w:p w14:paraId="5C55BC0C" w14:textId="77777777" w:rsidR="002C1A2F" w:rsidRPr="00F153F6" w:rsidRDefault="002C1A2F" w:rsidP="004424B4">
            <w:pPr>
              <w:spacing w:after="0" w:line="360" w:lineRule="auto"/>
              <w:jc w:val="both"/>
              <w:rPr>
                <w:rFonts w:ascii="Times New Roman" w:eastAsiaTheme="minorEastAsia" w:hAnsi="Times New Roman" w:cs="Times New Roman"/>
                <w:i/>
                <w:color w:val="000000" w:themeColor="text1"/>
              </w:rPr>
            </w:pPr>
            <w:r w:rsidRPr="00F153F6">
              <w:rPr>
                <w:rFonts w:ascii="Times New Roman" w:eastAsiaTheme="minorEastAsia" w:hAnsi="Times New Roman" w:cs="Times New Roman"/>
                <w:i/>
                <w:color w:val="000000" w:themeColor="text1"/>
              </w:rPr>
              <w:t xml:space="preserve">Sustainability </w:t>
            </w:r>
          </w:p>
        </w:tc>
        <w:tc>
          <w:tcPr>
            <w:tcW w:w="2977" w:type="dxa"/>
            <w:hideMark/>
          </w:tcPr>
          <w:p w14:paraId="601BFFAF" w14:textId="77777777" w:rsidR="002C1A2F" w:rsidRPr="00F153F6" w:rsidRDefault="002C1A2F" w:rsidP="004424B4">
            <w:pPr>
              <w:spacing w:after="0" w:line="360" w:lineRule="auto"/>
              <w:jc w:val="both"/>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rPr>
              <w:t>Sustainable development of Living Labs</w:t>
            </w:r>
          </w:p>
        </w:tc>
        <w:tc>
          <w:tcPr>
            <w:tcW w:w="4064" w:type="dxa"/>
            <w:hideMark/>
          </w:tcPr>
          <w:p w14:paraId="2D2CC8EC" w14:textId="77777777" w:rsidR="002C1A2F" w:rsidRPr="00F153F6" w:rsidRDefault="002C1A2F" w:rsidP="004424B4">
            <w:pPr>
              <w:spacing w:after="0" w:line="360" w:lineRule="auto"/>
              <w:jc w:val="both"/>
              <w:rPr>
                <w:rFonts w:ascii="Times New Roman" w:eastAsiaTheme="minorEastAsia" w:hAnsi="Times New Roman" w:cs="Times New Roman"/>
                <w:iCs/>
                <w:color w:val="000000" w:themeColor="text1"/>
              </w:rPr>
            </w:pPr>
            <w:r w:rsidRPr="00F153F6">
              <w:rPr>
                <w:rFonts w:ascii="Times New Roman" w:hAnsi="Times New Roman" w:cs="Times New Roman"/>
                <w:color w:val="000000" w:themeColor="text1"/>
                <w:sz w:val="20"/>
                <w:szCs w:val="20"/>
              </w:rPr>
              <w:fldChar w:fldCharType="begin"/>
            </w:r>
            <w:r w:rsidRPr="00F153F6">
              <w:rPr>
                <w:rFonts w:ascii="Times New Roman" w:eastAsiaTheme="minorEastAsia" w:hAnsi="Times New Roman" w:cs="Times New Roman"/>
                <w:iCs/>
                <w:color w:val="000000" w:themeColor="text1"/>
              </w:rPr>
              <w:instrText xml:space="preserve"> ADDIN ZOTERO_ITEM CSL_CITATION {"citationID":"UKkFhaGf","properties":{"formattedCitation":"(Bergvall-K\\uc0\\u229{}reborn et al., 2010; Hossain et al., 2019; Nevens et al., 2013; Rodrigues &amp; Franco, 2018)","plainCitation":"(Bergvall-Kåreborn et al., 2010; Hossain et al., 2019; Nevens et al., 2013; Rodrigues &amp; Franco, 2018)","noteIndex":0},"citationItems":[{"id":362,"uris":["http://zotero.org/users/5709166/items/EUG2MJCS"],"itemData":{"id":362,"type":"article-journal","abstract":"A new trend of user involvement in open innovation processes has emerged. Concurring with this trend the Living Lab concept has been revitalized. This concept has attracted attention lately, but there exist no coherent view. In this paper we discuss and define the concept and propose five key components and five key principles for Living Labs based on experiences from over 30 development and research projects within two Living Labs, Botnia Living Lab and Halmstad Living Lab. The key components are: ICT &amp; Infrastructure; Management; Partners &amp; Users; Research; and Approach. The key principles are: Openness; Influence; Realism; Value; and Sustainability. Our proposed definition of a Living Lab is: A Living Lab is a user-centric innovation milieu built on every-day practice and research, with an approach that facilitates user influence in open and distributed innovation processes engaging all relevant partners in real-life contexts, aiming to create sustainable values.","language":"en","page":"13","source":"Zotero","title":"A Milieu for Innovation – Defining Living Labs","author":[{"family":"Bergvall-Kåreborn","given":"Birgitta"},{"family":"Eriksson","given":"Carina Ihlström"},{"family":"Ståhlbröst","given":"Anna"},{"family":"Svensson","given":"Jesper"}],"issued":{"date-parts":[["2010"]]}}},{"id":2172,"uris":["http://zotero.org/users/5709166/items/BEMCWGRS"],"itemData":{"id":2172,"type":"article-journal","abstract":"A living lab is a physical or virtual space in which to solve societal challenges, especially for urban areas, by bringing together various stakeholders for collaboration and collective ideation. Although the notion has received increasing attention from scholars, practitioners and policy makers, its essence remains unclear to many. We therefore performed a systematic literature review of a sample of 114 scholarly articles about living labs to understand the central facets discussed in the nascent literature. In particular, we explored the origin of the living lab concept and its key paradigms and characteristics, including stakeholder roles, contexts, challenges, main outcomes, and sustainability. While doing this, we discovered that the number of publications about living labs has increased significantly since 2015, and several journals are very active in publishing articles on the topic. The living lab is considered a multidisciplinary phenomenon and it encompasses various research domains despite typically being discussed under open and user innovation paradigms. What is more, the existing literature views living labs simultaneously as landscapes, real-life environments, and methodologies, and it suggests that they include heterogeneous stakeholders and apply various business models, methods, tools and approaches. Finally, living labs face some challenges, such as temporality, governance, efficiency, user recruitment, sustainability, scalability and unpredictable outcomes. In contrast, the benefits include tangible and intangible innovation and a broader diversity of innovation. Based on our analysis, we provide some implications and suggestions for future research.","container-title":"Journal of Cleaner Production","DOI":"10.1016/j.jclepro.2018.12.257","ISSN":"0959-6526","journalAbbreviation":"Journal of Cleaner Production","language":"en","page":"976-988","source":"ScienceDirect","title":"A systematic review of living lab literature","volume":"213","author":[{"family":"Hossain","given":"Mokter"},{"family":"Leminen","given":"Seppo"},{"family":"Westerlund","given":"Mika"}],"issued":{"date-parts":[["2019",3,10]]}}},{"id":336,"uris":["http://zotero.org/users/5709166/items/7PVA6VHC"],"itemData":{"id":336,"type":"article-journal","abstract":"In a general mindset of ‘local elaboration’ of sustainable development, cities are logical loci for action: they do not only concentrate (future) consumption and production e and are hence at the origin of unsustainability ‘symptoms’-, they simultaneously are the operational units in which concrete actions can be envisaged, designed, (politically) facilitated and effectively rolled out. Whenever cities engage in this innovative, ambitious and responsible task of change for integrated sustainability, an undoubtedly major amount of learning emerges; and vice versa, sound knowledge/best practices on how to proceed with local sustainability oriented change processes could be a ﬁrm support for local actors in their quest for effective and efﬁcient action. In this paper, we present ‘Urban Transition Labs’ (UTL) as settings in which real life trajectories of sustainable development in cities are deployed and at the same time carefully observed; in a co-creative collaboration between actors and researchers (transdisciplinary research). Thereby, a transition management approach is applied, resulting in a cycle of ﬁve distinct phases: (a) process design and system analysis, (b) problem structuring and envisioning, (c) back casting, determining major pathways and agenda setting, (d) experimenting and (e) monitoring and evaluation. The process is guided by a ‘Transition-team’ that co-designs the process and feeds in relevant information to the city transition ‘arenas’. These arenas are the actual initial incubators of change; they are crewed by local frontrunners that are considered as engaged visionary people with diverse backgrounds. The ﬁndings of arenas feed a further participatory process to engage the relevant city stakeholders into action. In this paper, we want to present the UTL as a potentially valuable concept to support a ‘walkingthe-talk’ of sustainable development by cities; and we share the ﬁrst impressions on speciﬁc barriers and enablers that could determine the effectiveness of the envisaged approach.","container-title":"Journal of Cleaner Production","DOI":"10.1016/j.jclepro.2012.12.001","ISSN":"09596526","journalAbbreviation":"Journal of Cleaner Production","language":"en","page":"111-122","source":"DOI.org (Crossref)","title":"Urban Transition Labs: co-creating transformative action for sustainable cities","title-short":"Urban Transition Labs","volume":"50","author":[{"family":"Nevens","given":"Frank"},{"family":"Frantzeskaki","given":"Niki"},{"family":"Gorissen","given":"Leen"},{"family":"Loorbach","given":"Derk"}],"issued":{"date-parts":[["2013",7]]}}},{"id":337,"uris":["http://zotero.org/users/5709166/items/SYQVX6B6"],"itemData":{"id":337,"type":"article-journal","abstract":"From a network perspective, the main objective of this study is to analyse how living labs contribute to promoting urban entrepreneurship in towns and cities and their sustainability. To achieve this aim, a qualitative research approach was adopted, specifically an exploratory case study of a living lab in a Portuguese town. As data collecting instruments, semi-structured interviews were held with key people in charge of this incubator, the incubated firms, public partners and citizens/people. Additional documentation was obtained for data triangulation in content analysis. The empirical evidence obtained leads to concluding on the need to continue study of urban entrepreneurship and its connection with living labs in towns. The results also showed that living labs are the “cradle” for this type of entrepreneurship and a vehicle for economic and social development and sustainability. From the evidence obtained, we were able to detect three units/factors of living labs to promote urban entrepreneurship: (1) open network, (2) entrepreneurship and (3) benefits/results. The insights gained from this explorative case study have several theoretical and practical implications.","container-title":"Journal of Cleaner Production","DOI":"10.1016/j.jclepro.2018.01.150","ISSN":"0959-6526","journalAbbreviation":"Journal of Cleaner Production","language":"en","page":"780-789","source":"ScienceDirect","title":"Importance of living labs in urban Entrepreneurship:A Portuguese case study","title-short":"Importance of living labs in urban Entrepreneurship","volume":"180","author":[{"family":"Rodrigues","given":"Margarida"},{"family":"Franco","given":"Mário"}],"issued":{"date-parts":[["2018",4,10]]}}}],"schema":"https://github.com/citation-style-language/schema/raw/master/csl-citation.json"} </w:instrText>
            </w:r>
            <w:r w:rsidRPr="00F153F6">
              <w:rPr>
                <w:rFonts w:ascii="Times New Roman" w:hAnsi="Times New Roman" w:cs="Times New Roman"/>
                <w:color w:val="000000" w:themeColor="text1"/>
                <w:sz w:val="20"/>
                <w:szCs w:val="20"/>
              </w:rPr>
              <w:fldChar w:fldCharType="separate"/>
            </w:r>
            <w:r w:rsidRPr="00F153F6">
              <w:rPr>
                <w:rFonts w:ascii="Times New Roman" w:hAnsi="Times New Roman" w:cs="Times New Roman"/>
                <w:color w:val="000000" w:themeColor="text1"/>
              </w:rPr>
              <w:t>(Bergvall-Kåreborn et al., 2010; Hossain et al., 2019; Nevens et al., 2013; Rodrigues &amp; Franco, 2018)</w:t>
            </w:r>
            <w:r w:rsidRPr="00F153F6">
              <w:rPr>
                <w:rFonts w:ascii="Times New Roman" w:hAnsi="Times New Roman" w:cs="Times New Roman"/>
                <w:color w:val="000000" w:themeColor="text1"/>
                <w:sz w:val="20"/>
                <w:szCs w:val="20"/>
              </w:rPr>
              <w:fldChar w:fldCharType="end"/>
            </w:r>
          </w:p>
        </w:tc>
      </w:tr>
      <w:bookmarkEnd w:id="253"/>
      <w:bookmarkEnd w:id="254"/>
    </w:tbl>
    <w:p w14:paraId="61A23318" w14:textId="77777777"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p>
    <w:p w14:paraId="268EFDC1" w14:textId="77777777"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iCs/>
          <w:color w:val="000000" w:themeColor="text1"/>
          <w:sz w:val="24"/>
          <w:szCs w:val="24"/>
        </w:rPr>
        <w:lastRenderedPageBreak/>
        <w:t xml:space="preserve">Among these characteristics, scholars argue that </w:t>
      </w:r>
      <w:r w:rsidRPr="00F153F6">
        <w:rPr>
          <w:rFonts w:ascii="Times New Roman" w:eastAsiaTheme="minorEastAsia" w:hAnsi="Times New Roman" w:cs="Times New Roman"/>
          <w:b/>
          <w:bCs/>
          <w:iCs/>
          <w:color w:val="000000" w:themeColor="text1"/>
          <w:sz w:val="24"/>
          <w:szCs w:val="24"/>
        </w:rPr>
        <w:t>Real-life settings</w:t>
      </w:r>
      <w:r w:rsidRPr="00F153F6">
        <w:rPr>
          <w:rFonts w:ascii="Times New Roman" w:eastAsiaTheme="minorEastAsia" w:hAnsi="Times New Roman" w:cs="Times New Roman"/>
          <w:iCs/>
          <w:color w:val="000000" w:themeColor="text1"/>
          <w:sz w:val="24"/>
          <w:szCs w:val="24"/>
        </w:rPr>
        <w:t xml:space="preserve"> refers to a user’s real life environment in which Living Lab approaches are applied towards innovation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{"citationID":"97uw0ZtW","properties":{"formattedCitation":"(Hakkarainen &amp; Hyysalo, 2013; Hossain et al., 2019)","plainCitation":"(Hakkarainen &amp; Hyysalo, 2013; Hossain et al., 2019)","noteIndex":0},"citationItems":[{"id":351,"uris":["http://zotero.org/users/5709166/items/XASPIHC2"],"itemData":{"id":351,"type":"article-journal","container-title":"Technology Innovation Management Review","language":"en","page":"7","source":"Zotero","title":"How Do We Keep the Living Laboratory Alive? Learning and Conflicts in Living Lab Collaboration","author":[{"family":"Hakkarainen","given":"Louna"},{"family":"Hyysalo","given":"Sampsa"}],"issued":{"date-parts":[["2013"]]}}},{"id":2172,"uris":["http://zotero.org/users/5709166/items/BEMCWGRS"],"itemData":{"id":2172,"type":"article-journal","abstract":"A living lab is a physical or virtual space in which to solve societal challenges, especially for urban areas, by bringing together various stakeholders for collaboration and collective ideation. Although the notion has received increasing attention from scholars, practitioners and policy makers, its essence remains unclear to many. We therefore performed a systematic literature review of a sample of 114 scholarly articles about living labs to understand the central facets discussed in the nascent literature. In particular, we explored the origin of the living lab concept and its key paradigms and characteristics, including stakeholder roles, contexts, challenges, main outcomes, and sustainability. While doing this, we discovered that the </w:instrText>
      </w:r>
      <w:r w:rsidRPr="00F153F6">
        <w:rPr>
          <w:rFonts w:ascii="Times New Roman" w:eastAsiaTheme="minorEastAsia" w:hAnsi="Times New Roman" w:cs="Times New Roman"/>
          <w:iCs/>
          <w:color w:val="000000" w:themeColor="text1"/>
          <w:sz w:val="24"/>
          <w:szCs w:val="24"/>
          <w:lang w:val="fr-FR"/>
        </w:rPr>
        <w:instrText xml:space="preserve">number of publications about living labs has increased significantly since 2015, and several journals are very active in publishing articles on the topic. The living lab is considered a multidisciplinary phenomenon and it encompasses various research domains despite typically being discussed under open and user innovation paradigms. What is more, the existing literature views living labs simultaneously as landscapes, real-life environments, and methodologies, and it suggests that they include heterogeneous stakeholders and apply various business models, methods, tools and approaches. Finally, living labs face some challenges, such as temporality, governance, efficiency, user recruitment, sustainability, scalability and unpredictable outcomes. In contrast, the benefits include tangible and intangible innovation and a broader diversity of innovation. Based on our analysis, we provide some implications and suggestions for future research.","container-title":"Journal of Cleaner Production","DOI":"10.1016/j.jclepro.2018.12.257","ISSN":"0959-6526","journalAbbreviation":"Journal of Cleaner Production","language":"en","page":"976-988","source":"ScienceDirect","title":"A systematic review of living lab literature","volume":"213","author":[{"family":"Hossain","given":"Mokter"},{"family":"Leminen","given":"Seppo"},{"family":"Westerlund","given":"Mika"}],"issued":{"date-parts":[["2019",3,10]]}}}],"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lang w:val="fr-FR"/>
        </w:rPr>
        <w:t>(Hakkarainen &amp; Hyysalo, 2013; Hossain et al., 2019)</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lang w:val="fr-FR"/>
        </w:rPr>
        <w:t xml:space="preserve">. Malmberg et al.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lang w:val="fr-FR"/>
        </w:rPr>
        <w:instrText xml:space="preserve"> ADDIN ZOTERO_ITEM CSL_CITATION {"citationID":"3Ecc0D5I","properties":{"formattedCitation":"(2017)","plainCitation":"(2017)","noteIndex":0},"citationItems":[{"id":1932,"uris":["http://zotero.org/users/5709166/items/N232RVUA"],"itemData":{"id":1932,"type":"article-journal","abstract":"Top experts in Living Lab research and practice from the European Network of Living Labs (ENoLL) have contributed to the Living Lab Methodology Handbook by sharing their knowledge on the most recent findings on the topic. This handbook introduces research background and serves as a practical guidance for researchers and practitioners on Living Lab methodologies, co-creation and user engagement. It also aims to inspire the reader with the lessons learned from thorough research together with practical experiences from real-life cases. The handbook is specifically focusing on the topical area of Internet of Things, and explains how the Living Lab approach can greatly support the research and development activities in that area.\n\nThis handbook was initiated under the coordination and support action “User Engagement for Large Scale Pilots in the Internet of Things” (U4IoT) that provides online and offline toolkits, workshops and other forms of support to actively engage end-users and citizens in the pilot projects of European IoT Large-scale pilots programme. This project has received funding from the European Union’s Horizon 2020 research and innovation programme and the Swiss State Secretariat for Education, Research and Innovation under grant agreement No 732078.","DOI":"10.5281/ZENODO.1146321","language":"en","license":"Creative Commons Attribution 4.0, Open Access","source":"DOI.org (Datacite)","title":"Living Lab Methodology Handbook","URL":"https://zenodo.org/record/1146321","author":[{"family":"Malmberg","given":"Katariina"},{"family":"Vaittinen","given":"Ines"},{"family":"Evans","given":"Penny"},{"family":"Schuurman","given":"Dimitri"},{"family":"Ståhlbröst","given":"Anna"},{"family":"Vervoort","given":"Koen"}],"accessed":{"date-parts":[["2019",11,26]]},"issued":{"date-parts":[["2017",10,16]]}},"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lang w:val="fr-FR"/>
        </w:rPr>
        <w:t>(2017)</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lang w:val="fr-FR"/>
        </w:rPr>
        <w:t xml:space="preserve"> argue that Living Labs are used to co-create outcomes in real-life contexts. </w:t>
      </w:r>
      <w:r w:rsidRPr="00F153F6">
        <w:rPr>
          <w:rFonts w:ascii="Times New Roman" w:eastAsiaTheme="minorEastAsia" w:hAnsi="Times New Roman" w:cs="Times New Roman"/>
          <w:iCs/>
          <w:color w:val="000000" w:themeColor="text1"/>
          <w:sz w:val="24"/>
          <w:szCs w:val="24"/>
        </w:rPr>
        <w:t xml:space="preserve">Similarly, </w:t>
      </w:r>
      <w:r w:rsidRPr="00F153F6">
        <w:rPr>
          <w:rFonts w:ascii="Times New Roman" w:hAnsi="Times New Roman" w:cs="Times New Roman"/>
          <w:color w:val="000000" w:themeColor="text1"/>
          <w:sz w:val="24"/>
          <w:szCs w:val="24"/>
        </w:rPr>
        <w:t>Dell’Era and Landoni</w:t>
      </w:r>
      <w:r w:rsidRPr="00F153F6">
        <w:rPr>
          <w:rFonts w:ascii="Times New Roman" w:eastAsiaTheme="minorEastAsia" w:hAnsi="Times New Roman" w:cs="Times New Roman"/>
          <w:iCs/>
          <w:color w:val="000000" w:themeColor="text1"/>
          <w:sz w:val="24"/>
          <w:szCs w:val="24"/>
        </w:rPr>
        <w:t xml:space="preserve">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{"citationID":"CE2Y082S","properties":{"formattedCitation":"(2014)","plainCitation":"(2014)","noteIndex":0},"citationItems":[{"id":358,"uris":["http://zotero.org/users/5709166/items/WIVUIVX2"],"itemData":{"id":358,"type":"article-journal","abstract":"Living Labs have received limited attention in the literature despite their diffusion throughout Europe and recent interest from policy makers. This limited attention is linked to the newness of the phenomenon, the high heterogeneity of cases and the consequent lack of definitions and acknowledged frameworks for scholarly analyses. In this work, we argue that the originality of the Living Lab phenomenon resides in the introduction of a new methodology. Using an analysis of the literature and case studies, we propose a new definition, position this methodology among other design methodologies and highlight its peculiarities. We underline the co-creative potentialities, the awareness of users and the real-life settings. Furthermore, our case-based research allows us to identify four different specifications for this methodology, and therefore four different types of Living Labs, based on the openness of the user involvement and the adopted platform technology.","container-title":"Creativity and Innovation Management","DOI":"10.1111/caim.12061","ISSN":"1467-8691","issue":"2","language":"en","page":"137-154","source":"Wiley Online Library","title":"Living Lab: A Methodology between User-Centred Design and Participatory Design","title-short":"Living Lab","volume":"23","author":[{"family":"Dell'Era","given":"Claudio"},{"family":"Landoni","given":"Paolo"}],"issued":{"date-parts":[["2014"]]}},"suppress-author":true}],"schema":"https://github.com/citation-style-language/schema/raw/master/csl-citation.json"}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(2014)</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define Living Labs as a methodology to identify and experiment with a user’s needs in various real-life environments. </w:t>
      </w:r>
    </w:p>
    <w:p w14:paraId="56A9AD61" w14:textId="2EA8962B"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b/>
          <w:bCs/>
          <w:iCs/>
          <w:color w:val="000000" w:themeColor="text1"/>
          <w:sz w:val="24"/>
          <w:szCs w:val="24"/>
        </w:rPr>
        <w:t xml:space="preserve">Stakeholder involvement </w:t>
      </w:r>
      <w:r w:rsidRPr="00F153F6">
        <w:rPr>
          <w:rFonts w:ascii="Times New Roman" w:eastAsiaTheme="minorEastAsia" w:hAnsi="Times New Roman" w:cs="Times New Roman"/>
          <w:iCs/>
          <w:color w:val="000000" w:themeColor="text1"/>
          <w:sz w:val="24"/>
          <w:szCs w:val="24"/>
        </w:rPr>
        <w:t xml:space="preserve">refers to the presence of different stakeholders and partnerships of public, private and people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{"citationID":"jolh9qWV","properties":{"formattedCitation":"(Malmberg et al., 2017; Veeckman et al., 2013)","plainCitation":"(Malmberg et al., 2017; Veeckman et al., 2013)","noteIndex":0},"citationItems":[{"id":1932,"uris":["http://zotero.org/users/5709166/items/N232RVUA"],"itemData":{"id":1932,"type":"article-journal","abstract":"Top experts in Living Lab research and practice from the European Network of Living Labs (ENoLL) have contributed to the Living Lab Methodology Handbook by sharing their knowledge on the most recent findings on the topic. This handbook introduces research background and serves as a practical guidance for researchers and practitioners on Living Lab methodologies, co-creation and user engagement. It also aims to inspire the reader with the lessons learned from thorough research together with practical experiences from real-life cases. The handbook is specifically focusing on the topical area of Internet of Things, and explains how the Living Lab approach can greatly support the research and development activities in that area.\n\nThis handbook was initiated under the coordination and support action “User Engagement for Large Scale Pilots in the Internet of Things” (U4IoT) that provides online and offline toolkits, workshops and other forms of support to actively engage end-users and citizens in the pilot projects of European IoT Large-scale pilots programme. This project has received funding from the European Union’s Horizon 2020 research and innovation programme and the Swiss State Secretariat for Education, Research and Innovation under grant agreement No 732078.","DOI":"10.5281/ZENODO.1146321","language":"en","license":"Creative Commons Attribution 4.0, Open Access","source":"DOI.org (Datacite)","title":"Living Lab Methodology Handbook","URL":"https://zenodo.org/record/1146321","author":[{"family":"Malmberg","given":"Katariina"},{"family":"Vaittinen","given":"Ines"},{"family":"Evans","given":"Penny"},{"family":"Schuurman","given":"Dimitri"},{"family":"Ståhlbröst","given":"Anna"},{"family":"Vervoort","given":"Koen"}],"accessed":{"date-parts":[["2019",11,26]]},"issued":{"date-parts":[["2017",10,16]]}}},{"id":2175,"uris":["http://zotero.org/users/5709166/items/C3BLPRJS"],"itemData":{"id":2175,"type":"article-journal","container-title":"Technology Innovation Management Review","language":"en","page":"10","source":"Zotero","title":"Linking Living Lab Characteristics and Their Outcomes: Towards a Conceptual Framework","author":[{"family":"Veeckman","given":"Carina"},{"family":"Schuurman","given":"Dimitri"},{"family":"Leminen","given":"Seppo"},{"family":"Westerlund","given":"Mika"}],"issued":{"date-parts":[["2013"]]}}}],"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(Malmberg et al., 2017; Veeckman et al., 2013)</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Ballon et al.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{"citationID":"IDE8uG6H","properties":{"formattedCitation":"(2015)","plainCitation":"(2015)","noteIndex":0},"citationItems":[{"id":349,"uris":["http://zotero.org/users/5709166/items/RIBLRHPS"],"itemData":{"id":349,"type":"book","abstract":"This e-book on \"Living labs: concepts, tools and cases\" comes 10 years after the first scientific publications that defined the notion of living labs, but more than 15 years after the appearance of the first living lab projects (Ballon et al, 2005; Eriksson et al., 2005). This 5-year gap demonstrates the extent to which living labs have been a practice-driven phenomenon. Right up to this day, they represent a pragmatic approach to innovation (of ICTs and other artefacts), characterised a.o. by experimentation in real-life and active involvement of users.While there is now a certain body of literature that attempts to clarify and analyse the concept (Følstad, 2008; Almirall et al., 2012; Leminen et al., 2012), living lab practices are still underresearched, and a theoretical and methodological gap continues to exist in terms of the restricted amount and visibility of living lab literature vis-à-vis the rather large community of practice (Schuurman, 2015). The present e-book aims to assist in filling that gap.","event-place":"Bingley, UNITED KINGDOM","ISBN":"978-1-78560-427-0","publisher":"Emerald Publishing Limited","publisher-place":"Bingley, UNITED KINGDOM","source":"ProQuest Ebook Central","title":"Living Labs: Concepts, Tools and Cases","title-short":"Living Labs","URL":"http://ebookcentral.proquest.com/lib/sheffield/detail.action?docID=2093108","author":[{"family":"Ballon","given":"Pieter"},{"family":"Schuurman","given":"Dimitri"},{"family":"Blackman","given":"Colin"}],"accessed":{"date-parts":[["2020",1,13]]},"issued":{"date-parts":[["2015"]]}},"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(2015)</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indicate that there are various stakeholders in Living Labs including academics, developers, industry representatives, citizens and users, and public sector and private organisations. Westerlund and Leminen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{"citationID":"fSMo5KeZ","properties":{"formattedCitation":"(2011)","plainCitation":"(2011)","noteIndex":0},"citationItems":[{"id":348,"uris":["http://zotero.org/users/5709166/items/XM6LHSN5"],"itemData":{"id":348,"type":"article-journal","container-title":"Technology Innovation Management Review","language":"en","page":"7","source":"Zotero","title":"Managing the Challenges of Becoming an Open Innovation Company: Experiences from Living Labs","author":[{"family":"Westerlund","given":"Mika"},{"family":"Leminen","given":"Seppo"}],"issued":{"date-parts":[["2011"]]}},"suppress-author":true}],"schema":"https://github.com/citation-style-language/schema/raw/master/csl-citation.json"}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(2011)</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argue that four types of stakeholders are involved in co-creating knowledge: enablers such as public actors, governmental organisations that support Living Labs activities; providers such as universities or consultants that bring knowledge to develop Living Labs activities; users such as citizens or end users; and utilisers such as private organisations that benefit from the results of Living Lab activities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{"citationID":"TyWua8dR","properties":{"formattedCitation":"(Leminen et al., 2012)","plainCitation":"(Leminen et al., 2012)","noteIndex":0},"citationItems":[{"id":470,"uris":["http://zotero.org/users/5709166/items/S9BSZJAT"],"itemData":{"id":470,"type":"article-journal","container-title":"Technology Innovation Management Review","language":"en","page":"7","source":"Zotero","title":"Living Labs as Open-Innovation Networks","author":[{"family":"Leminen","given":"Seppo"},{"family":"Westerlund","given":"Mika"},{"family":"Nyström","given":"Anna-Greta"}],"issued":{"date-parts":[["2012"]]}}}],"schema":"https://github.com/citation-style-language/schema/raw/master/csl-citation.json"}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(Leminen et al., 2012)</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w:t>
      </w:r>
    </w:p>
    <w:p w14:paraId="466D3B07" w14:textId="1495BC47"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b/>
          <w:bCs/>
          <w:iCs/>
          <w:color w:val="000000" w:themeColor="text1"/>
          <w:sz w:val="24"/>
          <w:szCs w:val="24"/>
        </w:rPr>
        <w:t xml:space="preserve">Living Lab Activities </w:t>
      </w:r>
      <w:r w:rsidRPr="00F153F6">
        <w:rPr>
          <w:rFonts w:ascii="Times New Roman" w:eastAsiaTheme="minorEastAsia" w:hAnsi="Times New Roman" w:cs="Times New Roman"/>
          <w:iCs/>
          <w:color w:val="000000" w:themeColor="text1"/>
          <w:sz w:val="24"/>
          <w:szCs w:val="24"/>
        </w:rPr>
        <w:t xml:space="preserve">describe the innovation activities conducted by the Living Lab approach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{"citationID":"hyIgPEkr","properties":{"formattedCitation":"(Hossain et al., 2019)","plainCitation":"(Hossain et al., 2019)","noteIndex":0},"citationItems":[{"id":2172,"uris":["http://zotero.org/users/5709166/items/BEMCWGRS"],"itemData":{"id":2172,"type":"article-journal","abstract":"A living lab is a physical or virtual space in which to solve societal challenges, especially for urban areas, by bringing together various stakeholders for collaboration and collective ideation. Although the notion has received increasing attention from scholars, practitioners and policy makers, its essence remains unclear to many. We therefore performed a systematic literature review of a sample of 114 scholarly articles about living labs to understand the central facets discussed in the nascent literature. In particular, we explored the origin of the living lab concept and its key paradigms and characteristics, including stakeholder roles, contexts, challenges, main outcomes, and sustainability. While doing this, we discovered that the number of publications about living labs has increased significantly since 2015, and several journals are very active in publishing articles on the topic. The living lab is considered a multidisciplinary phenomenon and it encompasses various research domains despite typically being discussed under open and user innovation paradigms. What is more, the existing literature views living labs simultaneously as landscapes, real-life environments, and methodologies, and it suggests that they include heterogeneous stakeholders and apply various business models, methods, tools and approaches. Finally, living labs face some challenges, such as temporality, governance, efficiency, user recruitment, sustainability, scalability and unpredictable outcomes. In contrast, the benefits include tangible and intangible innovation and a broader diversity of innovation. Based on our analysis, we provide some implications and suggestions for future research.","container-title":"Journal of Cleaner Production","DOI":"10.1016/j.jclepro.2018.12.257","ISSN":"0959-6526","journalAbbreviation":"Journal of Cleaner Production","language":"en","page":"976-988","source":"ScienceDirect","title":"A systematic review of living lab literature","volume":"213","author":[{"family":"Hossain","given":"Mokter"},{"family":"Leminen","given":"Seppo"},{"family":"Westerlund","given":"Mika"}],"issued":{"date-parts":[["2019",3,10]]}}}],"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(Hossain et al., 2019)</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This means a Living Lab is used to conduct inter-organisational collaborations towards innovation solutions. For example, </w:t>
      </w:r>
      <w:r w:rsidRPr="00F153F6">
        <w:rPr>
          <w:rFonts w:ascii="Times New Roman" w:hAnsi="Times New Roman" w:cs="Times New Roman"/>
          <w:color w:val="000000" w:themeColor="text1"/>
          <w:sz w:val="24"/>
          <w:szCs w:val="24"/>
        </w:rPr>
        <w:t>Leminen and Westerlund</w:t>
      </w:r>
      <w:r w:rsidRPr="00F153F6">
        <w:rPr>
          <w:rFonts w:ascii="Times New Roman" w:eastAsiaTheme="minorEastAsia" w:hAnsi="Times New Roman" w:cs="Times New Roman"/>
          <w:iCs/>
          <w:color w:val="000000" w:themeColor="text1"/>
          <w:sz w:val="24"/>
          <w:szCs w:val="24"/>
        </w:rPr>
        <w:t xml:space="preserve">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{"citationID":"ZiVQyFeq","properties":{"formattedCitation":"(2016)","plainCitation":"(2016)","noteIndex":0},"citationItems":[{"id":347,"uris":["http://zotero.org/users/5709166/items/P7B5ATRB"],"itemData":{"id":347,"type":"article-journal","abstract":"This study identifies eight prevailing research avenues of living labs, an increasingly popular innovation approach, based on a comprehensive literature review. So doing, the study contributes to the literature of living labs by discussing perspectives that scholars in the field have taken to understand living labs and by providing an integrative framework to position these perspectives as distinct research avenues. Moreover, the study shows that the identified avenues share the view of living labs as real-life environments and recognise the crucial role of users in innovation.","container-title":"International Journal of Technology Marketing","DOI":"10.1504/IJTMKT.2016.079731","ISSN":"1741-878X","issue":"4","journalAbbreviation":"International Journal of Technology Marketing","page":"399-420","source":"inderscienceonline.com (Atypon)","title":"A framework for understanding the different research avenues of living labs","volume":"11","author":[{"family":"Leminen","given":"Seppo"},{"family":"Westerlund","given":"Mika"}],"issued":{"date-parts":[["2016",1,1]]}},"suppress-author":true}],"schema":"https://github.com/citation-style-language/schema/raw/master/csl-citation.json"}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(2016)</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argue that Living Labs are used for developing, co-creating, validating and testing technologies. Policy makers use the Living Labs approach to design, explore and refine new policies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{"citationID":"41oK92yw","properties":{"formattedCitation":"(Hossain et al., 2019)","plainCitation":"(Hossain et al., 2019)","noteIndex":0},"citationItems":[{"id":2172,"uris":["http://zotero.org/users/5709166/items/BEMCWGRS"],"itemData":{"id":2172,"type":"article-journal","abstract":"A living lab is a physical or virtual space in which to solve societal challenges, especially for urban areas, by bringing together various stakeholders for collaboration and collective ideation. Although the notion has received increasing attention from scholars, practitioners and policy makers, its essence remains unclear to many. We therefore performed a systematic literature review of a sample of 114 scholarly articles about living labs to understand the central facets discussed in the nascent literature. In particular, we explored the origin of the living lab concept and its key paradigms and characteristics, including stakeholder roles, contexts, challenges, main outcomes, and sustainability. While doing this, we discovered that the number of publications about living labs has increased significantly since 2015, and several journals are very active in publishing articles on the topic. The living lab is considered a multidisciplinary phenomenon and it encompasses various research domains despite typically being discussed under open and user innovation paradigms. What is more, the existing literature views living labs simultaneously as landscapes, real-life environments, and methodologies, and it suggests that they include heterogeneous stakeholders and apply various business models, methods, tools and approaches. Finally, living labs face some challenges, such as temporality, governance, efficiency, user recruitment, sustainability, scalability and unpredictable outcomes. In contrast, the benefits include tangible and intangible innovation and a broader diversity of innovation. Based on our analysis, we provide some implications and suggestions for future research.","container-title":"Journal of Cleaner Production","DOI":"10.1016/j.jclepro.2018.12.257","ISSN":"0959-6526","journalAbbreviation":"Journal of Cleaner Production","language":"en","page":"976-988","source":"ScienceDirect","title":"A systematic review of living lab literature","volume":"213","author":[{"family":"Hossain","given":"Mokter"},{"family":"Leminen","given":"Seppo"},{"family":"Westerlund","given":"Mika"}],"issued":{"date-parts":[["2019",3,10]]}}}],"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(Hossain et al., 2019)</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t>Almirall and Wareham</w:t>
      </w:r>
      <w:r w:rsidRPr="00F153F6">
        <w:rPr>
          <w:rFonts w:ascii="Times New Roman" w:eastAsiaTheme="minorEastAsia" w:hAnsi="Times New Roman" w:cs="Times New Roman"/>
          <w:iCs/>
          <w:color w:val="000000" w:themeColor="text1"/>
          <w:sz w:val="24"/>
          <w:szCs w:val="24"/>
        </w:rPr>
        <w:t xml:space="preserve">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{"citationID":"GYDLF5LJ","properties":{"formattedCitation":"(2008)","plainCitation":"(2008)","noteIndex":0},"citationItems":[{"id":346,"uris":["http://zotero.org/users/5709166/items/4EE7HZHW"],"itemData":{"id":346,"type":"webpage","abstract":"ResearchGate is a network dedicated to science and research. Connect, collaborate and discover scientific publications, jobs and conferences. All for free.","container-title":"ResearchGate","language":"en","title":"Living Labs and Open Innovation: Roles and Applicability","title-short":"(18) Living Labs and Open Innovation","URL":"https://www.researchgate.net/publication/272566792_Living_Labs_and_Open_Innovation_Roles_and_Applicability","author":[{"family":"Almirall","given":"Esteve"},{"family":"Wareham","given":"Jonathan"}],"accessed":{"date-parts":[["2020",1,14]]},"issued":{"date-parts":[["2008"]]}},"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(2008)</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indicate three Living Lab activities: 1) Living Labs engage organisations to achieve outcomes based on user experiences; 2) Living Labs support lead users as entrepreneurs; and 3) Living Labs manage users towards innovation. </w:t>
      </w:r>
      <w:r w:rsidRPr="00F153F6">
        <w:rPr>
          <w:rFonts w:ascii="Times New Roman" w:hAnsi="Times New Roman" w:cs="Times New Roman"/>
          <w:color w:val="000000" w:themeColor="text1"/>
          <w:sz w:val="24"/>
          <w:szCs w:val="24"/>
        </w:rPr>
        <w:t>Almirall and Wareham</w:t>
      </w:r>
      <w:r w:rsidRPr="00F153F6">
        <w:rPr>
          <w:rFonts w:ascii="Times New Roman" w:eastAsiaTheme="minorEastAsia" w:hAnsi="Times New Roman" w:cs="Times New Roman"/>
          <w:iCs/>
          <w:color w:val="000000" w:themeColor="text1"/>
          <w:sz w:val="24"/>
          <w:szCs w:val="24"/>
        </w:rPr>
        <w:t xml:space="preserve">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{"citationID":"5RYO0DJo","properties":{"formattedCitation":"(2011)","plainCitation":"(2011)","noteIndex":0},"citationItems":[{"id":344,"uris":["http://zotero.org/users/5709166/items/U6B2D7II"],"itemData":{"id":344,"type":"article-journal","abstract":"We perform a comparative case analysis of four working Living Labs to identify their common functions. Theoretically, we ground our analysis in terms of how they function, their processes of exploration and exploitation, where they work in the innovation strata and how new socially negotiated meanings are negotiated and diffused. Our research highlights four novel insights: first, Living Labs function at the low- and mid-level innovation strata; second, Living Labs are technologically agnostic; third, Living Labs use context based experience to surface new, socially constructed meanings for products and services; and finally, Living Labs are equally focused on exploration and exploitation.","container-title":"Technology Analysis &amp; Strategic Management","DOI":"10.1080/09537325.2011.537110","ISSN":"0953-7325","issue":"1","page":"87-102","source":"Taylor and Francis+NEJM","title":"Living Labs: arbiters of mid- and ground-level innovation","title-short":"Living Labs","volume":"23","author":[{"family":"Almirall","given":"Esteve"},{"family":"Wareham","given":"Jonathan"}],"issued":{"date-parts":[["2011",1,1]]}},"suppress-author":true}],"schema":"https://github.com/citation-style-language/schema/raw/master/csl-citation.json"}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(2011)</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argue that Living Labs activities are a knowledge-based process: the exploitation phase includes targeting, selecting, refining knowledge and the exploration phase includes capturing, creating and exchanging knowledge.</w:t>
      </w:r>
    </w:p>
    <w:p w14:paraId="677E5EBF" w14:textId="77777777"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b/>
          <w:bCs/>
          <w:iCs/>
          <w:color w:val="000000" w:themeColor="text1"/>
          <w:sz w:val="24"/>
          <w:szCs w:val="24"/>
        </w:rPr>
        <w:t>Methods, tools and approaches</w:t>
      </w:r>
      <w:r w:rsidRPr="00F153F6">
        <w:rPr>
          <w:rFonts w:ascii="Times New Roman" w:eastAsiaTheme="minorEastAsia" w:hAnsi="Times New Roman" w:cs="Times New Roman"/>
          <w:iCs/>
          <w:color w:val="000000" w:themeColor="text1"/>
          <w:sz w:val="24"/>
          <w:szCs w:val="24"/>
        </w:rPr>
        <w:t xml:space="preserve"> refers to the use of Living Lab as an approach to involve users towards innovation. Bui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{"citationID":"wR9gd8DE","properties":{"formattedCitation":"(2009)","plainCitation":"(2009)","noteIndex":0},"citationItems":[{"id":357,"uris":["http://zotero.org/users/5709166/items/Y5QGHTVX"],"itemData":{"id":357,"type":"paper-conference","abstract":"Living Labs is a rather new research area and phenomena that introduces new ways of managing innovation processes. The underlying idea is that people’s ideas, experiences, and knowledge, as well as their daily needs of support from products, services, or applications, should be the starting point in innovation. This paper illuminates experiences and accumulated knowledge to the area of concept design in an innovation process within a Living Lab. FormIT, a methodology developed for innovation processes within Living Labs is introduced through an illustration of how it has been utilised in a case. The experiences and the method are related to characteristics of Living Labs, and the paper closes with some concluding remarks in relation to concept design in a Living Lab.","event-title":"Hawaii International Conference on System Sciences","language":"en","source":"DOI.org (Crossref)","title":"Concept Design with a Living Lab Approach","author":[{"family":"Bui","given":"Tung"}],"issued":{"date-parts":[["2009"]]}},"suppress-author":true}],"schema":"https://github.com/citation-style-language/schema/raw/master/csl-citation.json"}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eastAsiaTheme="minorEastAsia" w:hAnsi="Times New Roman" w:cs="Times New Roman"/>
          <w:iCs/>
          <w:color w:val="000000" w:themeColor="text1"/>
          <w:sz w:val="24"/>
          <w:szCs w:val="24"/>
        </w:rPr>
        <w:t>(2009)</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argued that Living Labs are a human-centric approach by which ICT innovation is created and tested. These perspectives emphasise the functional aspects of Living Labs. Other scholars also stress the Living Lab as a tool to engage ICT innovations such as artificial intelligence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{"citationID":"oQidod5C","properties":{"formattedCitation":"(Kr\\uc0\\u246{}se et al., 2012; Veeckman et al., 2013)","plainCitation":"(Kröse et al., 2012; Veeckman et al., 2013)","noteIndex":0},"citationItems":[{"id":2176,"uris":["http://zotero.org/users/5709166/items/MD9NCYYN"],"itemData":{"id":2176,"type":"chapter","abstract":"The way that innovation is currently done requires a new research methodology that enables co-creation and frequent, iterative evaluation in realworld settings. This paper describes the employment of the living lab methodology that corresponds to this need. Particularly, this paper presents the way that the Amsterdam University of Applies Sciences (HvA) incorporates living labs in its educational program with a particular focus on ambient intelligence. A number of examples are given to illustrate its place in the university’s curriculum. Drawing on from this, problems and solutions are highlighted in a ‘lessons learned’ section.","container-title":"Ambient Intelligence","event-place":"Berlin, Heidelberg","ISBN":"978-3-642-34897-6","language":"en","note":"DOI: 10.1007/978-3-642-34898-3_27","page":"356-363","publisher":"Springer Berlin Heidelberg","publisher-place":"Berlin, Heidelberg","source":"Crossref","title":"Living Labs as Educational Tool for Ambient Intelligence","URL":"http://link.springer.com/10.1007/978-3-642-34898-3_27","volume":"7683","collection-editor":[{"family":"Hutchison","given":"David"},{"family":"Kanade","given":"Takeo"},{"family":"Kittler","given":"Josef"},{"family":"Kleinberg","given":"Jon M."},{"family":"Mattern","given":"Friedemann"},{"family":"Mitchell","given":"John C."},{"family":"Naor","given":"Moni"},{"family":"Nierstrasz","given":"Oscar"},{"family":"Pandu Rangan","given":"C."},{"family":"Steffen","given":"Bernhard"},{"family":"Sudan","given":"Madhu"},{"family":"Terzopoulos","given":"Demetri"},{"family":"Tygar","given":"Doug"},{"family":"Vardi","given":"Moshe Y."},{"family":"Weikum","given":"Gerhard"}],"editor":[{"family":"Paternò","given":"Fabio"},{"family":"Ruyter","given":"Boris","non-dropping-particle":"de"},{"family":"Markopoulos","given":"Panos"},{"family":"Santoro","given":"Carmen"},{"family":"Loenen","given":"Evert","non-dropping-particle":"van"},{"family":"Luyten","given":"Kris"}],"author":[{"family":"Kröse","given":"Ben"},{"family":"Veenstra","given":"Mettina"},{"family":"Robben","given":"Saskia"},{"family":"Kanis","given":"Marije"}],"accessed":{"date-parts":[["2019",12,15]]},"issued":{"date-parts":[["2012"]]}}},{"id":2175,"uris":["http://zotero.org/users/5709166/items/C3BLPRJS"],"itemData":{"id":2175,"type":"article-journal","container-title":"Technology Innovation Management Review","language":"en","page":"10","source":"Zotero","title":"Linking Living Lab Characteristics and Their Outcomes: Towards a Conceptual Framework","author":[{"family":"Veeckman","given":"Carina"},{"family":"Schuurman","given":"Dimitri"},{"family":"Leminen","given":"Seppo"},{"family":"Westerlund","given":"Mika"}],"issued":{"date-parts":[["2013"]]}}}],"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(Kröse et al., 2012; Veeckman et al., 2013)</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w:t>
      </w:r>
    </w:p>
    <w:p w14:paraId="7605B21B" w14:textId="77777777"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b/>
          <w:bCs/>
          <w:iCs/>
          <w:color w:val="000000" w:themeColor="text1"/>
          <w:sz w:val="24"/>
          <w:szCs w:val="24"/>
        </w:rPr>
        <w:lastRenderedPageBreak/>
        <w:t>Outcomes</w:t>
      </w:r>
      <w:r w:rsidRPr="00F153F6">
        <w:rPr>
          <w:rFonts w:ascii="Times New Roman" w:eastAsiaTheme="minorEastAsia" w:hAnsi="Times New Roman" w:cs="Times New Roman"/>
          <w:iCs/>
          <w:color w:val="000000" w:themeColor="text1"/>
          <w:sz w:val="24"/>
          <w:szCs w:val="24"/>
        </w:rPr>
        <w:t xml:space="preserve"> describe the diverse results of Living Lab innovations from the perspectives of tangible/intangible innovation and a diversity of innovation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{"citationID":"5et2Rv6n","properties":{"formattedCitation":"(Hossain et al., 2019)","plainCitation":"(Hossain et al., 2019)","noteIndex":0},"citationItems":[{"id":2172,"uris":["http://zotero.org/users/5709166/items/BEMCWGRS"],"itemData":{"id":2172,"type":"article-journal","abstract":"A living lab is a physical or virtual space in which to solve societal challenges, especially for urban areas, by bringing together various stakeholders for collaboration and collective ideation. Although the notion has received increasing attention from scholars, practitioners and policy makers, its essence remains unclear to many. We therefore performed a systematic literature review of a sample of 114 scholarly articles about living labs to understand the central facets discussed in the nascent literature. In particular, we explored the origin of the living lab concept and its key paradigms and characteristics, including stakeholder roles, contexts, challenges, main outcomes, and sustainability. While doing this, we discovered that the number of publications about living labs has increased significantly since 2015, and several journals are very active in publishing articles on the topic. The living lab is considered a multidisciplinary phenomenon and it encompasses various research domains despite typically being discussed under open and user innovation paradigms. What is more, the existing literature views living labs simultaneously as landscapes, real-life environments, and methodologies, and it suggests that they include heterogeneous stakeholders and apply various business models, methods, tools and approaches. Finally, living labs face some challenges, such as temporality, governance, efficiency, user recruitment, sustainability, scalability and unpredictable outcomes. In contrast, the benefits include tangible and intangible innovation and a broader diversity of innovation. Based on our analysis, we provide some implications and suggestions for future research.","container-title":"Journal of Cleaner Production","DOI":"10.1016/j.jclepro.2018.12.257","ISSN":"0959-6526","journalAbbreviation":"Journal of Cleaner Production","language":"en","page":"976-988","source":"ScienceDirect","title":"A systematic review of living lab literature","volume":"213","author":[{"family":"Hossain","given":"Mokter"},{"family":"Leminen","given":"Seppo"},{"family":"Westerlund","given":"Mika"}],"issued":{"date-parts":[["2019",3,10]]}}}],"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(Hossain et al., 2019)</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It is argued that tangible innovation includes design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{"citationID":"7HX00WSe","properties":{"formattedCitation":"(Buhl et al., 2017)","plainCitation":"(Buhl et al., 2017)","noteIndex":0},"citationItems":[{"id":339,"uris":["http://zotero.org/users/5709166/items/RFZWZERS"],"itemData":{"id":339,"type":"article-journal","abstract":"The effectiveness of sustainable product and service innovations is often restricted by limited market acceptance or unexpected consumption patterns. The latter includes rebound effects, which occur when resources liberated by savings are used for further consumption. Recently emerging research from the Living Lab is striving to address and anticipate challenges in innovation design by integrating users in prototyping and field testing product and service innovations. The paper presents findings from a literature review on rebound effects and expert interviews identifying methods to monitor and measures to mitigate rebound effects in early innovation design via Living Lab research. We find that monitoring and mitigating rebound effects in Living Lab research includes technological and behavioural triggers as well as socio-psychological and time use effects in addition to economic re-spending effects. The experts have confirmed that Living Labs contain the potential to observe complex demand systems of users within experimental designs, encompassing indirect rebound effects in terms of expenditure as well as time use. In this respect, Living Lab research can facilitate support for sustainable innovations, which aim to encourage changes in consumer behaviour, considering re-spending and time use effects simultaneously.","container-title":"Journal of Cleaner Production","DOI":"10.1016/j.jclepro.2017.03.001","ISSN":"0959-6526","journalAbbreviation":"Journal of Cleaner Production","language":"en","page":"592-602","source":"ScienceDirect","title":"Rebound effects in Living Labs: Opportunities for monitoring and mitigating re-spending and time use effects in user integrated innovation design","title-short":"Rebound effects in Living Labs","volume":"151","author":[{"family":"Buhl","given":"Johannes"},{"family":"Geibler","given":"Justus","dropping-particle":"von"},{"family":"Echternacht","given":"Laura"},{"family":"Linder","given":"Moritz"}],"issued":{"date-parts":[["2017",5,10]]}}}],"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(Buhl et al., 2017)</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prototypes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{"citationID":"tvcwnYDf","properties":{"formattedCitation":"(Leminen et al., 2017)","plainCitation":"(Leminen et al., 2017)","noteIndex":0},"citationItems":[{"id":352,"uris":["http://zotero.org/users/5709166/items/9QBUWLLY"],"itemData":{"id":352,"type":"article-journal","container-title":"Technology Innovation Management Review","DOI":"10.22215/timreview/1118","ISSN":"19270321","issue":"11","journalAbbreviation":"TIM Review","language":"en","page":"21-35","source":"DOI.org (Crossref)","title":"Towards Third-Generation Living Lab Networks in Cities","volume":"7","author":[{"family":"Leminen","given":"Seppo"},{"family":"Rajahonka","given":"Mervi"},{"family":"Westerlund","given":"Mika"}],"issued":{"date-parts":[["2017",11,27]]}}}],"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(Leminen et al., 2017)</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products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{"citationID":"e3N54e9X","properties":{"formattedCitation":"(Veeckman et al., 2013)","plainCitation":"(Veeckman et al., 2013)","noteIndex":0},"citationItems":[{"id":2175,"uris":["http://zotero.org/users/5709166/items/C3BLPRJS"],"itemData":{"id":2175,"type":"article-journal","container-title":"Technology Innovation Management Review","language":"en","page":"10","source":"Zotero","title":"Linking Living Lab Characteristics and Their Outcomes: Towards a Conceptual Framework","author":[{"family":"Veeckman","given":"Carina"},{"family":"Schuurman","given":"Dimitri"},{"family":"Leminen","given":"Seppo"},{"family":"Westerlund","given":"Mika"}],"issued":{"date-parts":[["2013"]]}}}],"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(Veeckman et al., 2013)</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solutions and systems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{"citationID":"MBmtkmVs","properties":{"formattedCitation":"(Ballon et al., 2015)","plainCitation":"(Ballon et al., 2015)","noteIndex":0},"citationItems":[{"id":349,"uris":["http://zotero.org/users/5709166/items/RIBLRHPS"],"itemData":{"id":349,"type":"book","abstract":"This e-book on \"Living labs: concepts, tools and cases\" comes 10 years after the first scientific publications that defined the notion of living labs, but more than 15 years after the appearance of the first living lab projects (Ballon et al, 2005; Eriksson et al., 2005). This 5-year gap demonstrates the extent to which living labs have been a practice-driven phenomenon. Right up to this day, they represent a pragmatic approach to innovation (of ICTs and other artefacts), characterised a.o. by experimentation in real-life and active involvement of users.While there is now a certain body of literature that attempts to clarify and analyse the concept (Følstad, 2008; Almirall et al., 2012; Leminen et al., 2012), living lab practices are still underresearched, and a theoretical and methodological gap continues to exist in terms of the restricted amount and visibility of living lab literature vis-à-vis the rather large community of practice (Schuurman, 2015). The present e-book aims to assist in filling that gap.","event-place":"Bingley, UNITED KINGDOM","ISBN":"978-1-78560-427-0","publisher":"Emerald Publishing Limited","publisher-place":"Bingley, UNITED KINGDOM","source":"ProQuest Ebook Central","title":"Living Labs: Concepts, Tools and Cases","title-short":"Living Labs","URL":"http://ebookcentral.proquest.com/lib/sheffield/detail.action?docID=2093108","author":[{"family":"Ballon","given":"Pieter"},{"family":"Schuurman","given":"Dimitri"},{"family":"Blackman","given":"Colin"}],"accessed":{"date-parts":[["2020",1,13]]},"issued":{"date-parts":[["2015"]]}}}],"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(Ballon et al., 2015)</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Intangible innovation includes ideas, concepts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{"citationID":"kNhjoOlU","properties":{"formattedCitation":"(Nystr\\uc0\\u246{}m et al., 2014)","plainCitation":"(Nyström et al., 2014)","noteIndex":0},"citationItems":[{"id":343,"uris":["http://zotero.org/users/5709166/items/R9HANBZ8"],"itemData":{"id":343,"type":"article-journal","abstract":"Innovation networks are embodied and shaped by their participants. This paper examines actors' roles in living labs, which are deﬁned as networks of open innovation. The study utilizes four approaches to roles: structuralist, symbolic interactionist, resource-based, and action-based approaches. Our empirical analysis of 26 living labs in four different countries identiﬁes a number of actor roles associated with open innovation. In addition, it reveals four role patterns characteristic of living labs: (i) ambidexterity, (ii) reciprocity, (iii) temporality, and (iv) multiplicity. These patterns distinguish actor collaboration in networks characterized by heterogeneous actors, the coexistence of individual and shared motives, high degree of openness, and user involvement. Scholars and practitioners of innovation learn that understanding of role patterns in living labs can contribute to building, utilization, and orchestration of open innovation networks.","container-title":"Industrial Marketing Management","DOI":"10.1016/j.indmarman.2013.12.016","ISSN":"00198501","issue":"3","journalAbbreviation":"Industrial Marketing Management","language":"en","page":"483-495","source":"DOI.org (Crossref)","title":"Actor roles and role patterns influencing innovation in living labs","volume":"43","author":[{"family":"Nyström","given":"Anna-Greta"},{"family":"Leminen","given":"Seppo"},{"family":"Westerlund","given":"Mika"},{"family":"Kortelainen","given":"Mika"}],"issued":{"date-parts":[["2014",4]]}}}],"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(Nyström et al., 2014)</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knowledge and services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{"citationID":"QIQfYzK6","properties":{"formattedCitation":"(Mulder et al., 2008)","plainCitation":"(Mulder et al., 2008)","noteIndex":0},"citationItems":[{"id":338,"uris":["http://zotero.org/users/5709166/items/XD5U5M5T"],"itemData":{"id":338,"type":"article-journal","abstract":"Although Living Labs have been acknowledged in Europe as an open innovation instrument and mature Living Labs have organized themselves in a European Network of Living Labs (ENoLL), common available methods and tools used in Living Labs differ widely. The current article reports on the Living Lab Harmonization Cube, a useful technique that enables the definition of a shared reference of methods and tools. The harmonization cube not only represents the most important perspectives of a Living Lab, but also enables specifying bridges between existing Living Labs. More specifically, it helps to learn from each other, benchmark the validation of user behavior studies, exchange best practices, and interconnect existing Living Labs. Next to facilitating a common ground for sharing, the cube model recognizes the degree of harmonization of used methods and tools in Living Labs. This article elaborates upon the validation approach of the harmonization cube aiming to be used in multiple domains and across several Living Labs, facilitating a common ground for sharing the essentials to keep (the network of) Living Labs living.","language":"en","page":"14","source":"Zotero","title":"THE LIVING LABS HARMONIZATION CUBE: COMMUNICATING LIVING LABS’ ESSENTIALS","volume":"10","author":[{"family":"Mulder","given":"Ingrid"},{"family":"Velthausz","given":"Daan"},{"family":"Kriens","given":"Martijn"}],"issued":{"date-parts":[["2008"]]}}}],"schema":"https://github.com/citation-style-language/schema/raw/master/csl-citation.json"}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(Mulder et al., 2008)</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Diversity innovation covers market innovation, social innovation, radical innovation, and technical innovation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{"citationID":"XjHpy2i4","properties":{"formattedCitation":"(Almirall &amp; Wareham, 2011; Rodrigues &amp; Franco, 2018)","plainCitation":"(Almirall &amp; Wareham, 2011; Rodrigues &amp; Franco, 2018)","noteIndex":0},"citationItems":[{"id":344,"uris":["http://zotero.org/users/5709166/items/U6B2D7II"],"itemData":{"id":344,"type":"article-journal","abstract":"We perform a comparative case analysis of four working Living Labs to identify their common functions. Theoretically, we ground our analysis in terms of how they function, their processes of exploration and exploitation, where they work in the innovation strata and how new socially negotiated meanings are negotiated and diffused. Our research highlights four novel insights: first, Living Labs function at the low- and mid-level innovation strata; second, Living Labs are technologically agnostic; third, Living Labs use context based experience to surface new, socially constructed meanings for products and services; and finally, Living Labs are equally focused on exploration and exploitation.","container-title":"Technology Analysis &amp; Strategic Management","DOI":"10.1080/09537325.2011.537110","ISSN":"0953-7325","issue":"1","page":"87-102","source":"Taylor and Francis+NEJM","title":"Living Labs: arbiters of mid- and ground-level innovation","title-short":"Living Labs","volume":"23","author":[{"family":"Almirall","given":"Esteve"},{"family":"Wareham","given":"Jonathan"}],"issued":{"date-parts":[["2011",1,1]]}}},{"id":337,"uris":["http://zotero.org/users/5709166/items/SYQVX6B6"],"itemData":{"id":337,"type":"article-journal","abstract":"From a network perspective, the main objective of this study is to analyse how living labs contribute to promoting urban entrepreneurship in towns and cities and their sustainability. To achieve this aim, a qualitative research approach was adopted, specifically an exploratory case study of a living lab in a Portuguese town. As data collecting instruments, semi-structured interviews were held with key people in charge of this incubator, the incubated firms, public partners and citizens/people. Additional documentation was obtained for data triangulation in content analysis. The empirical evidence obtained leads to concluding on the need to continue study of urban entrepreneurship and its connection with living labs in towns. The results also showed that living labs are the “cradle” for this type of entrepreneurship and a vehicle for economic and social development and sustainability. From the evidence obtained, we were able to detect three units/factors of living labs to promote urban entrepreneurship: (1) open network, (2) entrepreneurship and (3) benefits/results. The insights gained from this explorative case study have several theoretical and practical implications.","container-title":"Journal of Cleaner Production","DOI":"10.1016/j.jclepro.2018.01.150","ISSN":"0959-6526","journalAbbreviation":"Journal of Cleaner Production","language":"en","page":"780-789","source":"ScienceDirect","title":"Importance of living labs in urban Entrepreneurship:A Portuguese case study","title-short":"Importance of living labs in urban Entrepreneurship","volume":"180","author":[{"family":"Rodrigues","given":"Margarida"},{"family":"Franco","given":"Mário"}],"issued":{"date-parts":[["2018",4,10]]}}}],"schema":"https://github.com/citation-style-language/schema/raw/master/csl-citation.json"}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(Almirall &amp; Wareham, 2011; Rodrigues &amp; Franco, 2018)</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w:t>
      </w:r>
    </w:p>
    <w:p w14:paraId="538EA527" w14:textId="77777777"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b/>
          <w:bCs/>
          <w:iCs/>
          <w:color w:val="000000" w:themeColor="text1"/>
          <w:sz w:val="24"/>
          <w:szCs w:val="24"/>
        </w:rPr>
        <w:t xml:space="preserve">Sustainability </w:t>
      </w:r>
      <w:r w:rsidRPr="00F153F6">
        <w:rPr>
          <w:rFonts w:ascii="Times New Roman" w:eastAsiaTheme="minorEastAsia" w:hAnsi="Times New Roman" w:cs="Times New Roman"/>
          <w:iCs/>
          <w:color w:val="000000" w:themeColor="text1"/>
          <w:sz w:val="24"/>
          <w:szCs w:val="24"/>
        </w:rPr>
        <w:t xml:space="preserve">indicates sustainable development in Living Labs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{"citationID":"I3Jti9TR","properties":{"formattedCitation":"(Hossain et al., 2019)","plainCitation":"(Hossain et al., 2019)","noteIndex":0},"citationItems":[{"id":2172,"uris":["http://zotero.org/users/5709166/items/BEMCWGRS"],"itemData":{"id":2172,"type":"article-journal","abstract":"A living lab is a physical or virtual space in which to solve societal challenges, especially for urban areas, by bringing together various stakeholders for collaboration and collective ideation. Although the notion has received increasing attention from scholars, practitioners and policy makers, its essence remains unclear to many. We therefore performed a systematic literature review of a sample of 114 scholarly articles about living labs to understand the central facets discussed in the nascent literature. In particular, we explored the origin of the living lab concept and its key paradigms and characteristics, including stakeholder roles, contexts, challenges, main outcomes, and sustainability. While doing this, we discovered that the number of publications about living labs has increased significantly since 2015, and several journals are very active in publishing articles on the topic. The living lab is considered a multidisciplinary phenomenon and it encompasses various research domains despite typically being discussed under open and user innovation paradigms. What is more, the existing literature views living labs simultaneously as landscapes, real-life environments, and methodologies, and it suggests that they include heterogeneous stakeholders and apply various business models, methods, tools and approaches. Finally, living labs face some challenges, such as temporality, governance, efficiency, user recruitment, sustainability, scalability and unpredictable outcomes. In contrast, the benefits include tangible and intangible innovation and a broader diversity of innovation. Based on our analysis, we provide some implications and suggestions for future research.","container-title":"Journal of Cleaner Production","DOI":"10.1016/j.jclepro.2018.12.257","ISSN":"0959-6526","journalAbbreviation":"Journal of Cleaner Production","language":"en","page":"976-988","source":"ScienceDirect","title":"A systematic review of living lab literature","volume":"213","author":[{"family":"Hossain","given":"Mokter"},{"family":"Leminen","given":"Seppo"},{"family":"Westerlund","given":"Mika"}],"issued":{"date-parts":[["2019",3,10]]}}}],"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(Hossain et al., 2019)</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For example, Transition labs provide an arena for sustainable development in urban contexts such as sustainable cities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{"citationID":"FJoI2pFq","properties":{"formattedCitation":"(Nevens et al., 2013)","plainCitation":"(Nevens et al., 2013)","noteIndex":0},"citationItems":[{"id":336,"uris":["http://zotero.org/users/5709166/items/7PVA6VHC"],"itemData":{"id":336,"type":"article-journal","abstract":"In a general mindset of ‘local elaboration’ of sustainable development, cities are logical loci for action: they do not only concentrate (future) consumption and production e and are hence at the origin of unsustainability ‘symptoms’-, they simultaneously are the operational units in which concrete actions can be envisaged, designed, (politically) facilitated and effectively rolled out. Whenever cities engage in this innovative, ambitious and responsible task of change for integrated sustainability, an undoubtedly major amount of learning emerges; and vice versa, sound knowledge/best practices on how to proceed with local sustainability oriented change processes could be a ﬁrm support for local actors in their quest for effective and efﬁcient action. In this paper, we present ‘Urban Transition Labs’ (UTL) as settings in which real life trajectories of sustainable development in cities are deployed and at the same time carefully observed; in a co-creative collaboration between actors and researchers (transdisciplinary research). Thereby, a transition management approach is applied, resulting in a cycle of ﬁve distinct phases: (a) process design and system analysis, (b) problem structuring and envisioning, (c) back casting, determining major pathways and agenda setting, (d) experimenting and (e) monitoring and evaluation. The process is guided by a ‘Transition-team’ that co-designs the process and feeds in relevant information to the city transition ‘arenas’. These arenas are the actual initial incubators of change; they are crewed by local frontrunners that are considered as engaged visionary people with diverse backgrounds. The ﬁndings of arenas feed a further participatory process to engage the relevant city stakeholders into action. In this paper, we want to present the UTL as a potentially valuable concept to support a ‘walkingthe-talk’ of sustainable development by cities; and we share the ﬁrst impressions on speciﬁc barriers and enablers that could determine the effectiveness of the envisaged approach.","container-title":"Journal of Cleaner Production","DOI":"10.1016/j.jclepro.2012.12.001","ISSN":"09596526","journalAbbreviation":"Journal of Cleaner Production","language":"en","page":"111-122","source":"DOI.org (Crossref)","title":"Urban Transition Labs: co-creating transformative action for sustainable cities","title-short":"Urban Transition Labs","volume":"50","author":[{"family":"Nevens","given":"Frank"},{"family":"Frantzeskaki","given":"Niki"},{"family":"Gorissen","given":"Leen"},{"family":"Loorbach","given":"Derk"}],"issued":{"date-parts":[["2013",7]]}}}],"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(Nevens et al., 2013)</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Rodrigues and Franco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{"citationID":"cTXqAjzZ","properties":{"formattedCitation":"(2018)","plainCitation":"(2018)","noteIndex":0},"citationItems":[{"id":337,"uris":["http://zotero.org/users/5709166/items/SYQVX6B6"],"itemData":{"id":337,"type":"article-journal","abstract":"From a network perspective, the main objective of this study is to analyse how living labs contribute to promoting urban entrepreneurship in towns and cities and their sustainability. To achieve this aim, a qualitative research approach was adopted, specifically an exploratory case study of a living lab in a Portuguese town. As data collecting instruments, semi-structured interviews were held with key people in charge of this incubator, the incubated firms, public partners and citizens/people. Additional documentation was obtained for data triangulation in content analysis. The empirical evidence obtained leads to concluding on the need to continue study of urban entrepreneurship and its connection with living labs in towns. The results also showed that living labs are the “cradle” for this type of entrepreneurship and a vehicle for economic and social development and sustainability. From the evidence obtained, we were able to detect three units/factors of living labs to promote urban entrepreneurship: (1) open network, (2) entrepreneurship and (3) benefits/results. The insights gained from this explorative case study have several theoretical and practical implications.","container-title":"Journal of Cleaner Production","DOI":"10.1016/j.jclepro.2018.01.150","ISSN":"0959-6526","journalAbbreviation":"Journal of Cleaner Production","language":"en","page":"780-789","source":"ScienceDirect","title":"Importance of living labs in urban Entrepreneurship:A Portuguese case study","title-short":"Importance of living labs in urban Entrepreneurship","volume":"180","author":[{"family":"Rodrigues","given":"Margarida"},{"family":"Franco","given":"Mário"}],"issued":{"date-parts":[["2018",4,10]]}},"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(2018)</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argue that Living Labs act as a vehicle for economic and social development and continuity. Bergvall-Kåreborn et al.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{"citationID":"D1pOawVf","properties":{"formattedCitation":"(2010)","plainCitation":"(2010)","noteIndex":0},"citationItems":[{"id":362,"uris":["http://zotero.org/users/5709166/items/EUG2MJCS"],"itemData":{"id":362,"type":"article-journal","abstract":"A new trend of user involvement in open innovation processes has emerged. Concurring with this trend the Living Lab concept has been revitalized. This concept has attracted attention lately, but there exist no coherent view. In this paper we discuss and define the concept and propose five key components and five key principles for Living Labs based on experiences from over 30 development and research projects within two Living Labs, Botnia Living Lab and Halmstad Living Lab. The key components are: ICT &amp; Infrastructure; Management; Partners &amp; Users; Research; and Approach. The key principles are: Openness; Influence; Realism; Value; and Sustainability. Our proposed definition of a Living Lab is: A Living Lab is a user-centric innovation milieu built on every-day practice and research, with an approach that facilitates user influence in open and distributed innovation processes engaging all relevant partners in real-life contexts, aiming to create sustainable values.","language":"en","page":"13","source":"Zotero","title":"A Milieu for Innovation – Defining Living Labs","author":[{"family":"Bergvall-Kåreborn","given":"Birgitta"},{"family":"Eriksson","given":"Carina Ihlström"},{"family":"Ståhlbröst","given":"Anna"},{"family":"Svensson","given":"Jesper"}],"issued":{"date-parts":[["2010"]]}},"suppress-author":true}],"schema":"https://github.com/citation-style-language/schema/raw/master/csl-citation.json"}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hAnsi="Times New Roman" w:cs="Times New Roman"/>
          <w:color w:val="000000" w:themeColor="text1"/>
          <w:sz w:val="24"/>
          <w:szCs w:val="24"/>
        </w:rPr>
        <w:t>(2010)</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argue that Living Labs focus on creating sustainable value by inter-organisational collaborations. </w:t>
      </w:r>
    </w:p>
    <w:p w14:paraId="2262A003" w14:textId="4F9D80D4" w:rsidR="002C1A2F" w:rsidRPr="00F153F6" w:rsidRDefault="002C1A2F" w:rsidP="004424B4">
      <w:pPr>
        <w:pStyle w:val="Heading3"/>
        <w:spacing w:line="360" w:lineRule="auto"/>
        <w:ind w:firstLine="720"/>
        <w:jc w:val="both"/>
        <w:rPr>
          <w:rFonts w:ascii="Times New Roman" w:hAnsi="Times New Roman" w:cs="Times New Roman"/>
          <w:b/>
          <w:color w:val="000000" w:themeColor="text1"/>
          <w:sz w:val="28"/>
          <w:szCs w:val="28"/>
        </w:rPr>
      </w:pPr>
      <w:bookmarkStart w:id="255" w:name="_Toc50065938"/>
      <w:bookmarkStart w:id="256" w:name="_Toc118371109"/>
      <w:bookmarkStart w:id="257" w:name="_Toc133252132"/>
      <w:r w:rsidRPr="00F153F6">
        <w:rPr>
          <w:rFonts w:ascii="Times New Roman" w:hAnsi="Times New Roman" w:cs="Times New Roman"/>
          <w:b/>
          <w:color w:val="000000" w:themeColor="text1"/>
          <w:sz w:val="28"/>
          <w:szCs w:val="28"/>
        </w:rPr>
        <w:t>2.7.3 Defining Living Labs</w:t>
      </w:r>
      <w:bookmarkEnd w:id="255"/>
      <w:bookmarkEnd w:id="256"/>
      <w:r w:rsidRPr="00F153F6">
        <w:rPr>
          <w:rFonts w:ascii="Times New Roman" w:hAnsi="Times New Roman" w:cs="Times New Roman"/>
          <w:b/>
          <w:color w:val="000000" w:themeColor="text1"/>
          <w:sz w:val="28"/>
          <w:szCs w:val="28"/>
        </w:rPr>
        <w:t xml:space="preserve"> </w:t>
      </w:r>
      <w:r w:rsidR="004B42EA" w:rsidRPr="00F153F6">
        <w:rPr>
          <w:rFonts w:ascii="Times New Roman" w:hAnsi="Times New Roman" w:cs="Times New Roman"/>
          <w:b/>
          <w:color w:val="000000" w:themeColor="text1"/>
          <w:sz w:val="28"/>
          <w:szCs w:val="28"/>
        </w:rPr>
        <w:t>as</w:t>
      </w:r>
      <w:r w:rsidRPr="00F153F6">
        <w:rPr>
          <w:rFonts w:ascii="Times New Roman" w:hAnsi="Times New Roman" w:cs="Times New Roman"/>
          <w:b/>
          <w:color w:val="000000" w:themeColor="text1"/>
          <w:sz w:val="28"/>
          <w:szCs w:val="28"/>
        </w:rPr>
        <w:t xml:space="preserve"> the </w:t>
      </w:r>
      <w:r w:rsidR="004B42EA" w:rsidRPr="00F153F6">
        <w:rPr>
          <w:rFonts w:ascii="Times New Roman" w:hAnsi="Times New Roman" w:cs="Times New Roman"/>
          <w:b/>
          <w:color w:val="000000" w:themeColor="text1"/>
          <w:sz w:val="28"/>
          <w:szCs w:val="28"/>
        </w:rPr>
        <w:t>C</w:t>
      </w:r>
      <w:r w:rsidRPr="00F153F6">
        <w:rPr>
          <w:rFonts w:ascii="Times New Roman" w:hAnsi="Times New Roman" w:cs="Times New Roman"/>
          <w:b/>
          <w:color w:val="000000" w:themeColor="text1"/>
          <w:sz w:val="28"/>
          <w:szCs w:val="28"/>
        </w:rPr>
        <w:t>ontext</w:t>
      </w:r>
      <w:bookmarkEnd w:id="257"/>
      <w:r w:rsidR="004B42EA" w:rsidRPr="00F153F6">
        <w:rPr>
          <w:rFonts w:ascii="Times New Roman" w:hAnsi="Times New Roman" w:cs="Times New Roman"/>
          <w:b/>
          <w:color w:val="000000" w:themeColor="text1"/>
          <w:sz w:val="28"/>
          <w:szCs w:val="28"/>
        </w:rPr>
        <w:t xml:space="preserve"> </w:t>
      </w:r>
      <w:r w:rsidRPr="00F153F6">
        <w:rPr>
          <w:rFonts w:ascii="Times New Roman" w:hAnsi="Times New Roman" w:cs="Times New Roman"/>
          <w:b/>
          <w:color w:val="000000" w:themeColor="text1"/>
          <w:sz w:val="28"/>
          <w:szCs w:val="28"/>
        </w:rPr>
        <w:t xml:space="preserve"> </w:t>
      </w:r>
    </w:p>
    <w:p w14:paraId="3CA15A92" w14:textId="3A2A568D" w:rsidR="002C1A2F" w:rsidRPr="00F153F6" w:rsidRDefault="007F5D08" w:rsidP="004424B4">
      <w:pPr>
        <w:spacing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iCs/>
          <w:color w:val="000000" w:themeColor="text1"/>
          <w:sz w:val="24"/>
          <w:szCs w:val="24"/>
        </w:rPr>
        <w:t>Both school of thoughts (Milium and Approach) in understanding the notion of Living Lab are perceived valuable in this research. However, to fully capture the context of Living Labs, an integral understanding of both school of thoughts is needed. Therefore,  b</w:t>
      </w:r>
      <w:r w:rsidR="002C1A2F" w:rsidRPr="00F153F6">
        <w:rPr>
          <w:rFonts w:ascii="Times New Roman" w:eastAsiaTheme="minorEastAsia" w:hAnsi="Times New Roman" w:cs="Times New Roman"/>
          <w:iCs/>
          <w:color w:val="000000" w:themeColor="text1"/>
          <w:sz w:val="24"/>
          <w:szCs w:val="24"/>
        </w:rPr>
        <w:t xml:space="preserve">ased on the previous analysis of Living Labs and their characteristics, this study builds on Bergvall-Kåreborn et al. </w:t>
      </w:r>
      <w:r w:rsidR="002C1A2F" w:rsidRPr="00F153F6">
        <w:rPr>
          <w:rFonts w:ascii="Times New Roman" w:eastAsiaTheme="minorEastAsia" w:hAnsi="Times New Roman" w:cs="Times New Roman"/>
          <w:iCs/>
          <w:color w:val="000000" w:themeColor="text1"/>
          <w:sz w:val="24"/>
          <w:szCs w:val="24"/>
        </w:rPr>
        <w:fldChar w:fldCharType="begin"/>
      </w:r>
      <w:r w:rsidR="002C1A2F" w:rsidRPr="00F153F6">
        <w:rPr>
          <w:rFonts w:ascii="Times New Roman" w:eastAsiaTheme="minorEastAsia" w:hAnsi="Times New Roman" w:cs="Times New Roman"/>
          <w:iCs/>
          <w:color w:val="000000" w:themeColor="text1"/>
          <w:sz w:val="24"/>
          <w:szCs w:val="24"/>
        </w:rPr>
        <w:instrText xml:space="preserve"> ADDIN ZOTERO_ITEM CSL_CITATION {"citationID":"uc06VGUd","properties":{"formattedCitation":"(2010)","plainCitation":"(2010)","noteIndex":0},"citationItems":[{"id":362,"uris":["http://zotero.org/users/5709166/items/EUG2MJCS"],"itemData":{"id":362,"type":"article-journal","abstract":"A new trend of user involvement in open innovation processes has emerged. Concurring with this trend the Living Lab concept has been revitalized. This concept has attracted attention lately, but there exist no coherent view. In this paper we discuss and define the concept and propose five key components and five key principles for Living Labs based on experiences from over 30 development and research projects within two Living Labs, Botnia Living Lab and Halmstad Living Lab. The key components are: ICT &amp; Infrastructure; Management; Partners &amp; Users; Research; and Approach. The key principles are: Openness; Influence; Realism; Value; and Sustainability. Our proposed definition of a Living Lab is: A Living Lab is a user-centric innovation milieu built on every-day practice and research, with an approach that facilitates user influence in open and distributed innovation processes engaging all relevant partners in real-life contexts, aiming to create sustainable values.","language":"en","page":"13","source":"Zotero","title":"A Milieu for Innovation – Defining Living Labs","author":[{"family":"Bergvall-Kåreborn","given":"Birgitta"},{"family":"Eriksson","given":"Carina Ihlström"},{"family":"Ståhlbröst","given":"Anna"},{"family":"Svensson","given":"Jesper"}],"issued":{"date-parts":[["2010"]]}},"suppress-author":true}],"schema":"https://github.com/citation-style-language/schema/raw/master/csl-citation.json"} </w:instrText>
      </w:r>
      <w:r w:rsidR="002C1A2F" w:rsidRPr="00F153F6">
        <w:rPr>
          <w:rFonts w:ascii="Times New Roman" w:eastAsiaTheme="minorEastAsia" w:hAnsi="Times New Roman" w:cs="Times New Roman"/>
          <w:iCs/>
          <w:color w:val="000000" w:themeColor="text1"/>
          <w:sz w:val="24"/>
          <w:szCs w:val="24"/>
        </w:rPr>
        <w:fldChar w:fldCharType="separate"/>
      </w:r>
      <w:r w:rsidR="002C1A2F" w:rsidRPr="00F153F6">
        <w:rPr>
          <w:rFonts w:ascii="Times New Roman" w:hAnsi="Times New Roman" w:cs="Times New Roman"/>
          <w:color w:val="000000" w:themeColor="text1"/>
          <w:sz w:val="24"/>
          <w:szCs w:val="24"/>
        </w:rPr>
        <w:t>(2010)</w:t>
      </w:r>
      <w:r w:rsidR="002C1A2F" w:rsidRPr="00F153F6">
        <w:rPr>
          <w:rFonts w:ascii="Times New Roman" w:eastAsiaTheme="minorEastAsia" w:hAnsi="Times New Roman" w:cs="Times New Roman"/>
          <w:iCs/>
          <w:color w:val="000000" w:themeColor="text1"/>
          <w:sz w:val="24"/>
          <w:szCs w:val="24"/>
        </w:rPr>
        <w:fldChar w:fldCharType="end"/>
      </w:r>
      <w:r w:rsidR="002C1A2F" w:rsidRPr="00F153F6">
        <w:rPr>
          <w:rFonts w:ascii="Times New Roman" w:eastAsiaTheme="minorEastAsia" w:hAnsi="Times New Roman" w:cs="Times New Roman"/>
          <w:iCs/>
          <w:color w:val="000000" w:themeColor="text1"/>
          <w:sz w:val="24"/>
          <w:szCs w:val="24"/>
        </w:rPr>
        <w:t>’s definition and defines Living Labs as below:</w:t>
      </w:r>
    </w:p>
    <w:p w14:paraId="151C77D2" w14:textId="01C57E3B"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i/>
          <w:color w:val="000000" w:themeColor="text1"/>
          <w:sz w:val="24"/>
          <w:szCs w:val="24"/>
        </w:rPr>
        <w:t xml:space="preserve">A Living Lab is an approach that facilitates user influence in open and distributed innovation processes by providing a user-centric innovation milieu built on a real-life context, engaging all relevant organisations to collaborate across organisational boundaries, where </w:t>
      </w:r>
      <w:r w:rsidR="009E32A5" w:rsidRPr="00F153F6">
        <w:rPr>
          <w:rFonts w:ascii="Times New Roman" w:eastAsiaTheme="minorEastAsia" w:hAnsi="Times New Roman" w:cs="Times New Roman"/>
          <w:i/>
          <w:color w:val="000000" w:themeColor="text1"/>
          <w:sz w:val="24"/>
          <w:szCs w:val="24"/>
        </w:rPr>
        <w:t>they</w:t>
      </w:r>
      <w:r w:rsidRPr="00F153F6">
        <w:rPr>
          <w:rFonts w:ascii="Times New Roman" w:eastAsiaTheme="minorEastAsia" w:hAnsi="Times New Roman" w:cs="Times New Roman"/>
          <w:i/>
          <w:color w:val="000000" w:themeColor="text1"/>
          <w:sz w:val="24"/>
          <w:szCs w:val="24"/>
        </w:rPr>
        <w:t xml:space="preserve"> can exchange knowledge for creating sustainable values.</w:t>
      </w:r>
    </w:p>
    <w:p w14:paraId="002D7288" w14:textId="67B2AC50"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iCs/>
          <w:color w:val="000000" w:themeColor="text1"/>
          <w:sz w:val="24"/>
          <w:szCs w:val="24"/>
        </w:rPr>
        <w:t xml:space="preserve">This definition considers Living Labs as an approach that integrates specific characteristics from both schools of thought. The milieu aspect is proposed in the definition because in this research Living Labs are used as a context to study IOKE practices. Since Living Labs involve different organisations in co-creating values, this definition stresses the collaboration across organisational boundaries, which fits the needs on interpreting the role of multiple stakeholders from organisations in an inter-organisational collaboration process. In addition, in order to collaboratively create sustainable values, organisations need to engage in knowledge exchange, which emphasises the role of Living Labs activities in this research. Finally, this definition </w:t>
      </w:r>
      <w:r w:rsidRPr="00F153F6">
        <w:rPr>
          <w:rFonts w:ascii="Times New Roman" w:eastAsiaTheme="minorEastAsia" w:hAnsi="Times New Roman" w:cs="Times New Roman"/>
          <w:iCs/>
          <w:color w:val="000000" w:themeColor="text1"/>
          <w:sz w:val="24"/>
          <w:szCs w:val="24"/>
        </w:rPr>
        <w:lastRenderedPageBreak/>
        <w:t>focuses on the ICT-based values in the Living Labs innovation, since ICT is an important characteristic as a factor and as an outcome of Living Labs. The above highlights in the Living Labs definition help delineate the research field within which the role of ICT towards shaping IOKE is to be explored.</w:t>
      </w:r>
    </w:p>
    <w:p w14:paraId="3B2CF16F" w14:textId="77777777" w:rsidR="000543CB" w:rsidRPr="00F153F6" w:rsidRDefault="000543CB" w:rsidP="004424B4">
      <w:pPr>
        <w:spacing w:line="360" w:lineRule="auto"/>
        <w:jc w:val="both"/>
        <w:rPr>
          <w:rFonts w:ascii="Times New Roman" w:eastAsiaTheme="minorEastAsia" w:hAnsi="Times New Roman" w:cs="Times New Roman"/>
          <w:iCs/>
          <w:color w:val="000000" w:themeColor="text1"/>
          <w:sz w:val="24"/>
          <w:szCs w:val="24"/>
        </w:rPr>
      </w:pPr>
    </w:p>
    <w:p w14:paraId="6A8F8A92" w14:textId="77777777" w:rsidR="002C1A2F" w:rsidRPr="00F153F6" w:rsidRDefault="002C1A2F" w:rsidP="004424B4">
      <w:pPr>
        <w:pStyle w:val="Heading3"/>
        <w:spacing w:line="360" w:lineRule="auto"/>
        <w:ind w:firstLine="720"/>
        <w:jc w:val="both"/>
        <w:rPr>
          <w:rFonts w:ascii="Times New Roman" w:hAnsi="Times New Roman" w:cs="Times New Roman"/>
          <w:b/>
          <w:color w:val="000000" w:themeColor="text1"/>
          <w:sz w:val="28"/>
          <w:szCs w:val="28"/>
        </w:rPr>
      </w:pPr>
      <w:bookmarkStart w:id="258" w:name="_Toc118371110"/>
      <w:bookmarkStart w:id="259" w:name="_Toc133252133"/>
      <w:bookmarkStart w:id="260" w:name="OLE_LINK206"/>
      <w:bookmarkStart w:id="261" w:name="OLE_LINK207"/>
      <w:bookmarkStart w:id="262" w:name="OLE_LINK208"/>
      <w:r w:rsidRPr="00F153F6">
        <w:rPr>
          <w:rFonts w:ascii="Times New Roman" w:hAnsi="Times New Roman" w:cs="Times New Roman"/>
          <w:b/>
          <w:color w:val="000000" w:themeColor="text1"/>
          <w:sz w:val="28"/>
          <w:szCs w:val="28"/>
        </w:rPr>
        <w:t>2.7.4 Living Labs in Europe</w:t>
      </w:r>
      <w:bookmarkEnd w:id="258"/>
      <w:bookmarkEnd w:id="259"/>
    </w:p>
    <w:p w14:paraId="38B29BA6" w14:textId="4E6E7E55"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iCs/>
          <w:color w:val="000000" w:themeColor="text1"/>
          <w:sz w:val="24"/>
          <w:szCs w:val="24"/>
        </w:rPr>
        <w:t xml:space="preserve">In Europe, the development of Living Labs has experienced a significant </w:t>
      </w:r>
      <w:bookmarkStart w:id="263" w:name="OLE_LINK7"/>
      <w:bookmarkStart w:id="264" w:name="OLE_LINK8"/>
      <w:r w:rsidRPr="00F153F6">
        <w:rPr>
          <w:rFonts w:ascii="Times New Roman" w:eastAsiaTheme="minorEastAsia" w:hAnsi="Times New Roman" w:cs="Times New Roman"/>
          <w:iCs/>
          <w:color w:val="000000" w:themeColor="text1"/>
          <w:sz w:val="24"/>
          <w:szCs w:val="24"/>
        </w:rPr>
        <w:t xml:space="preserve">evolution </w:t>
      </w:r>
      <w:bookmarkEnd w:id="263"/>
      <w:bookmarkEnd w:id="264"/>
      <w:r w:rsidRPr="00F153F6">
        <w:rPr>
          <w:rFonts w:ascii="Times New Roman" w:eastAsiaTheme="minorEastAsia" w:hAnsi="Times New Roman" w:cs="Times New Roman"/>
          <w:iCs/>
          <w:color w:val="000000" w:themeColor="text1"/>
          <w:sz w:val="24"/>
          <w:szCs w:val="24"/>
        </w:rPr>
        <w:t xml:space="preserve">from scattered initiatives in the EU to a European-wide movement. Based on interviews with Living Lab experts, </w:t>
      </w:r>
      <w:bookmarkStart w:id="265" w:name="OLE_LINK33"/>
      <w:bookmarkStart w:id="266" w:name="OLE_LINK32"/>
      <w:r w:rsidRPr="00F153F6">
        <w:rPr>
          <w:rFonts w:ascii="Times New Roman" w:eastAsiaTheme="minorEastAsia" w:hAnsi="Times New Roman" w:cs="Times New Roman"/>
          <w:iCs/>
          <w:color w:val="000000" w:themeColor="text1"/>
          <w:sz w:val="24"/>
          <w:szCs w:val="24"/>
        </w:rPr>
        <w:t xml:space="preserve">Leminen &amp; Westerlund </w:t>
      </w:r>
      <w:bookmarkStart w:id="267" w:name="OLE_LINK24"/>
      <w:bookmarkStart w:id="268" w:name="OLE_LINK31"/>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{"citationID":"a1snttc9cj0","properties":{"formattedCitation":"(2019)","plainCitation":"(2019)","noteIndex":0},"citationItems":[{"id":132,"uris":["http://zotero.org/users/5709166/items/8UFFAUKR"],"itemData":{"id":132,"type":"article-journal","abstract":"This study explores the emergence of the living labs movement based on a literature review and interviews with experts acquainted with early living labs. The study contributes to the growing literature on innovation through living labs by addressing a research gap on why and how this movement is evolving. So doing, the study discusses the emergence of living labs from the perspectives of: (i) early living lab pioneers; (ii) early living lab activities in Europe, especially at Nokia Corporation; (iii) EU funding that supported the creation of living labs; (iv) national living lab networks; and (v) the multinational European Network of Living Labs (ENoLL). Moreover, upon highlighting major events in the emergence of living labs, the study identifies three consecutive phases of the global living lab movement: (i) toward a new paradigm; (ii) learning from experience; and (iii) professional living labs.","container-title":"Creativity and Innovation Management","DOI":"10.1111/caim.12310","ISSN":"1467-8691","issue":"2","language":"en","note":"_eprint: https://onlinelibrary.wiley.com/doi/pdf/10.1111/caim.12310","page":"250-264","source":"Wiley Online Library","title":"Living labs: From scattered initiatives to a global movement","title-short":"Living labs","volume":"28","author":[{"family":"Leminen","given":"Seppo"},{"family":"Westerlund","given":"Mika"}],"issued":{"date-parts":[["2019"]]}},"suppress-author":true}],"schema":"https://github.com/citation-style-language/schema/raw/master/csl-citation.json"}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eastAsiaTheme="minorEastAsia" w:hAnsi="Times New Roman" w:cs="Times New Roman"/>
          <w:iCs/>
          <w:color w:val="000000" w:themeColor="text1"/>
          <w:sz w:val="24"/>
          <w:szCs w:val="24"/>
        </w:rPr>
        <w:t>(2019)</w:t>
      </w:r>
      <w:r w:rsidRPr="00F153F6">
        <w:rPr>
          <w:rFonts w:ascii="Times New Roman" w:eastAsiaTheme="minorEastAsia" w:hAnsi="Times New Roman" w:cs="Times New Roman"/>
          <w:iCs/>
          <w:color w:val="000000" w:themeColor="text1"/>
          <w:sz w:val="24"/>
          <w:szCs w:val="24"/>
        </w:rPr>
        <w:fldChar w:fldCharType="end"/>
      </w:r>
      <w:bookmarkEnd w:id="265"/>
      <w:bookmarkEnd w:id="266"/>
      <w:bookmarkEnd w:id="267"/>
      <w:bookmarkEnd w:id="268"/>
      <w:r w:rsidRPr="00F153F6">
        <w:rPr>
          <w:rFonts w:ascii="Times New Roman" w:eastAsiaTheme="minorEastAsia" w:hAnsi="Times New Roman" w:cs="Times New Roman"/>
          <w:iCs/>
          <w:color w:val="000000" w:themeColor="text1"/>
          <w:sz w:val="24"/>
          <w:szCs w:val="24"/>
        </w:rPr>
        <w:t xml:space="preserve"> map a brief history of European Living Labs. Originally, Living Labs were mainly developed in the U.S with the first ‘Living Lab’ introduced by Bill Mitchell in MIT. The earliest European Living Lab was first established in the Nokia Corporation in Finland, in 2001, and was named </w:t>
      </w:r>
      <w:bookmarkStart w:id="269" w:name="OLE_LINK15"/>
      <w:bookmarkStart w:id="270" w:name="OLE_LINK16"/>
      <w:r w:rsidRPr="00F153F6">
        <w:rPr>
          <w:rFonts w:ascii="Times New Roman" w:eastAsiaTheme="minorEastAsia" w:hAnsi="Times New Roman" w:cs="Times New Roman"/>
          <w:iCs/>
          <w:color w:val="000000" w:themeColor="text1"/>
          <w:sz w:val="24"/>
          <w:szCs w:val="24"/>
        </w:rPr>
        <w:t>NokiaSpacelab</w:t>
      </w:r>
      <w:bookmarkEnd w:id="269"/>
      <w:bookmarkEnd w:id="270"/>
      <w:r w:rsidRPr="00F153F6">
        <w:rPr>
          <w:rFonts w:ascii="Times New Roman" w:eastAsiaTheme="minorEastAsia" w:hAnsi="Times New Roman" w:cs="Times New Roman"/>
          <w:iCs/>
          <w:color w:val="000000" w:themeColor="text1"/>
          <w:sz w:val="24"/>
          <w:szCs w:val="24"/>
        </w:rPr>
        <w:t xml:space="preserve"> real-life research environment. Until 2004, more Living Labs were established in European countries such as Finland and Sweden, and more Living Lab-based projects and ideas were initiated to understand creative works with various technologies in real-life settings. After 2004, the emergence of open innovation practices extended the concept and work of Living Labs towards an open collaborative innovation environment teamed up by various types of collaborators such as universities, governmental agencies, and end users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{"citationID":"a4nebunqap","properties":{"formattedCitation":"(H. W. Chesbrough &amp; Appleyard, 2007)","plainCitation":"(H. W. Chesbrough &amp; Appleyard, 2007)","noteIndex":0},"citationItems":[{"id":130,"uris":["http://zotero.org/users/5709166/items/P6WJW5KA"],"itemData":{"id":130,"type":"article-journal","container-title":"California Management Review","DOI":"10.2307/41166416","ISSN":"0008-1256","issue":"1","journalAbbreviation":"California Management Review","note":"publisher: SAGE Publications Inc","page":"57-76","source":"SAGE Journals","title":"Open Innovation and Strategy","volume":"50","author":[{"family":"Chesbrough","given":"Henry W."},{"family":"Appleyard","given":"Melissa M."}],"issued":{"date-parts":[["2007",10,1]]}}}],"schema":"https://github.com/citation-style-language/schema/raw/master/csl-citation.json"}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eastAsiaTheme="minorEastAsia" w:hAnsi="Times New Roman" w:cs="Times New Roman"/>
          <w:iCs/>
          <w:color w:val="000000" w:themeColor="text1"/>
          <w:sz w:val="24"/>
          <w:szCs w:val="24"/>
        </w:rPr>
        <w:t>(Chesbrough &amp; Appleyard, 2007)</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Various research conducted in the field of open innovation and Living Labs in Europe show a need of Living Lab’s environment from ‘semi-closed’ environment (i.e. internal innovation ran by company with external testing tasked to users) towards innovation by ‘the crowd’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{"citationID":"af1hl62k3c","properties":{"formattedCitation":"(Leminen et al., 2012; Leminen &amp; Westerlund, 2019)","plainCitation":"(Leminen et al., 2012; Leminen &amp; Westerlund, 2019)","noteIndex":0},"citationItems":[{"id":470,"uris":["http://zotero.org/users/5709166/items/S9BSZJAT"],"itemData":{"id":470,"type":"article-journal","container-title":"Technology Innovation Management Review","language":"en","page":"7","source":"Zotero","title":"Living Labs as Open-Innovation Networks","author":[{"family":"Leminen","given":"Seppo"},{"family":"Westerlund","given":"Mika"},{"family":"Nyström","given":"Anna-Greta"}],"issued":{"date-parts":[["2012"]]}}},{"id":132,"uris":["http://zotero.org/users/5709166/items/8UFFAUKR"],"itemData":{"id":132,"type":"article-journal","abstract":"This study explores the emergence of the living labs movement based on a literature review and interviews with experts acquainted with early living labs. The study contributes to the growing literature on innovation through living labs by addressing a research gap on why and how this movement is evolving. So doing, the study discusses the emergence of living labs from the perspectives of: (i) early living lab pioneers; (ii) early living lab activities in Europe, especially at Nokia Corporation; (iii) EU funding that supported the creation of living labs; (iv) national living lab networks; and (v) the multinational European Network of Living Labs (ENoLL). Moreover, upon highlighting major events in the emergence of living labs, the study identifies three consecutive phases of the global living lab movement: (i) toward a new paradigm; (ii) learning from experience; and (iii) professional living labs.","container-title":"Creativity and Innovation Management","DOI":"10.1111/caim.12310","ISSN":"1467-8691","issue":"2","language":"en","note":"_eprint: https://onlinelibrary.wiley.com/doi/pdf/10.1111/caim.12310","page":"250-264","source":"Wiley Online Library","title":"Living labs: From scattered initiatives to a global movement","title-short":"Living labs","volume":"28","author":[{"family":"Leminen","given":"Seppo"},{"family":"Westerlund","given":"Mika"}],"issued":{"date-parts":[["2019"]]}}}],"schema":"https://github.com/citation-style-language/schema/raw/master/csl-citation.json"}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eastAsiaTheme="minorEastAsia" w:hAnsi="Times New Roman" w:cs="Times New Roman"/>
          <w:iCs/>
          <w:color w:val="000000" w:themeColor="text1"/>
          <w:sz w:val="24"/>
          <w:szCs w:val="24"/>
        </w:rPr>
        <w:t>(Leminen et al., 2012; Leminen &amp; Westerlund, 2019)</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e.g. user-driven innovation in Living Labs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{"citationID":"aupn69f06v","properties":{"formattedCitation":"(Guzm\\uc0\\u225{}n et al., 2013)","plainCitation":"(Guzmán et al., 2013)","noteIndex":0},"citationItems":[{"id":2178,"uris":["http://zotero.org/users/5709166/items/H32RN76B"],"itemData":{"id":2178,"type":"article-journal","abstract":"OVERVIEW: Living labs are innovation infrastructures within which software companies and research organizations collaborate with lead users and early adopters in creating participative strategies to deﬁne, design, develop, and validate new products and services that maximize the socioeconomic conditions of the partnership. For this kind of innovation cluster to succeed, it must implement effective practices to manage the collaboration. However, there is currently no process reference model for efﬁcient practices to manage a living lab. A case study involving six living labs was carried out to create and validate a process reference model for living labs.","container-title":"Research-Technology Management","DOI":"10.5437/08956308X5603087","ISSN":"0895-6308, 1930-0166","issue":"3","language":"en","page":"29-39","source":"Crossref","title":"Living Labs for User-Driven Innovation: A Process Reference Model","title-short":"Living Labs for User-Driven Innovation","volume":"56","author":[{"family":"Guzmán","given":"Javier García"},{"family":"Carpio","given":"Alvaro Fernández","non-dropping-particle":"del"},{"family":"Colomo-Palacios","given":"Ricardo"},{"family":"Diego","given":"Manuel Velasco","non-dropping-particle":"de"}],"issued":{"date-parts":[["2013",5]]}}}],"schema":"https://github.com/citation-style-language/schema/raw/master/csl-citation.json"}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eastAsiaTheme="minorEastAsia" w:hAnsi="Times New Roman" w:cs="Times New Roman"/>
          <w:iCs/>
          <w:color w:val="000000" w:themeColor="text1"/>
          <w:sz w:val="24"/>
          <w:szCs w:val="24"/>
        </w:rPr>
        <w:t>(Guzmán et al., 2013)</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w:t>
      </w:r>
    </w:p>
    <w:p w14:paraId="370A0CD1" w14:textId="503A802B"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iCs/>
          <w:color w:val="000000" w:themeColor="text1"/>
          <w:sz w:val="24"/>
          <w:szCs w:val="24"/>
        </w:rPr>
        <w:t xml:space="preserve">After realising the opportunities to develop innovation with Living Labs in 2005, the European Union (EU) and European Commission (EC) played an important role in the further development of Living Labs. </w:t>
      </w:r>
      <w:bookmarkStart w:id="271" w:name="OLE_LINK20"/>
      <w:bookmarkStart w:id="272" w:name="OLE_LINK21"/>
      <w:r w:rsidRPr="00F153F6">
        <w:rPr>
          <w:rFonts w:ascii="Times New Roman" w:eastAsiaTheme="minorEastAsia" w:hAnsi="Times New Roman" w:cs="Times New Roman"/>
          <w:iCs/>
          <w:color w:val="000000" w:themeColor="text1"/>
          <w:sz w:val="24"/>
          <w:szCs w:val="24"/>
        </w:rPr>
        <w:t xml:space="preserve">The fourth EU framework outlined by the EC enabled larger Living Lab </w:t>
      </w:r>
      <w:bookmarkEnd w:id="271"/>
      <w:bookmarkEnd w:id="272"/>
      <w:r w:rsidRPr="00F153F6">
        <w:rPr>
          <w:rFonts w:ascii="Times New Roman" w:eastAsiaTheme="minorEastAsia" w:hAnsi="Times New Roman" w:cs="Times New Roman"/>
          <w:iCs/>
          <w:color w:val="000000" w:themeColor="text1"/>
          <w:sz w:val="24"/>
          <w:szCs w:val="24"/>
        </w:rPr>
        <w:t xml:space="preserve">funding in 2005. As a result of a larger Living Lab </w:t>
      </w:r>
      <w:bookmarkStart w:id="273" w:name="OLE_LINK22"/>
      <w:bookmarkStart w:id="274" w:name="OLE_LINK23"/>
      <w:r w:rsidRPr="00F153F6">
        <w:rPr>
          <w:rFonts w:ascii="Times New Roman" w:eastAsiaTheme="minorEastAsia" w:hAnsi="Times New Roman" w:cs="Times New Roman"/>
          <w:iCs/>
          <w:color w:val="000000" w:themeColor="text1"/>
          <w:sz w:val="24"/>
          <w:szCs w:val="24"/>
        </w:rPr>
        <w:t xml:space="preserve">portfolio (over 60 million Euros), a Living Labs Portfolio Leadership Group (LLPLG) was shaped, considered as “the primary form and structure of European Network of Living Labs (ENoLL)”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{"citationID":"a1ubfnsvj7m","properties":{"formattedCitation":"(Leminen &amp; Westerlund, 2019, p. 257)","plainCitation":"(Leminen &amp; Westerlund, 2019, p. 257)","noteIndex":0},"citationItems":[{"id":132,"uris":["http://zotero.org/users/5709166/items/8UFFAUKR"],"itemData":{"id":132,"type":"article-journal","abstract":"This study explores the emergence of the living labs movement based on a literature review and interviews with experts acquainted with early living labs. The study contributes to the growing literature on innovation through living labs by addressing a research gap on why and how this movement is evolving. So doing, the study discusses the emergence of living labs from the perspectives of: (i) early living lab pioneers; (ii) early living lab activities in Europe, especially at Nokia Corporation; (iii) EU funding that supported the creation of living labs; (iv) national living lab networks; and (v) the multinational European Network of Living Labs (ENoLL). Moreover, upon highlighting major events in the emergence of living labs, the study identifies three consecutive phases of the global living lab movement: (i) toward a new paradigm; (ii) learning from experience; and (iii) professional living labs.","container-title":"Creativity and Innovation Management","DOI":"10.1111/caim.12310","ISSN":"1467-8691","issue":"2","language":"en","note":"_eprint: https://onlinelibrary.wiley.com/doi/pdf/10.1111/caim.12310","page":"250-264","source":"Wiley Online Library","title":"Living labs: From scattered initiatives to a global movement","title-short":"Living labs","volume":"28","author":[{"family":"Leminen","given":"Seppo"},{"family":"Westerlund","given":"Mika"}],"issued":{"date-parts":[["2019"]]}},"locator":"257"}],"schema":"https://github.com/citation-style-language/schema/raw/master/csl-citation.json"}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eastAsiaTheme="minorEastAsia" w:hAnsi="Times New Roman" w:cs="Times New Roman"/>
          <w:iCs/>
          <w:color w:val="000000" w:themeColor="text1"/>
          <w:sz w:val="24"/>
          <w:szCs w:val="24"/>
        </w:rPr>
        <w:t>(Leminen &amp; Westerlund, 2019, p. 257)</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w:t>
      </w:r>
      <w:bookmarkEnd w:id="273"/>
      <w:bookmarkEnd w:id="274"/>
      <w:r w:rsidRPr="00F153F6">
        <w:rPr>
          <w:rFonts w:ascii="Times New Roman" w:eastAsiaTheme="minorEastAsia" w:hAnsi="Times New Roman" w:cs="Times New Roman"/>
          <w:iCs/>
          <w:color w:val="000000" w:themeColor="text1"/>
          <w:sz w:val="24"/>
          <w:szCs w:val="24"/>
        </w:rPr>
        <w:t xml:space="preserve"> In the eighth EU framework (Horizon 2020) outlined by the EC </w:t>
      </w:r>
      <w:r w:rsidRPr="00F153F6">
        <w:rPr>
          <w:rFonts w:ascii="Times New Roman" w:eastAsiaTheme="minorEastAsia" w:hAnsi="Times New Roman" w:cs="Times New Roman"/>
          <w:iCs/>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{"citationID":"a1egh88drt7","properties":{"formattedCitation":"(2015)","plainCitation":"(2015)","noteIndex":0},"citationItems":[{"id":129,"uris":["http://zotero.org/users/5709166/items/RDUYH7DS"],"itemData":{"id":129,"type":"article-magazine","title":"HORIZON30 - EU Research Framework Programmes","author":[{"family":"European Commission","given":""}],"issued":{"date-parts":[["2015"]]}},"suppress-author":true}],"schema":"https://github.com/citation-style-language/schema/raw/master/csl-citation.json"} </w:instrText>
      </w:r>
      <w:r w:rsidRPr="00F153F6">
        <w:rPr>
          <w:rFonts w:ascii="Times New Roman" w:eastAsiaTheme="minorEastAsia" w:hAnsi="Times New Roman" w:cs="Times New Roman"/>
          <w:iCs/>
          <w:color w:val="000000" w:themeColor="text1"/>
          <w:sz w:val="24"/>
          <w:szCs w:val="24"/>
        </w:rPr>
        <w:fldChar w:fldCharType="separate"/>
      </w:r>
      <w:r w:rsidRPr="00F153F6">
        <w:rPr>
          <w:rFonts w:ascii="Times New Roman" w:eastAsiaTheme="minorEastAsia" w:hAnsi="Times New Roman" w:cs="Times New Roman"/>
          <w:iCs/>
          <w:color w:val="000000" w:themeColor="text1"/>
          <w:sz w:val="24"/>
          <w:szCs w:val="24"/>
        </w:rPr>
        <w:t>(2015)</w:t>
      </w:r>
      <w:r w:rsidRPr="00F153F6">
        <w:rPr>
          <w:rFonts w:ascii="Times New Roman" w:eastAsiaTheme="minorEastAsia" w:hAnsi="Times New Roman" w:cs="Times New Roman"/>
          <w:iCs/>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the EU provided considerable funding (over 68 billion Euros) to promote research and innovation in Europe during 2014-2020 aiming to help </w:t>
      </w:r>
      <w:bookmarkStart w:id="275" w:name="OLE_LINK48"/>
      <w:bookmarkStart w:id="276" w:name="OLE_LINK55"/>
      <w:r w:rsidRPr="00F153F6">
        <w:rPr>
          <w:rFonts w:ascii="Times New Roman" w:eastAsiaTheme="minorEastAsia" w:hAnsi="Times New Roman" w:cs="Times New Roman"/>
          <w:iCs/>
          <w:color w:val="000000" w:themeColor="text1"/>
          <w:sz w:val="24"/>
          <w:szCs w:val="24"/>
        </w:rPr>
        <w:t xml:space="preserve">achieve smart, sustainable and inclusive growth </w:t>
      </w:r>
      <w:r w:rsidRPr="00F153F6">
        <w:rPr>
          <w:rFonts w:ascii="Times New Roman" w:eastAsiaTheme="minorEastAsia" w:hAnsi="Times New Roman" w:cs="Times New Roman"/>
          <w:iCs/>
          <w:color w:val="000000" w:themeColor="text1"/>
          <w:sz w:val="24"/>
          <w:szCs w:val="24"/>
        </w:rPr>
        <w:lastRenderedPageBreak/>
        <w:t xml:space="preserve">within the continent </w:t>
      </w:r>
      <w:bookmarkEnd w:id="275"/>
      <w:bookmarkEnd w:id="276"/>
      <w:r w:rsidRPr="00F153F6">
        <w:rPr>
          <w:rFonts w:ascii="Times New Roman" w:eastAsiaTheme="minorEastAsia" w:hAnsi="Times New Roman" w:cs="Times New Roman"/>
          <w:iCs/>
          <w:color w:val="000000" w:themeColor="text1"/>
          <w:sz w:val="24"/>
          <w:szCs w:val="24"/>
        </w:rPr>
        <w:t xml:space="preserve">(Europe 2020 Strategy). Currently, many Living Lab projects have acquired funding from Horizon 2020, and some can be identified in both the EU transparency register system </w:t>
      </w:r>
      <w:bookmarkStart w:id="277" w:name="OLE_LINK38"/>
      <w:bookmarkStart w:id="278" w:name="OLE_LINK43"/>
      <w:r w:rsidRPr="00F153F6">
        <w:rPr>
          <w:rFonts w:ascii="Times New Roman" w:eastAsiaTheme="minorEastAsia" w:hAnsi="Times New Roman" w:cs="Times New Roman"/>
          <w:iCs/>
          <w:color w:val="000000" w:themeColor="text1"/>
          <w:sz w:val="24"/>
          <w:szCs w:val="24"/>
        </w:rPr>
        <w:t xml:space="preserve">(ec.europa.eu) </w:t>
      </w:r>
      <w:bookmarkEnd w:id="277"/>
      <w:bookmarkEnd w:id="278"/>
      <w:r w:rsidRPr="00F153F6">
        <w:rPr>
          <w:rFonts w:ascii="Times New Roman" w:eastAsiaTheme="minorEastAsia" w:hAnsi="Times New Roman" w:cs="Times New Roman"/>
          <w:iCs/>
          <w:color w:val="000000" w:themeColor="text1"/>
          <w:sz w:val="24"/>
          <w:szCs w:val="24"/>
        </w:rPr>
        <w:t xml:space="preserve">and the website of the Living Labs certified by ENoLL </w:t>
      </w:r>
      <w:bookmarkStart w:id="279" w:name="OLE_LINK36"/>
      <w:bookmarkStart w:id="280" w:name="OLE_LINK37"/>
      <w:r w:rsidRPr="00F153F6">
        <w:rPr>
          <w:rFonts w:ascii="Times New Roman" w:eastAsiaTheme="minorEastAsia" w:hAnsi="Times New Roman" w:cs="Times New Roman"/>
          <w:iCs/>
          <w:color w:val="000000" w:themeColor="text1"/>
          <w:sz w:val="24"/>
          <w:szCs w:val="24"/>
        </w:rPr>
        <w:t xml:space="preserve">(www.enoll.org). </w:t>
      </w:r>
      <w:bookmarkEnd w:id="279"/>
      <w:bookmarkEnd w:id="280"/>
    </w:p>
    <w:p w14:paraId="1C8B5092" w14:textId="11BF971B"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iCs/>
          <w:color w:val="000000" w:themeColor="text1"/>
          <w:sz w:val="24"/>
          <w:szCs w:val="24"/>
        </w:rPr>
        <w:t xml:space="preserve">An important step of the Living Labs movement is the establishment of ENoLL in 2006, which now has been developed to “a formalised network and international federation of benchmarked Living Labs in Europe and worldwide” </w:t>
      </w:r>
      <w:r w:rsidRPr="00F153F6">
        <w:rPr>
          <w:rFonts w:ascii="Times New Roman" w:hAnsi="Times New Roman" w:cs="Times New Roman"/>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{"citationID":"a1tfnvjfp51","properties":{"formattedCitation":"(Ruijsink &amp; Smith, 2016, p. 4)","plainCitation":"(Ruijsink &amp; Smith, 2016, p. 4)","noteIndex":0},"citationItems":[{"id":128,"uris":["http://zotero.org/users/5709166/items/WBI4S8N2"],"itemData":{"id":128,"type":"report","title":"Transformative Social Innovation: European Network of Living Labs","URL":"http://www.transitsocialinnovation.eu/content/original/Book%20covers/Local%20PDFs/194%20ENoLL-living%20lab-Ehvn_Mstr-SUMMARY.pdf","author":[{"family":"Ruijsink","given":"Saskia"},{"family":"Smith","given":"Adrian"}],"accessed":{"date-parts":[["2020",9,22]]},"issued":{"date-parts":[["2016"]]}},"locator":"4"}],"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(Ruijsink &amp; Smith, 2016, p. 4)</w:t>
      </w:r>
      <w:r w:rsidRPr="00F153F6">
        <w:rPr>
          <w:rFonts w:ascii="Times New Roman" w:hAnsi="Times New Roman" w:cs="Times New Roman"/>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In a Conference committed to the Helsinki Manifesto organised in 2006, the ‘Lisbon Strategy’ was noted to have limited impact on economic growth of Europe </w:t>
      </w:r>
      <w:r w:rsidRPr="00F153F6">
        <w:rPr>
          <w:rFonts w:ascii="Times New Roman" w:hAnsi="Times New Roman" w:cs="Times New Roman"/>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{"citationID":"a2pj41u39ip","properties":{"formattedCitation":"(The Helsinki Manifesto, 2006)","plainCitation":"(The Helsinki Manifesto, 2006)","noteIndex":0},"citationItems":[{"id":127,"uris":["http://zotero.org/users/5709166/items/FTARWZJ9"],"itemData":{"id":127,"type":"paper-conference","title":"We have to move fast, before it is too late","URL":"http://elivinglab.org/files/Helsinki_Manifesto_201106.pdf","author":[{"family":"The Helsinki Manifesto","given":""}],"accessed":{"date-parts":[["2020",9,22]]},"issued":{"date-parts":[["2006"]]}}}],"schema":"https://github.com/citation-style-language/schema/raw/master/csl-citation.json"}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(The Helsinki Manifesto, 2006)</w:t>
      </w:r>
      <w:r w:rsidRPr="00F153F6">
        <w:rPr>
          <w:rFonts w:ascii="Times New Roman" w:hAnsi="Times New Roman" w:cs="Times New Roman"/>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The Conference argued for the advancement of European Living Labs as a way to enhance European innovation and stressed an urgent need for a network of European Living Labs. One month later, the Presidency of European Union launched a pan-European network of 19 Living Labs, which indicated the formal establishment of a European Network of Living Labs (ENoLL) </w:t>
      </w:r>
      <w:r w:rsidRPr="00F153F6">
        <w:rPr>
          <w:rFonts w:ascii="Times New Roman" w:hAnsi="Times New Roman" w:cs="Times New Roman"/>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{"citationID":"a1hlo82sm6s","properties":{"formattedCitation":"(Dutilleul et al., 2010)","plainCitation":"(Dutilleul et al., 2010)","noteIndex":0},"citationItems":[{"id":2170,"uris":["http://zotero.org/users/5709166/items/32TQVJNB"],"itemData":{"id":2170,"type":"article-journal","abstract":"Since their official launch in 2006, over one hundred Living Labs have\nbeen established and networked to tackle Europe’s declining economic competitiveness and societal challenges. The innovative potential of Living Labs is based\non new social configurations for organising innovation. Applying a framework\nthat supports the description of such social configurations and that focuses on\nbarriers manifested by motivational and cognitive asymmetries between actors,\nwe analyse the contributions and impediments to innovation and identify the\nproblems that characterise innovation in Living Labs. We demonstrate the framework’s analytical power to uncover and articulate contributions and challenges\ninherent to the ‘social dimension’ of innovation. At the same time, we pinpoint\nand examine some contributions of and challenges for Living Labs. On the basis\nof a literature review, we untangle and describe the three main facets of the Living Lab concept: as a setting for in vivo experimentation on social systems, for\ninnovation and product development approaches involving users, and for innovation systems. We conclude by gathering some crucial questions facing contemporary Living Labs.","source":"CiteSeer","title":"Unpacking European Living Labs: Analysing Innovation’s Social Dimensions","author":[{"family":"Dutilleul","given":"Benoît"},{"family":"Birrer","given":"Frans A. J."},{"family":"Mensink","given":"Wouter"}],"issued":{"date-parts":[["2010"]]}}}],"schema":"https://github.com/citation-style-language/schema/raw/master/csl-citation.json"}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(Dutilleul et al., 2010)</w:t>
      </w:r>
      <w:r w:rsidRPr="00F153F6">
        <w:rPr>
          <w:rFonts w:ascii="Times New Roman" w:hAnsi="Times New Roman" w:cs="Times New Roman"/>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Since then, an increasing number of Living Labs has joined the membership during an enrolment wave of ENoLL (i.e. calling Living Lab applicants), and today there are over 400 Living Labs enrolled in the ENoLL </w:t>
      </w:r>
      <w:r w:rsidRPr="00F153F6">
        <w:rPr>
          <w:rFonts w:ascii="Times New Roman" w:hAnsi="Times New Roman" w:cs="Times New Roman"/>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{"citationID":"a2pleoitfuj","properties":{"formattedCitation":"(Leminen &amp; Westerlund, 2019; Santonen et al., 2017)","plainCitation":"(Leminen &amp; Westerlund, 2019; Santonen et al., 2017)","noteIndex":0},"citationItems":[{"id":132,"uris":["http://zotero.org/users/5709166/items/8UFFAUKR"],"itemData":{"id":132,"type":"article-journal","abstract":"This study explores the emergence of the living labs movement based on a literature review and interviews with experts acquainted with early living labs. The study contributes to the growing literature on innovation through living labs by addressing a research gap on why and how this movement is evolving. So doing, the study discusses the emergence of living labs from the perspectives of: (i) early living lab pioneers; (ii) early living lab activities in Europe, especially at Nokia Corporation; (iii) EU funding that supported the creation of living labs; (iv) national living lab networks; and (v) the multinational European Network of Living Labs (ENoLL). Moreover, upon highlighting major events in the emergence of living labs, the study identifies three consecutive phases of the global living lab movement: (i) toward a new paradigm; (ii) learning from experience; and (iii) professional living labs.","container-title":"Creativity and Innovation Management","DOI":"10.1111/caim.12310","ISSN":"1467-8691","issue":"2","language":"en","note":"_eprint: https://onlinelibrary.wiley.com/doi/pdf/10.1111/caim.12310","page":"250-264","source":"Wiley Online Library","title":"Living labs: From scattered initiatives to a global movement","title-short":"Living labs","volume":"28","author":[{"family":"Leminen","given":"Seppo"},{"family":"Westerlund","given":"Mika"}],"issued":{"date-parts":[["2019"]]}}},{"id":124,"uris":["http://zotero.org/users/5709166/items/6F6WCLQW"],"itemData":{"id":124,"type":"article-journal","language":"en","page":"95","source":"Zotero","title":"Cities as Living Labs – Increasing the impact of investment in the circular economy for sustainable cities","author":[{"family":"Santonen","given":"Written Teemu"},{"family":"Creazzo","given":"Laura"},{"family":"Griffon","given":"Axelle"},{"family":"Bódi","given":"Zsuzsanna"},{"family":"Aversano","given":"Paolo"}],"issued":{"date-parts":[["2017"]]}}}],"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(Leminen &amp; Westerlund, 2019; Santonen et al., 2017)</w:t>
      </w:r>
      <w:r w:rsidRPr="00F153F6">
        <w:rPr>
          <w:rFonts w:ascii="Times New Roman" w:hAnsi="Times New Roman" w:cs="Times New Roman"/>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The majority of these Living Lab initiatives are located in Europe but there are also initiatives worldwide across five continents </w:t>
      </w:r>
      <w:r w:rsidRPr="00F153F6">
        <w:rPr>
          <w:rFonts w:ascii="Times New Roman" w:hAnsi="Times New Roman" w:cs="Times New Roman"/>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{"citationID":"a1mjmfvdahk","properties":{"formattedCitation":"(Zavratnik et al., 2019)","plainCitation":"(Zavratnik et al., 2019)","noteIndex":0},"citationItems":[{"id":2205,"uris":["http://zotero.org/users/5709166/items/42PXII9V"],"itemData":{"id":2205,"type":"article-journal","abstract":"Living Labs are spaces for innovative and participative research, development and activities that use multidisciplinary approaches and promote the co-creation paradigm. Our speciﬁc interest lies in exploring the value of the Living Lab concept for creating environments that enable equal opportunities for people living in rural and urban areas, and for making rural areas attractive places to live. Moreover, through the existing practices and research results available, Living Labs are seen as one of the important building blocks of smart rural development and an important step towards establishing a Smart Village environment. Living Labs are a valuable player in enhancing circular economy, digital transformation, local self-suﬃciency and other elements of sustainable living. The main aim of this paper is therefore to put Living Labs in the context of rural areas and evaluate their possible contributions for sustainable rural development. This paper argues that the element of community and social change should be considered as a key element in enabling sustainable living.","container-title":"Sustainability","DOI":"10.3390/su11143797","ISSN":"2071-1050","issue":"14","language":"en","page":"3797","source":"Crossref","title":"Living Labs for Rural Areas: Contextualization of Living Lab Frameworks, Concepts and Practices","title-short":"Living Labs for Rural Areas","volume":"11","author":[{"family":"Zavratnik","given":"Veronika"},{"family":"Superina","given":"Argene"},{"family":"Stojmenova Duh","given":"Emilija"}],"issued":{"date-parts":[["2019",7,11]]}}}],"schema":"https://github.com/citation-style-language/schema/raw/master/csl-citation.json"}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(Zavratnik et al., 2019)</w:t>
      </w:r>
      <w:r w:rsidRPr="00F153F6">
        <w:rPr>
          <w:rFonts w:ascii="Times New Roman" w:hAnsi="Times New Roman" w:cs="Times New Roman"/>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xml:space="preserve">. </w:t>
      </w:r>
    </w:p>
    <w:p w14:paraId="279EAB43" w14:textId="79E8F886" w:rsidR="002C1A2F" w:rsidRPr="00F153F6" w:rsidRDefault="002C1A2F" w:rsidP="004424B4">
      <w:pPr>
        <w:spacing w:line="360" w:lineRule="auto"/>
        <w:jc w:val="both"/>
        <w:rPr>
          <w:rFonts w:ascii="Times New Roman" w:eastAsiaTheme="minorEastAsia" w:hAnsi="Times New Roman" w:cs="Times New Roman"/>
          <w:iCs/>
          <w:color w:val="000000" w:themeColor="text1"/>
        </w:rPr>
      </w:pPr>
      <w:r w:rsidRPr="00F153F6">
        <w:rPr>
          <w:rFonts w:ascii="Times New Roman" w:eastAsiaTheme="minorEastAsia" w:hAnsi="Times New Roman" w:cs="Times New Roman"/>
          <w:iCs/>
          <w:color w:val="000000" w:themeColor="text1"/>
          <w:sz w:val="24"/>
          <w:szCs w:val="24"/>
        </w:rPr>
        <w:t xml:space="preserve">Strict criteria was compiled  by ENoLL to select Living Lab members during each enrolment wave every year </w:t>
      </w:r>
      <w:r w:rsidRPr="00F153F6">
        <w:rPr>
          <w:rFonts w:ascii="Times New Roman" w:hAnsi="Times New Roman" w:cs="Times New Roman"/>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{"citationID":"a50acq30ri","properties":{"formattedCitation":"(ENoLL, 2016)","plainCitation":"(ENoLL, 2016)","noteIndex":0},"citationItems":[{"id":125,"uris":["http://zotero.org/users/5709166/items/6I76QUEK"],"itemData":{"id":125,"type":"book","abstract":"This booklet is intended as an introduction and overview of the living lab phenomena and the international living lab network (ENoLL or European Network of Living Labs). The\ncontent has been developed as a compilation of existing research material and documentation, a reflection of the history and supporting policies, a snapshot of the current situation, and also the vision, opportunities and challenges towards the future. It is a live document and it will have regular updates and contributions.","language":"en","title":"Introducing ENoLL and its Living Lab community","URL":"https://issuu.com/enoll/docs/enoll-print","author":[{"family":"ENoLL","given":""}],"accessed":{"date-parts":[["2020",9,22]]},"issued":{"date-parts":[["2016"]]}}}],"schema":"https://github.com/citation-style-language/schema/raw/master/csl-citation.json"}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(ENoLL, 2016)</w:t>
      </w:r>
      <w:r w:rsidRPr="00F153F6">
        <w:rPr>
          <w:rFonts w:ascii="Times New Roman" w:hAnsi="Times New Roman" w:cs="Times New Roman"/>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 Following an expert assessment by ENoLL with a peer-review process, all successful applicants need to meet five criteria: Organisation, Openness, Resources, Users/Reality, and Value. Table 2.</w:t>
      </w:r>
      <w:r w:rsidR="00643D53" w:rsidRPr="00F153F6">
        <w:rPr>
          <w:rFonts w:ascii="Times New Roman" w:eastAsiaTheme="minorEastAsia" w:hAnsi="Times New Roman" w:cs="Times New Roman"/>
          <w:iCs/>
          <w:color w:val="000000" w:themeColor="text1"/>
          <w:sz w:val="24"/>
          <w:szCs w:val="24"/>
        </w:rPr>
        <w:t>6</w:t>
      </w:r>
      <w:r w:rsidRPr="00F153F6">
        <w:rPr>
          <w:rFonts w:ascii="Times New Roman" w:eastAsiaTheme="minorEastAsia" w:hAnsi="Times New Roman" w:cs="Times New Roman"/>
          <w:iCs/>
          <w:color w:val="000000" w:themeColor="text1"/>
          <w:sz w:val="24"/>
          <w:szCs w:val="24"/>
        </w:rPr>
        <w:t xml:space="preserve"> shows the specific criteria list. All accepted Living Labs can acquire the ENoLL quality label and be shown on the official website of ENoLL (</w:t>
      </w:r>
      <w:hyperlink r:id="rId19" w:history="1">
        <w:r w:rsidRPr="00F153F6">
          <w:rPr>
            <w:rStyle w:val="Hyperlink"/>
            <w:rFonts w:ascii="Times New Roman" w:eastAsiaTheme="minorEastAsia" w:hAnsi="Times New Roman" w:cs="Times New Roman"/>
            <w:iCs/>
            <w:color w:val="000000" w:themeColor="text1"/>
            <w:sz w:val="24"/>
            <w:szCs w:val="24"/>
          </w:rPr>
          <w:t>www.enoll.org</w:t>
        </w:r>
      </w:hyperlink>
      <w:r w:rsidRPr="00F153F6">
        <w:rPr>
          <w:rFonts w:ascii="Times New Roman" w:eastAsiaTheme="minorEastAsia" w:hAnsi="Times New Roman" w:cs="Times New Roman"/>
          <w:iCs/>
          <w:color w:val="000000" w:themeColor="text1"/>
          <w:sz w:val="24"/>
          <w:szCs w:val="24"/>
        </w:rPr>
        <w:t>) where the public can access their official Living Lab website and projects.</w:t>
      </w:r>
    </w:p>
    <w:p w14:paraId="0D1CE1FD" w14:textId="77777777"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p>
    <w:p w14:paraId="0004942E" w14:textId="639F5887" w:rsidR="00D345CD" w:rsidRPr="00F153F6" w:rsidRDefault="00D345CD" w:rsidP="00D345CD">
      <w:pPr>
        <w:pStyle w:val="Caption"/>
        <w:keepNext/>
        <w:rPr>
          <w:rFonts w:ascii="Times New Roman" w:hAnsi="Times New Roman" w:cs="Times New Roman"/>
          <w:i w:val="0"/>
          <w:iCs w:val="0"/>
          <w:color w:val="auto"/>
          <w:sz w:val="22"/>
          <w:szCs w:val="22"/>
        </w:rPr>
      </w:pPr>
      <w:bookmarkStart w:id="281" w:name="_Toc119448007"/>
      <w:r w:rsidRPr="00F153F6">
        <w:rPr>
          <w:rFonts w:ascii="Times New Roman" w:hAnsi="Times New Roman" w:cs="Times New Roman"/>
          <w:i w:val="0"/>
          <w:iCs w:val="0"/>
          <w:color w:val="auto"/>
          <w:sz w:val="22"/>
          <w:szCs w:val="22"/>
        </w:rPr>
        <w:t xml:space="preserve">Table 2.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Table_2.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6</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ENoLL Living Labs Selection Criteria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ADDIN ZOTERO_ITEM CSL_CITATION {"citationID":"DDHC7AeE","properties":{"formattedCitation":"(ENoLL, 2016)","plainCitation":"(ENoLL, 2016)","noteIndex":0},"citationItems":[{"id":125,"uris":["http://zotero.org/users/5709166/items/6I76QUEK"],"itemData":{"id":125,"type":"book","abstract":"This booklet is intended as an introduction and overview of the living lab phenomena and the international living lab network (ENoLL or European Network of Living Labs). The\ncontent has been developed as a compilation of existing research material and documentation, a reflection of the history and supporting policies, a snapshot of the current situation, and also the vision, opportunities and challenges towards the future. It is a live document and it will have regular updates and contributions.","language":"en","title":"Introducing ENoLL and its Living Lab community","URL":"https://issuu.com/enoll/docs/enoll-print","author":[{"family":"ENoLL","given":""}],"accessed":{"date-parts":[["2020",9,22]]},"issued":{"date-parts":[["2016"]]}}}],"schema":"https://github.com/citation-style-language/schema/raw/master/csl-citation.json"}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color w:val="auto"/>
          <w:sz w:val="22"/>
          <w:szCs w:val="22"/>
        </w:rPr>
        <w:t>(ENoLL, 2016)</w:t>
      </w:r>
      <w:bookmarkEnd w:id="281"/>
      <w:r w:rsidRPr="00F153F6">
        <w:rPr>
          <w:rFonts w:ascii="Times New Roman" w:hAnsi="Times New Roman" w:cs="Times New Roman"/>
          <w:i w:val="0"/>
          <w:iCs w:val="0"/>
          <w:color w:val="auto"/>
          <w:sz w:val="22"/>
          <w:szCs w:val="22"/>
        </w:rPr>
        <w:fldChar w:fldCharType="end"/>
      </w:r>
    </w:p>
    <w:tbl>
      <w:tblPr>
        <w:tblStyle w:val="PlainTable2"/>
        <w:tblW w:w="9125" w:type="dxa"/>
        <w:tblBorders>
          <w:top w:val="single" w:sz="4" w:space="0" w:color="auto"/>
          <w:bottom w:val="single" w:sz="4" w:space="0" w:color="auto"/>
        </w:tblBorders>
        <w:tblLook w:val="04A0" w:firstRow="1" w:lastRow="0" w:firstColumn="1" w:lastColumn="0" w:noHBand="0" w:noVBand="1"/>
      </w:tblPr>
      <w:tblGrid>
        <w:gridCol w:w="9125"/>
      </w:tblGrid>
      <w:tr w:rsidR="002C1A2F" w:rsidRPr="00F153F6" w14:paraId="541571AC" w14:textId="77777777" w:rsidTr="004314D7">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9125" w:type="dxa"/>
            <w:tcBorders>
              <w:top w:val="single" w:sz="4" w:space="0" w:color="auto"/>
              <w:left w:val="nil"/>
              <w:bottom w:val="nil"/>
              <w:right w:val="nil"/>
            </w:tcBorders>
            <w:hideMark/>
          </w:tcPr>
          <w:p w14:paraId="7E6DC46C" w14:textId="654A2CB4"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sz w:val="24"/>
                <w:szCs w:val="24"/>
              </w:rPr>
            </w:pPr>
            <w:r w:rsidRPr="00F153F6">
              <w:rPr>
                <w:rFonts w:ascii="Times New Roman" w:eastAsiaTheme="minorEastAsia" w:hAnsi="Times New Roman" w:cs="Times New Roman"/>
                <w:b w:val="0"/>
                <w:bCs w:val="0"/>
                <w:iCs/>
                <w:color w:val="000000" w:themeColor="text1"/>
              </w:rPr>
              <w:t>Evidence of co-created value from research, development and innovation</w:t>
            </w:r>
          </w:p>
        </w:tc>
      </w:tr>
      <w:tr w:rsidR="002C1A2F" w:rsidRPr="00F153F6" w14:paraId="5DDEC6E8" w14:textId="77777777" w:rsidTr="004314D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125" w:type="dxa"/>
            <w:tcBorders>
              <w:top w:val="nil"/>
              <w:left w:val="nil"/>
              <w:bottom w:val="nil"/>
              <w:right w:val="nil"/>
            </w:tcBorders>
            <w:hideMark/>
          </w:tcPr>
          <w:p w14:paraId="55B6B8DD" w14:textId="77777777"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rPr>
            </w:pPr>
            <w:r w:rsidRPr="00F153F6">
              <w:rPr>
                <w:rFonts w:ascii="Times New Roman" w:eastAsiaTheme="minorEastAsia" w:hAnsi="Times New Roman" w:cs="Times New Roman"/>
                <w:b w:val="0"/>
                <w:bCs w:val="0"/>
                <w:iCs/>
                <w:color w:val="000000" w:themeColor="text1"/>
              </w:rPr>
              <w:t>Values/services offered/provided to LL actors</w:t>
            </w:r>
          </w:p>
        </w:tc>
      </w:tr>
      <w:tr w:rsidR="002C1A2F" w:rsidRPr="00F153F6" w14:paraId="7578B572" w14:textId="77777777" w:rsidTr="004314D7">
        <w:trPr>
          <w:trHeight w:val="257"/>
        </w:trPr>
        <w:tc>
          <w:tcPr>
            <w:cnfStyle w:val="001000000000" w:firstRow="0" w:lastRow="0" w:firstColumn="1" w:lastColumn="0" w:oddVBand="0" w:evenVBand="0" w:oddHBand="0" w:evenHBand="0" w:firstRowFirstColumn="0" w:firstRowLastColumn="0" w:lastRowFirstColumn="0" w:lastRowLastColumn="0"/>
            <w:tcW w:w="9125" w:type="dxa"/>
            <w:tcBorders>
              <w:top w:val="nil"/>
              <w:left w:val="nil"/>
              <w:bottom w:val="nil"/>
              <w:right w:val="nil"/>
            </w:tcBorders>
            <w:hideMark/>
          </w:tcPr>
          <w:p w14:paraId="46819D34" w14:textId="77777777"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rPr>
            </w:pPr>
            <w:r w:rsidRPr="00F153F6">
              <w:rPr>
                <w:rFonts w:ascii="Times New Roman" w:eastAsiaTheme="minorEastAsia" w:hAnsi="Times New Roman" w:cs="Times New Roman"/>
                <w:b w:val="0"/>
                <w:bCs w:val="0"/>
                <w:iCs/>
                <w:color w:val="000000" w:themeColor="text1"/>
              </w:rPr>
              <w:t>Measures to involve users</w:t>
            </w:r>
          </w:p>
        </w:tc>
      </w:tr>
      <w:tr w:rsidR="002C1A2F" w:rsidRPr="00F153F6" w14:paraId="4DB19E83" w14:textId="77777777" w:rsidTr="004314D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125" w:type="dxa"/>
            <w:tcBorders>
              <w:top w:val="nil"/>
              <w:left w:val="nil"/>
              <w:bottom w:val="nil"/>
              <w:right w:val="nil"/>
            </w:tcBorders>
            <w:hideMark/>
          </w:tcPr>
          <w:p w14:paraId="32D5C349" w14:textId="77777777"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rPr>
            </w:pPr>
            <w:r w:rsidRPr="00F153F6">
              <w:rPr>
                <w:rFonts w:ascii="Times New Roman" w:eastAsiaTheme="minorEastAsia" w:hAnsi="Times New Roman" w:cs="Times New Roman"/>
                <w:b w:val="0"/>
                <w:bCs w:val="0"/>
                <w:iCs/>
                <w:color w:val="000000" w:themeColor="text1"/>
              </w:rPr>
              <w:t>Reality usage contexts, where the LL runs its operations</w:t>
            </w:r>
          </w:p>
        </w:tc>
      </w:tr>
      <w:tr w:rsidR="002C1A2F" w:rsidRPr="00F153F6" w14:paraId="4B9D7243" w14:textId="77777777" w:rsidTr="004314D7">
        <w:trPr>
          <w:trHeight w:val="271"/>
        </w:trPr>
        <w:tc>
          <w:tcPr>
            <w:cnfStyle w:val="001000000000" w:firstRow="0" w:lastRow="0" w:firstColumn="1" w:lastColumn="0" w:oddVBand="0" w:evenVBand="0" w:oddHBand="0" w:evenHBand="0" w:firstRowFirstColumn="0" w:firstRowLastColumn="0" w:lastRowFirstColumn="0" w:lastRowLastColumn="0"/>
            <w:tcW w:w="9125" w:type="dxa"/>
            <w:tcBorders>
              <w:top w:val="nil"/>
              <w:left w:val="nil"/>
              <w:bottom w:val="nil"/>
              <w:right w:val="nil"/>
            </w:tcBorders>
            <w:hideMark/>
          </w:tcPr>
          <w:p w14:paraId="321ADD02" w14:textId="77777777"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rPr>
            </w:pPr>
            <w:r w:rsidRPr="00F153F6">
              <w:rPr>
                <w:rFonts w:ascii="Times New Roman" w:eastAsiaTheme="minorEastAsia" w:hAnsi="Times New Roman" w:cs="Times New Roman"/>
                <w:b w:val="0"/>
                <w:bCs w:val="0"/>
                <w:iCs/>
                <w:color w:val="000000" w:themeColor="text1"/>
              </w:rPr>
              <w:lastRenderedPageBreak/>
              <w:t>User-centricity within the entire service process</w:t>
            </w:r>
          </w:p>
        </w:tc>
      </w:tr>
      <w:tr w:rsidR="002C1A2F" w:rsidRPr="00F153F6" w14:paraId="03E516CA" w14:textId="77777777" w:rsidTr="004314D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9125" w:type="dxa"/>
            <w:tcBorders>
              <w:top w:val="nil"/>
              <w:left w:val="nil"/>
              <w:bottom w:val="nil"/>
              <w:right w:val="nil"/>
            </w:tcBorders>
            <w:hideMark/>
          </w:tcPr>
          <w:p w14:paraId="72355AB0" w14:textId="77777777"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rPr>
            </w:pPr>
            <w:r w:rsidRPr="00F153F6">
              <w:rPr>
                <w:rFonts w:ascii="Times New Roman" w:eastAsiaTheme="minorEastAsia" w:hAnsi="Times New Roman" w:cs="Times New Roman"/>
                <w:b w:val="0"/>
                <w:bCs w:val="0"/>
                <w:iCs/>
                <w:color w:val="000000" w:themeColor="text1"/>
              </w:rPr>
              <w:t>Full product lifecycle support – capability and maturity</w:t>
            </w:r>
          </w:p>
        </w:tc>
      </w:tr>
      <w:tr w:rsidR="002C1A2F" w:rsidRPr="00F153F6" w14:paraId="7500E43A" w14:textId="77777777" w:rsidTr="004314D7">
        <w:trPr>
          <w:trHeight w:val="271"/>
        </w:trPr>
        <w:tc>
          <w:tcPr>
            <w:cnfStyle w:val="001000000000" w:firstRow="0" w:lastRow="0" w:firstColumn="1" w:lastColumn="0" w:oddVBand="0" w:evenVBand="0" w:oddHBand="0" w:evenHBand="0" w:firstRowFirstColumn="0" w:firstRowLastColumn="0" w:lastRowFirstColumn="0" w:lastRowLastColumn="0"/>
            <w:tcW w:w="9125" w:type="dxa"/>
            <w:tcBorders>
              <w:top w:val="nil"/>
              <w:left w:val="nil"/>
              <w:bottom w:val="nil"/>
              <w:right w:val="nil"/>
            </w:tcBorders>
            <w:hideMark/>
          </w:tcPr>
          <w:p w14:paraId="06A7F8CF" w14:textId="77777777"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rPr>
            </w:pPr>
            <w:r w:rsidRPr="00F153F6">
              <w:rPr>
                <w:rFonts w:ascii="Times New Roman" w:eastAsiaTheme="minorEastAsia" w:hAnsi="Times New Roman" w:cs="Times New Roman"/>
                <w:b w:val="0"/>
                <w:bCs w:val="0"/>
                <w:iCs/>
                <w:color w:val="000000" w:themeColor="text1"/>
              </w:rPr>
              <w:t>LL covers several entities within value – chains</w:t>
            </w:r>
          </w:p>
        </w:tc>
      </w:tr>
      <w:tr w:rsidR="002C1A2F" w:rsidRPr="00F153F6" w14:paraId="4D65133E" w14:textId="77777777" w:rsidTr="004314D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125" w:type="dxa"/>
            <w:tcBorders>
              <w:top w:val="nil"/>
              <w:left w:val="nil"/>
              <w:bottom w:val="nil"/>
              <w:right w:val="nil"/>
            </w:tcBorders>
            <w:hideMark/>
          </w:tcPr>
          <w:p w14:paraId="3E408CC4" w14:textId="77777777"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rPr>
            </w:pPr>
            <w:r w:rsidRPr="00F153F6">
              <w:rPr>
                <w:rFonts w:ascii="Times New Roman" w:eastAsiaTheme="minorEastAsia" w:hAnsi="Times New Roman" w:cs="Times New Roman"/>
                <w:b w:val="0"/>
                <w:bCs w:val="0"/>
                <w:iCs/>
                <w:color w:val="000000" w:themeColor="text1"/>
              </w:rPr>
              <w:t>Quality of user-driven innovation methods and tools</w:t>
            </w:r>
          </w:p>
        </w:tc>
      </w:tr>
      <w:tr w:rsidR="002C1A2F" w:rsidRPr="00F153F6" w14:paraId="4E564422" w14:textId="77777777" w:rsidTr="004314D7">
        <w:trPr>
          <w:trHeight w:val="271"/>
        </w:trPr>
        <w:tc>
          <w:tcPr>
            <w:cnfStyle w:val="001000000000" w:firstRow="0" w:lastRow="0" w:firstColumn="1" w:lastColumn="0" w:oddVBand="0" w:evenVBand="0" w:oddHBand="0" w:evenHBand="0" w:firstRowFirstColumn="0" w:firstRowLastColumn="0" w:lastRowFirstColumn="0" w:lastRowLastColumn="0"/>
            <w:tcW w:w="9125" w:type="dxa"/>
            <w:tcBorders>
              <w:top w:val="nil"/>
              <w:left w:val="nil"/>
              <w:bottom w:val="nil"/>
              <w:right w:val="nil"/>
            </w:tcBorders>
            <w:hideMark/>
          </w:tcPr>
          <w:p w14:paraId="39A01BC6" w14:textId="77777777"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rPr>
            </w:pPr>
            <w:r w:rsidRPr="00F153F6">
              <w:rPr>
                <w:rFonts w:ascii="Times New Roman" w:eastAsiaTheme="minorEastAsia" w:hAnsi="Times New Roman" w:cs="Times New Roman"/>
                <w:b w:val="0"/>
                <w:bCs w:val="0"/>
                <w:iCs/>
                <w:color w:val="000000" w:themeColor="text1"/>
              </w:rPr>
              <w:t>Availability of required technology and/or testbeds</w:t>
            </w:r>
          </w:p>
        </w:tc>
      </w:tr>
      <w:tr w:rsidR="002C1A2F" w:rsidRPr="00F153F6" w14:paraId="0B1DB8D3" w14:textId="77777777" w:rsidTr="004314D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125" w:type="dxa"/>
            <w:tcBorders>
              <w:top w:val="nil"/>
              <w:left w:val="nil"/>
              <w:bottom w:val="nil"/>
              <w:right w:val="nil"/>
            </w:tcBorders>
            <w:hideMark/>
          </w:tcPr>
          <w:p w14:paraId="5E80B7F2" w14:textId="77777777"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rPr>
            </w:pPr>
            <w:r w:rsidRPr="00F153F6">
              <w:rPr>
                <w:rFonts w:ascii="Times New Roman" w:eastAsiaTheme="minorEastAsia" w:hAnsi="Times New Roman" w:cs="Times New Roman"/>
                <w:b w:val="0"/>
                <w:bCs w:val="0"/>
                <w:iCs/>
                <w:color w:val="000000" w:themeColor="text1"/>
              </w:rPr>
              <w:t>Evidence of expertise gained for the LL operations</w:t>
            </w:r>
          </w:p>
        </w:tc>
      </w:tr>
      <w:tr w:rsidR="002C1A2F" w:rsidRPr="00F153F6" w14:paraId="0490029E" w14:textId="77777777" w:rsidTr="004314D7">
        <w:trPr>
          <w:trHeight w:val="271"/>
        </w:trPr>
        <w:tc>
          <w:tcPr>
            <w:cnfStyle w:val="001000000000" w:firstRow="0" w:lastRow="0" w:firstColumn="1" w:lastColumn="0" w:oddVBand="0" w:evenVBand="0" w:oddHBand="0" w:evenHBand="0" w:firstRowFirstColumn="0" w:firstRowLastColumn="0" w:lastRowFirstColumn="0" w:lastRowLastColumn="0"/>
            <w:tcW w:w="9125" w:type="dxa"/>
            <w:tcBorders>
              <w:top w:val="nil"/>
              <w:left w:val="nil"/>
              <w:bottom w:val="nil"/>
              <w:right w:val="nil"/>
            </w:tcBorders>
            <w:hideMark/>
          </w:tcPr>
          <w:p w14:paraId="0E483E70" w14:textId="77777777"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rPr>
            </w:pPr>
            <w:r w:rsidRPr="00F153F6">
              <w:rPr>
                <w:rFonts w:ascii="Times New Roman" w:eastAsiaTheme="minorEastAsia" w:hAnsi="Times New Roman" w:cs="Times New Roman"/>
                <w:b w:val="0"/>
                <w:bCs w:val="0"/>
                <w:iCs/>
                <w:color w:val="000000" w:themeColor="text1"/>
              </w:rPr>
              <w:t>Commitment to open processes</w:t>
            </w:r>
          </w:p>
        </w:tc>
      </w:tr>
      <w:tr w:rsidR="002C1A2F" w:rsidRPr="00F153F6" w14:paraId="417BBD32" w14:textId="77777777" w:rsidTr="004314D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125" w:type="dxa"/>
            <w:tcBorders>
              <w:top w:val="nil"/>
              <w:left w:val="nil"/>
              <w:bottom w:val="nil"/>
              <w:right w:val="nil"/>
            </w:tcBorders>
            <w:hideMark/>
          </w:tcPr>
          <w:p w14:paraId="23C11628" w14:textId="77777777"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rPr>
            </w:pPr>
            <w:r w:rsidRPr="00F153F6">
              <w:rPr>
                <w:rFonts w:ascii="Times New Roman" w:eastAsiaTheme="minorEastAsia" w:hAnsi="Times New Roman" w:cs="Times New Roman"/>
                <w:b w:val="0"/>
                <w:bCs w:val="0"/>
                <w:iCs/>
                <w:color w:val="000000" w:themeColor="text1"/>
              </w:rPr>
              <w:t>IPR principles supporting capability and openness</w:t>
            </w:r>
          </w:p>
        </w:tc>
      </w:tr>
      <w:tr w:rsidR="002C1A2F" w:rsidRPr="00F153F6" w14:paraId="3CCA0534" w14:textId="77777777" w:rsidTr="004314D7">
        <w:trPr>
          <w:trHeight w:val="271"/>
        </w:trPr>
        <w:tc>
          <w:tcPr>
            <w:cnfStyle w:val="001000000000" w:firstRow="0" w:lastRow="0" w:firstColumn="1" w:lastColumn="0" w:oddVBand="0" w:evenVBand="0" w:oddHBand="0" w:evenHBand="0" w:firstRowFirstColumn="0" w:firstRowLastColumn="0" w:lastRowFirstColumn="0" w:lastRowLastColumn="0"/>
            <w:tcW w:w="9125" w:type="dxa"/>
            <w:tcBorders>
              <w:top w:val="nil"/>
              <w:left w:val="nil"/>
              <w:bottom w:val="nil"/>
              <w:right w:val="nil"/>
            </w:tcBorders>
            <w:hideMark/>
          </w:tcPr>
          <w:p w14:paraId="4315F7A3" w14:textId="77777777"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rPr>
            </w:pPr>
            <w:r w:rsidRPr="00F153F6">
              <w:rPr>
                <w:rFonts w:ascii="Times New Roman" w:eastAsiaTheme="minorEastAsia" w:hAnsi="Times New Roman" w:cs="Times New Roman"/>
                <w:b w:val="0"/>
                <w:bCs w:val="0"/>
                <w:iCs/>
                <w:color w:val="000000" w:themeColor="text1"/>
              </w:rPr>
              <w:t>Openness towards new partners and investors</w:t>
            </w:r>
          </w:p>
        </w:tc>
      </w:tr>
      <w:tr w:rsidR="002C1A2F" w:rsidRPr="00F153F6" w14:paraId="19F3DF47" w14:textId="77777777" w:rsidTr="004314D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125" w:type="dxa"/>
            <w:tcBorders>
              <w:top w:val="nil"/>
              <w:left w:val="nil"/>
              <w:bottom w:val="nil"/>
              <w:right w:val="nil"/>
            </w:tcBorders>
            <w:hideMark/>
          </w:tcPr>
          <w:p w14:paraId="2D365F54" w14:textId="77777777"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rPr>
            </w:pPr>
            <w:r w:rsidRPr="00F153F6">
              <w:rPr>
                <w:rFonts w:ascii="Times New Roman" w:eastAsiaTheme="minorEastAsia" w:hAnsi="Times New Roman" w:cs="Times New Roman"/>
                <w:b w:val="0"/>
                <w:bCs w:val="0"/>
                <w:iCs/>
                <w:color w:val="000000" w:themeColor="text1"/>
              </w:rPr>
              <w:t>Business-citizens-government partnership: strength and maturity</w:t>
            </w:r>
          </w:p>
        </w:tc>
      </w:tr>
      <w:tr w:rsidR="002C1A2F" w:rsidRPr="00F153F6" w14:paraId="3736F3A0" w14:textId="77777777" w:rsidTr="004314D7">
        <w:trPr>
          <w:trHeight w:val="271"/>
        </w:trPr>
        <w:tc>
          <w:tcPr>
            <w:cnfStyle w:val="001000000000" w:firstRow="0" w:lastRow="0" w:firstColumn="1" w:lastColumn="0" w:oddVBand="0" w:evenVBand="0" w:oddHBand="0" w:evenHBand="0" w:firstRowFirstColumn="0" w:firstRowLastColumn="0" w:lastRowFirstColumn="0" w:lastRowLastColumn="0"/>
            <w:tcW w:w="9125" w:type="dxa"/>
            <w:tcBorders>
              <w:top w:val="nil"/>
              <w:left w:val="nil"/>
              <w:bottom w:val="nil"/>
              <w:right w:val="nil"/>
            </w:tcBorders>
            <w:hideMark/>
          </w:tcPr>
          <w:p w14:paraId="3BC95E64" w14:textId="77777777"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rPr>
            </w:pPr>
            <w:r w:rsidRPr="00F153F6">
              <w:rPr>
                <w:rFonts w:ascii="Times New Roman" w:eastAsiaTheme="minorEastAsia" w:hAnsi="Times New Roman" w:cs="Times New Roman"/>
                <w:b w:val="0"/>
                <w:bCs w:val="0"/>
                <w:iCs/>
                <w:color w:val="000000" w:themeColor="text1"/>
              </w:rPr>
              <w:t xml:space="preserve">Organisation of LL governance, management and operations </w:t>
            </w:r>
          </w:p>
        </w:tc>
      </w:tr>
      <w:tr w:rsidR="002C1A2F" w:rsidRPr="00F153F6" w14:paraId="27E6221A" w14:textId="77777777" w:rsidTr="004314D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125" w:type="dxa"/>
            <w:tcBorders>
              <w:top w:val="nil"/>
              <w:left w:val="nil"/>
              <w:bottom w:val="nil"/>
              <w:right w:val="nil"/>
            </w:tcBorders>
            <w:hideMark/>
          </w:tcPr>
          <w:p w14:paraId="522D1E09" w14:textId="77777777"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rPr>
            </w:pPr>
            <w:r w:rsidRPr="00F153F6">
              <w:rPr>
                <w:rFonts w:ascii="Times New Roman" w:eastAsiaTheme="minorEastAsia" w:hAnsi="Times New Roman" w:cs="Times New Roman"/>
                <w:b w:val="0"/>
                <w:bCs w:val="0"/>
                <w:iCs/>
                <w:color w:val="000000" w:themeColor="text1"/>
              </w:rPr>
              <w:t>Business model for LL sustainability</w:t>
            </w:r>
          </w:p>
        </w:tc>
      </w:tr>
      <w:tr w:rsidR="002C1A2F" w:rsidRPr="00F153F6" w14:paraId="02ED92BE" w14:textId="77777777" w:rsidTr="004314D7">
        <w:trPr>
          <w:trHeight w:val="271"/>
        </w:trPr>
        <w:tc>
          <w:tcPr>
            <w:cnfStyle w:val="001000000000" w:firstRow="0" w:lastRow="0" w:firstColumn="1" w:lastColumn="0" w:oddVBand="0" w:evenVBand="0" w:oddHBand="0" w:evenHBand="0" w:firstRowFirstColumn="0" w:firstRowLastColumn="0" w:lastRowFirstColumn="0" w:lastRowLastColumn="0"/>
            <w:tcW w:w="9125" w:type="dxa"/>
            <w:tcBorders>
              <w:top w:val="nil"/>
              <w:left w:val="nil"/>
              <w:bottom w:val="nil"/>
              <w:right w:val="nil"/>
            </w:tcBorders>
            <w:hideMark/>
          </w:tcPr>
          <w:p w14:paraId="42B70953" w14:textId="77777777"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rPr>
            </w:pPr>
            <w:r w:rsidRPr="00F153F6">
              <w:rPr>
                <w:rFonts w:ascii="Times New Roman" w:eastAsiaTheme="minorEastAsia" w:hAnsi="Times New Roman" w:cs="Times New Roman"/>
                <w:b w:val="0"/>
                <w:bCs w:val="0"/>
                <w:iCs/>
                <w:color w:val="000000" w:themeColor="text1"/>
              </w:rPr>
              <w:t>Interest and capacity to be active in EU innovation systems</w:t>
            </w:r>
          </w:p>
        </w:tc>
      </w:tr>
      <w:tr w:rsidR="002C1A2F" w:rsidRPr="00F153F6" w14:paraId="342E06D7" w14:textId="77777777" w:rsidTr="004314D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125" w:type="dxa"/>
            <w:tcBorders>
              <w:top w:val="nil"/>
              <w:left w:val="nil"/>
              <w:bottom w:val="nil"/>
              <w:right w:val="nil"/>
            </w:tcBorders>
            <w:hideMark/>
          </w:tcPr>
          <w:p w14:paraId="6F23317A" w14:textId="77777777"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rPr>
            </w:pPr>
            <w:r w:rsidRPr="00F153F6">
              <w:rPr>
                <w:rFonts w:ascii="Times New Roman" w:eastAsiaTheme="minorEastAsia" w:hAnsi="Times New Roman" w:cs="Times New Roman"/>
                <w:b w:val="0"/>
                <w:bCs w:val="0"/>
                <w:iCs/>
                <w:color w:val="000000" w:themeColor="text1"/>
              </w:rPr>
              <w:t>International networking experience</w:t>
            </w:r>
          </w:p>
        </w:tc>
      </w:tr>
      <w:tr w:rsidR="002C1A2F" w:rsidRPr="00F153F6" w14:paraId="166AC6D1" w14:textId="77777777" w:rsidTr="004314D7">
        <w:trPr>
          <w:trHeight w:val="271"/>
        </w:trPr>
        <w:tc>
          <w:tcPr>
            <w:cnfStyle w:val="001000000000" w:firstRow="0" w:lastRow="0" w:firstColumn="1" w:lastColumn="0" w:oddVBand="0" w:evenVBand="0" w:oddHBand="0" w:evenHBand="0" w:firstRowFirstColumn="0" w:firstRowLastColumn="0" w:lastRowFirstColumn="0" w:lastRowLastColumn="0"/>
            <w:tcW w:w="9125" w:type="dxa"/>
            <w:tcBorders>
              <w:top w:val="nil"/>
              <w:left w:val="nil"/>
              <w:bottom w:val="nil"/>
              <w:right w:val="nil"/>
            </w:tcBorders>
            <w:hideMark/>
          </w:tcPr>
          <w:p w14:paraId="64C937B3" w14:textId="77777777"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rPr>
            </w:pPr>
            <w:r w:rsidRPr="00F153F6">
              <w:rPr>
                <w:rFonts w:ascii="Times New Roman" w:eastAsiaTheme="minorEastAsia" w:hAnsi="Times New Roman" w:cs="Times New Roman"/>
                <w:b w:val="0"/>
                <w:bCs w:val="0"/>
                <w:iCs/>
                <w:color w:val="000000" w:themeColor="text1"/>
              </w:rPr>
              <w:t>Channels (e.g. web) supporting public visibility and interaction</w:t>
            </w:r>
          </w:p>
        </w:tc>
      </w:tr>
      <w:tr w:rsidR="002C1A2F" w:rsidRPr="00F153F6" w14:paraId="29BC1506" w14:textId="77777777" w:rsidTr="004314D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125" w:type="dxa"/>
            <w:tcBorders>
              <w:top w:val="nil"/>
              <w:left w:val="nil"/>
              <w:bottom w:val="single" w:sz="4" w:space="0" w:color="auto"/>
              <w:right w:val="nil"/>
            </w:tcBorders>
            <w:hideMark/>
          </w:tcPr>
          <w:p w14:paraId="1959EBE9" w14:textId="77777777" w:rsidR="002C1A2F" w:rsidRPr="00F153F6" w:rsidRDefault="002C1A2F" w:rsidP="004424B4">
            <w:pPr>
              <w:pStyle w:val="ListParagraph"/>
              <w:numPr>
                <w:ilvl w:val="0"/>
                <w:numId w:val="4"/>
              </w:numPr>
              <w:spacing w:after="0" w:line="360" w:lineRule="auto"/>
              <w:rPr>
                <w:rFonts w:ascii="Times New Roman" w:eastAsiaTheme="minorEastAsia" w:hAnsi="Times New Roman" w:cs="Times New Roman"/>
                <w:b w:val="0"/>
                <w:bCs w:val="0"/>
                <w:iCs/>
                <w:color w:val="000000" w:themeColor="text1"/>
              </w:rPr>
            </w:pPr>
            <w:r w:rsidRPr="00F153F6">
              <w:rPr>
                <w:rFonts w:ascii="Times New Roman" w:eastAsiaTheme="minorEastAsia" w:hAnsi="Times New Roman" w:cs="Times New Roman"/>
                <w:b w:val="0"/>
                <w:bCs w:val="0"/>
                <w:iCs/>
                <w:color w:val="000000" w:themeColor="text1"/>
              </w:rPr>
              <w:t>People/positions dedicated to LL management and operations</w:t>
            </w:r>
          </w:p>
        </w:tc>
      </w:tr>
    </w:tbl>
    <w:p w14:paraId="2F7F56AE" w14:textId="77777777"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p>
    <w:p w14:paraId="432D2056" w14:textId="26BA047A" w:rsidR="002C1A2F" w:rsidRPr="00F153F6" w:rsidRDefault="002C1A2F" w:rsidP="004424B4">
      <w:pPr>
        <w:pStyle w:val="Heading3"/>
        <w:spacing w:line="360" w:lineRule="auto"/>
        <w:ind w:firstLine="720"/>
        <w:jc w:val="both"/>
        <w:rPr>
          <w:rFonts w:ascii="Times New Roman" w:hAnsi="Times New Roman" w:cs="Times New Roman"/>
          <w:b/>
          <w:color w:val="000000" w:themeColor="text1"/>
          <w:sz w:val="28"/>
          <w:szCs w:val="28"/>
        </w:rPr>
      </w:pPr>
      <w:bookmarkStart w:id="282" w:name="_Toc118371111"/>
      <w:bookmarkStart w:id="283" w:name="_Toc133252134"/>
      <w:r w:rsidRPr="00F153F6">
        <w:rPr>
          <w:rFonts w:ascii="Times New Roman" w:hAnsi="Times New Roman" w:cs="Times New Roman"/>
          <w:b/>
          <w:color w:val="000000" w:themeColor="text1"/>
          <w:sz w:val="28"/>
          <w:szCs w:val="28"/>
        </w:rPr>
        <w:t>2.7.5 The Use of ICT in Living Labs</w:t>
      </w:r>
      <w:bookmarkEnd w:id="282"/>
      <w:bookmarkEnd w:id="283"/>
    </w:p>
    <w:p w14:paraId="353E55E4" w14:textId="77313BC0"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As analysed in the previous section, Living Labs provide a focal environment in which various stakeholders and organisations collaborate and exchange their knowledge towards innovation. ICT plays an important role in the context of Living Labs as an outcome. Leminen and Westerlund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{"citationID":"ai9vqmpc1c","properties":{"formattedCitation":"(2016)","plainCitation":"(2016)","noteIndex":0},"citationItems":[{"id":347,"uris":["http://zotero.org/users/5709166/items/P7B5ATRB"],"itemData":{"id":347,"type":"article-journal","abstract":"This study identifies eight prevailing research avenues of living labs, an increasingly popular innovation approach, based on a comprehensive literature review. So doing, the study contributes to the literature of living labs by discussing perspectives that scholars in the field have taken to understand living labs and by providing an integrative framework to position these perspectives as distinct research avenues. Moreover, the study shows that the identified avenues share the view of living labs as real-life environments and recognise the crucial role of users in innovation.","container-title":"International Journal of Technology Marketing","DOI":"10.1504/IJTMKT.2016.079731","ISSN":"1741-878X","issue":"4","journalAbbreviation":"International Journal of Technology Marketing","page":"399-420","source":"inderscienceonline.com (Atypon)","title":"A framework for understanding the different research avenues of living labs","volume":"11","author":[{"family":"Leminen","given":"Seppo"},{"family":"Westerlund","given":"Mika"}],"issued":{"date-parts":[["2016",1,1]]}},"suppress-author":true}],"schema":"https://github.com/citation-style-language/schema/raw/master/csl-citation.json"}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(2016)</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argue that Living Labs are suitable to develop, co-create, validate and test ICT technologies. </w:t>
      </w:r>
      <w:r w:rsidRPr="00F153F6">
        <w:rPr>
          <w:rFonts w:ascii="Times New Roman" w:hAnsi="Times New Roman" w:cs="Times New Roman"/>
          <w:color w:val="000000" w:themeColor="text1"/>
          <w:sz w:val="24"/>
          <w:szCs w:val="24"/>
        </w:rPr>
        <w:t>Hossain et al.</w:t>
      </w:r>
      <w:r w:rsidRPr="00F153F6">
        <w:rPr>
          <w:rFonts w:ascii="Times New Roman" w:eastAsia="Times New Roman"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{"citationID":"a2m1er70c35","properties":{"formattedCitation":"(2019)","plainCitation":"(2019)","noteIndex":0},"citationItems":[{"id":2172,"uris":["http://zotero.org/users/5709166/items/BEMCWGRS"],"itemData":{"id":2172,"type":"article-journal","abstract":"A living lab is a physical or virtual space in which to solve societal challenges, especially for urban areas, by bringing together various stakeholders for collaboration and collective ideation. Although the notion has received increasing attention from scholars, practitioners and policy makers, its essence remains unclear to many. We therefore performed a systematic literature review of a sample of 114 scholarly articles about living labs to understand the central facets discussed in the nascent literature. In particular, we explored the origin of the living lab concept and its key paradigms and characteristics, including stakeholder roles, contexts, challenges, main outcomes, and sustainability. While doing this, we discovered that the number of publications about living labs has increased significantly since 2015, and several journals are very active in publishing articles on the topic. The living lab is considered a multidisciplinary phenomenon and it encompasses various research domains despite typically being discussed under open and user innovation paradigms. What is more, the existing literature views living labs simultaneously as landscapes, real-life environments, and methodologies, and it suggests that they include heterogeneous stakeholders and apply various business models, methods, tools and approaches. Finally, living labs face some challenges, such as temporality, governance, efficiency, user recruitment, sustainability, scalability and unpredictable outcomes. In contrast, the benefits include tangible and intangible innovation and a broader diversity of innovation. Based on our analysis, we provide some implications and suggestions for future research.","container-title":"Journal of Cleaner Production","DOI":"10.1016/j.jclepro.2018.12.257","ISSN":"0959-6526","journalAbbreviation":"Journal of Cleaner Production","language":"en","page":"976-988","source":"ScienceDirect","title":"A systematic review of living lab literature","volume":"213","author":[{"family":"Hossain","given":"Mokter"},{"family":"Leminen","given":"Seppo"},{"family":"Westerlund","given":"Mika"}],"issued":{"date-parts":[["2019",3,10]]}},"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(2019)</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argue that Living Labs provide an environment in which technologies are validated and thereby the development of Living Lab outcomes are improved. Følstad </w:t>
      </w:r>
      <w:r w:rsidRPr="00F153F6">
        <w:rPr>
          <w:rFonts w:ascii="Times New Roman" w:hAnsi="Times New Roman" w:cs="Times New Roman"/>
          <w:color w:val="000000" w:themeColor="text1"/>
          <w:sz w:val="24"/>
          <w:szCs w:val="24"/>
        </w:rPr>
        <w:fldChar w:fldCharType="begin"/>
      </w:r>
      <w:r w:rsidR="00206572" w:rsidRPr="00F153F6">
        <w:rPr>
          <w:rFonts w:ascii="Times New Roman" w:eastAsia="Times New Roman" w:hAnsi="Times New Roman" w:cs="Times New Roman"/>
          <w:iCs/>
          <w:color w:val="000000" w:themeColor="text1"/>
          <w:sz w:val="24"/>
          <w:szCs w:val="24"/>
        </w:rPr>
        <w:instrText xml:space="preserve"> ADDIN ZOTERO_ITEM CSL_CITATION {"citationID":"a46636topt","properties":{"formattedCitation":"(2008)","plainCitation":"(2008)","noteIndex":0},"citationItems":[{"id":"WjXiMXKA/GnDPEhAO","uris":["http://zotero.org/users/5709166/items/LMG5HHEU"],"itemData":{"id":86,"type":"article-journal","abstract":"Living Labs are environments for involving users in innovation and development, and are regarded as a way of meeting the innovation challenges faced by information and communication technology (ICT) service providers. Living Labs have thus generated a great deal of interest in the field of ICT in the course of the last few years. However, the current body of Living Lab research literature indicates a lack of common understanding of how Living Labs can be used for ICT innovation and development. Moreover, there appears to be little agreement regarding needed future research. In order to establish a basis for future work on Living Labs, a review of the Living Lab literature related to ICT innovation and development has been carried out. Literature searches were made in four academic archives, as well as the ISI Web of Knowledge, Google and Google Scholar. Thirty-two relevant academic papers were retrieved. An overview of the literature was established and the literature was analyzed with regard to (1) common and diverging perspectives on Living Labs, (2) the state-of-the-art of Living Lab processes and methods, and (3) theoretical foundations of Living Labs. On the basis of the analyses, a common Living Lab definition is suggested. Two emerging Living Lab trends, as well as a pressing need for future research on Living Lab processes and methods, are introduced and discussed.","container-title":"Living Labs","language":"en","page":"33","source":"Zotero","title":"LIVING LABS FOR INNOVATION AND DEVELOPMENT OF INFORMATION AND COMMUNICATION TECHNOLOGY: A LITERATURE REVIEW","volume":"10","author":[{"family":"Følstad","given":"Asbjørn"}],"issued":{"date-parts":[["2008"]]}},"suppress-author":true}],"schema":"https://github.com/citation-style-language/schema/raw/master/csl-citation.json"}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(2008)</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argues that new ICT solutions such as technologies or information systems are tried out in Living Labs by which ICT providers can involve and collect data</w:t>
      </w:r>
      <w:r w:rsidR="000D1800" w:rsidRPr="00F153F6">
        <w:rPr>
          <w:rFonts w:ascii="Times New Roman" w:eastAsia="Times New Roman" w:hAnsi="Times New Roman" w:cs="Times New Roman"/>
          <w:iCs/>
          <w:color w:val="000000" w:themeColor="text1"/>
          <w:sz w:val="24"/>
          <w:szCs w:val="24"/>
        </w:rPr>
        <w:t xml:space="preserve"> </w:t>
      </w:r>
      <w:r w:rsidRPr="00F153F6">
        <w:rPr>
          <w:rFonts w:ascii="Times New Roman" w:eastAsia="Times New Roman" w:hAnsi="Times New Roman" w:cs="Times New Roman"/>
          <w:iCs/>
          <w:color w:val="000000" w:themeColor="text1"/>
          <w:sz w:val="24"/>
          <w:szCs w:val="24"/>
        </w:rPr>
        <w:t>f</w:t>
      </w:r>
      <w:r w:rsidR="000D1800" w:rsidRPr="00F153F6">
        <w:rPr>
          <w:rFonts w:ascii="Times New Roman" w:eastAsia="Times New Roman" w:hAnsi="Times New Roman" w:cs="Times New Roman"/>
          <w:iCs/>
          <w:color w:val="000000" w:themeColor="text1"/>
          <w:sz w:val="24"/>
          <w:szCs w:val="24"/>
        </w:rPr>
        <w:t>rom</w:t>
      </w:r>
      <w:r w:rsidRPr="00F153F6">
        <w:rPr>
          <w:rFonts w:ascii="Times New Roman" w:eastAsia="Times New Roman" w:hAnsi="Times New Roman" w:cs="Times New Roman"/>
          <w:iCs/>
          <w:color w:val="000000" w:themeColor="text1"/>
          <w:sz w:val="24"/>
          <w:szCs w:val="24"/>
        </w:rPr>
        <w:t xml:space="preserve"> users to</w:t>
      </w:r>
      <w:r w:rsidR="000D1800" w:rsidRPr="00F153F6">
        <w:rPr>
          <w:rFonts w:ascii="Times New Roman" w:eastAsia="Times New Roman" w:hAnsi="Times New Roman" w:cs="Times New Roman"/>
          <w:iCs/>
          <w:color w:val="000000" w:themeColor="text1"/>
          <w:sz w:val="24"/>
          <w:szCs w:val="24"/>
        </w:rPr>
        <w:t xml:space="preserve"> stimulate</w:t>
      </w:r>
      <w:r w:rsidRPr="00F153F6">
        <w:rPr>
          <w:rFonts w:ascii="Times New Roman" w:eastAsia="Times New Roman" w:hAnsi="Times New Roman" w:cs="Times New Roman"/>
          <w:iCs/>
          <w:color w:val="000000" w:themeColor="text1"/>
          <w:sz w:val="24"/>
          <w:szCs w:val="24"/>
        </w:rPr>
        <w:t xml:space="preserve"> ICT innovation.</w:t>
      </w:r>
    </w:p>
    <w:p w14:paraId="3371CCB8" w14:textId="3593E47C"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ICT as a tool is used widely in the context of Living Labs. Veeckman et al.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{"citationID":"ibDKmWEJ","properties":{"formattedCitation":"(2013)","plainCitation":"(2013)","noteIndex":0},"citationItems":[{"id":2175,"uris":["http://zotero.org/users/5709166/items/C3BLPRJS"],"itemData":{"id":2175,"type":"article-journal","container-title":"Technology Innovation Management Review","language":"en","page":"10","source":"Zotero","title":"Linking Living Lab Characteristics and Their Outcomes: Towards a Conceptual Framework","author":[{"family":"Veeckman","given":"Carina"},{"family":"Schuurman","given":"Dimitri"},{"family":"Leminen","given":"Seppo"},{"family":"Westerlund","given":"Mika"}],"issued":{"date-parts":[["2013"]]}},"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(2013)</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argue that ICT infrastructure is one of the building blocks of a Living Lab environment for assessing or co-creating innovations, for example, for monitoring technical performance during usage and non-usage of ICT based innovation. </w:t>
      </w:r>
      <w:r w:rsidR="000D1800" w:rsidRPr="00F153F6">
        <w:rPr>
          <w:rFonts w:ascii="Times New Roman" w:eastAsia="Times New Roman" w:hAnsi="Times New Roman" w:cs="Times New Roman"/>
          <w:iCs/>
          <w:color w:val="000000" w:themeColor="text1"/>
          <w:sz w:val="24"/>
          <w:szCs w:val="24"/>
        </w:rPr>
        <w:t xml:space="preserve">Veeckman et al. </w:t>
      </w:r>
      <w:r w:rsidR="000D1800" w:rsidRPr="00F153F6">
        <w:rPr>
          <w:rFonts w:ascii="Times New Roman" w:hAnsi="Times New Roman" w:cs="Times New Roman"/>
          <w:color w:val="000000" w:themeColor="text1"/>
          <w:sz w:val="24"/>
          <w:szCs w:val="24"/>
        </w:rPr>
        <w:fldChar w:fldCharType="begin"/>
      </w:r>
      <w:r w:rsidR="005E4052" w:rsidRPr="00F153F6">
        <w:rPr>
          <w:rFonts w:ascii="Times New Roman" w:eastAsia="Times New Roman" w:hAnsi="Times New Roman" w:cs="Times New Roman"/>
          <w:iCs/>
          <w:color w:val="000000" w:themeColor="text1"/>
          <w:sz w:val="24"/>
          <w:szCs w:val="24"/>
        </w:rPr>
        <w:instrText xml:space="preserve"> ADDIN ZOTERO_ITEM CSL_CITATION {"citationID":"uAAOuj8d","properties":{"formattedCitation":"(2013)","plainCitation":"(2013)","noteIndex":0},"citationItems":[{"id":2175,"uris":["http://zotero.org/users/5709166/items/C3BLPRJS"],"itemData":{"id":2175,"type":"article-journal","container-title":"Technology Innovation Management Review","language":"en","page":"10","source":"Zotero","title":"Linking Living Lab Characteristics and Their Outcomes: Towards a Conceptual Framework","author":[{"family":"Veeckman","given":"Carina"},{"family":"Schuurman","given":"Dimitri"},{"family":"Leminen","given":"Seppo"},{"family":"Westerlund","given":"Mika"}],"issued":{"date-parts":[["2013"]]}},"suppress-author":true}],"schema":"https://github.com/citation-style-language/schema/raw/master/csl-citation.json"} </w:instrText>
      </w:r>
      <w:r w:rsidR="000D1800" w:rsidRPr="00F153F6">
        <w:rPr>
          <w:rFonts w:ascii="Times New Roman" w:hAnsi="Times New Roman" w:cs="Times New Roman"/>
          <w:color w:val="000000" w:themeColor="text1"/>
          <w:sz w:val="24"/>
          <w:szCs w:val="24"/>
        </w:rPr>
        <w:fldChar w:fldCharType="separate"/>
      </w:r>
      <w:r w:rsidR="000D1800" w:rsidRPr="00F153F6">
        <w:rPr>
          <w:rFonts w:ascii="Times New Roman" w:hAnsi="Times New Roman" w:cs="Times New Roman"/>
          <w:color w:val="000000" w:themeColor="text1"/>
          <w:sz w:val="24"/>
          <w:szCs w:val="24"/>
        </w:rPr>
        <w:t>(2013)</w:t>
      </w:r>
      <w:r w:rsidR="000D1800"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provide a Living Lab environment framework in which, from a technical infrastructure perspective, Living Labs could be classified as: having  no technical infrastructure; or having infrastructure without/with </w:t>
      </w:r>
      <w:r w:rsidRPr="00F153F6">
        <w:rPr>
          <w:rFonts w:ascii="Times New Roman" w:eastAsia="Times New Roman" w:hAnsi="Times New Roman" w:cs="Times New Roman"/>
          <w:iCs/>
          <w:color w:val="000000" w:themeColor="text1"/>
          <w:sz w:val="24"/>
          <w:szCs w:val="24"/>
        </w:rPr>
        <w:lastRenderedPageBreak/>
        <w:t xml:space="preserve">basic/with in depth monitoring and technical testing. Eriksson et al.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{"citationID":"a2nfks8u9i7","properties":{"formattedCitation":"(2006, p. 5)","plainCitation":"(2006, p. 5)","noteIndex":0},"citationItems":[{"id":1935,"uris":["http://zotero.org/users/5709166/items/RKGVF4BF"],"itemData":{"id":1935,"type":"paper-conference","abstract":"The ability to be creative and innovative in a society influenced by stress, lack of time, and other factors, harnessing the technology available in today's knowledge society is key towards increasing the overall productivity of a future European society. Whilst technology enables new value-chains, product and service development increasingly need to focus on true user needs in order to be successful in today's increasingly global and competitive market. New R&amp;d; innovation methodologies need to be developed to meet the challenge of addressing those needs. This paper examines the need for involving the user and other stakeholder organisations into the innovation process, analyses the key issues regarding regional innovation, and presents a basic concept of Living Labs as a multi-contextual R&amp;D methodology addressing those issues. The proposed Living Labs methodology contributes to the coming challenges of mass-deployment of ICT solutions as a mean to further develop the society involving the citizens. It brings the users/consumers/citizens into the system of innovation, thereby leveraging on a larger mass of ideas, knowledge and experiences etc and substantially boosting the innovation capability.","container-title":"2006 IEEE International Technology Management Conference (ICE)","DOI":"10.1109/ICE.2006.7477082","event-title":"2006 IEEE International Technology Management Conference (ICE)","note":"ISSN: null","page":"1-8","source":"IEEE Xplore","title":"Living labs as a multi-contextual R D methodology","author":[{"family":"Eriksson","given":"Mats"},{"family":"Niitamo","given":"Veli-Pekka"},{"family":"Kulkki","given":"Seija"},{"family":"Hribernik","given":"Karl A."}],"issued":{"date-parts":[["2006",6]]}},"locator":"5","label":"page","suppress-author":true}],"schema":"https://github.com/citation-style-language/schema/raw/master/csl-citation.json"}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(2006, p. 5)</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argue that the emerging Living Lab concept is to “enhance innovation, usability and usefulness of ICT and its application in the society”. </w:t>
      </w:r>
      <w:r w:rsidRPr="00F153F6">
        <w:rPr>
          <w:rFonts w:ascii="Times New Roman" w:hAnsi="Times New Roman" w:cs="Times New Roman"/>
          <w:color w:val="000000" w:themeColor="text1"/>
          <w:sz w:val="24"/>
          <w:szCs w:val="24"/>
        </w:rPr>
        <w:t xml:space="preserve">Edwards‐Schachter et al.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{"citationID":"a3oabdl6be","properties":{"formattedCitation":"(2012)","plainCitation":"(2012)","noteIndex":0},"citationItems":[{"id":334,"uris":["http://zotero.org/users/5709166/items/DCP6DAN5"],"itemData":{"id":334,"type":"article-journal","abstract":"Participative processes and citizens’ empowerment are considered crucial aspects of social innovation (SI), involving collaborative activities between the private, public, and third sectors. This article discusses the principal trends in the literature on the concept of SI, its aims and differential characteristics related to the identification of people's needs, citizen participation processes, and improved quality of life. We present an exploratory case study of SI focusing on the gap between elderly people's needs and the generation of business opportunities, using a living lab (LL) methodology for collaborative placed-based innovation. Our results suggest that LLs are a useful instrument to detect community needs and improve local development and support and integrate technological and social innovations in policies and local governance processes.","container-title":"Review of Policy Research","DOI":"10.1111/j.1541-1338.2012.00588.x","ISSN":"1541-1338","issue":"6","language":"en","page":"672-692","source":"Wiley Online Library","title":"Fostering Quality of Life through Social Innovation: A Living Lab Methodology Study Case","title-short":"Fostering Quality of Life through Social Innovation","volume":"29","author":[{"family":"Edwards‐Schachter","given":"Mónica E."},{"family":"Matti","given":"Cristian E."},{"family":"Alcántara","given":"Enrique"}],"issued":{"date-parts":[["2012"]]}},"suppress-author":true}],"schema":"https://github.com/citation-style-language/schema/raw/master/csl-citation.json"}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(2012)</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argue that ICT can foster the co-creation process by facilitating communication channels. For example, in their case study, a Living Lab Cvida project uses online questionnaires to collect data and ICT platforms such as free-accessible websites to identify people’s needs. </w:t>
      </w:r>
    </w:p>
    <w:p w14:paraId="2FC76DDC" w14:textId="2AB272BF" w:rsidR="002C1A2F" w:rsidRPr="00F153F6" w:rsidRDefault="002C1A2F" w:rsidP="004424B4">
      <w:pPr>
        <w:spacing w:line="360" w:lineRule="auto"/>
        <w:jc w:val="both"/>
        <w:rPr>
          <w:rFonts w:ascii="Times New Roman" w:eastAsia="Times New Roman"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Existing research into Living Labs indicates that ICT significantly supports their inter-organisational collaborations. Diverse technologies, ranging from Geographical Information Systems to wireless services, are shared and customised following an open source approach to foster inter-organisational collaborations towards innovation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{"citationID":"a19hlpd7uo0","properties":{"formattedCitation":"(Ballon et al., 2018; Schaffers &amp; Kulkki, 2007)","plainCitation":"(Ballon et al., 2018; Schaffers &amp; Kulkki, 2007)","noteIndex":0},"citationItems":[{"id":330,"uris":["http://zotero.org/users/5709166/items/MGLPCW5Y"],"itemData":{"id":330,"type":"article-journal","container-title":"Telematics and Informatics","DOI":"10.1016/j.tele.2018.02.003","ISSN":"07365853","issue":"5","journalAbbreviation":"Telematics and Informatics","language":"en","page":"1201-1214","source":"DOI.org (Crossref)","title":"The effectiveness of involving users in digital innovation: Measuring the impact of living labs","title-short":"The effectiveness of involving users in digital innovation","volume":"35","author":[{"family":"Ballon","given":"Pieter"},{"family":"Van Hoed","given":"Miriam"},{"family":"Schuurman","given":"Dimitri"}],"issued":{"date-parts":[["2018",8]]}}},{"id":331,"uris":["http://zotero.org/users/5709166/items/3UI6RHQH"],"itemData":{"id":331,"type":"article-journal","language":"en","page":"10","source":"Zotero","title":"An open innovation concept fostering rural development","author":[{"family":"Schaffers","given":"Hans"},{"family":"Kulkki","given":"Seija"}],"issued":{"date-parts":[["2007"]]}}}],"schema":"https://github.com/citation-style-language/schema/raw/master/csl-citation.json"}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(Ballon et al., 2018; Schaffers &amp; Kulkki, 2007)</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t xml:space="preserve">Schaffers </w:t>
      </w:r>
      <w:r w:rsidR="00D02F8D" w:rsidRPr="00F153F6">
        <w:rPr>
          <w:rFonts w:ascii="Times New Roman" w:hAnsi="Times New Roman" w:cs="Times New Roman"/>
          <w:color w:val="000000" w:themeColor="text1"/>
          <w:sz w:val="24"/>
          <w:szCs w:val="24"/>
        </w:rPr>
        <w:t>&amp;</w:t>
      </w:r>
      <w:r w:rsidRPr="00F153F6">
        <w:rPr>
          <w:rFonts w:ascii="Times New Roman" w:hAnsi="Times New Roman" w:cs="Times New Roman"/>
          <w:color w:val="000000" w:themeColor="text1"/>
          <w:sz w:val="24"/>
          <w:szCs w:val="24"/>
        </w:rPr>
        <w:t xml:space="preserve"> Kulkki</w:t>
      </w:r>
      <w:r w:rsidRPr="00F153F6">
        <w:rPr>
          <w:rFonts w:ascii="Times New Roman" w:eastAsia="Times New Roman"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1os5ikvk7l","properties":{"formattedCitation":"(2007)","plainCitation":"(2007)","noteIndex":0},"citationItems":[{"id":331,"uris":["http://zotero.org/users/5709166/items/3UI6RHQH"],"itemData":{"id":331,"type":"article-journal","language":"en","page":"10","source":"Zotero","title":"An open innovation concept fostering rural development","author":[{"family":"Schaffers","given":"Hans"},{"family":"Kulkki","given":"Seija"}],"issued":{"date-parts":[["2007"]]}},"suppress-author":true}],"schema":"https://github.com/citation-style-language/schema/raw/master/csl-citation.json"}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(2007)</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argued that a Living Lab provides an experimentation and validation environment in which stakeholders work together to create ICT-based innovation. In addition, </w:t>
      </w:r>
      <w:r w:rsidRPr="00F153F6">
        <w:rPr>
          <w:rFonts w:ascii="Times New Roman" w:hAnsi="Times New Roman" w:cs="Times New Roman"/>
          <w:color w:val="000000" w:themeColor="text1"/>
          <w:sz w:val="24"/>
          <w:szCs w:val="24"/>
        </w:rPr>
        <w:t>Leon et al.</w:t>
      </w:r>
      <w:r w:rsidRPr="00F153F6">
        <w:rPr>
          <w:rFonts w:ascii="Times New Roman" w:eastAsia="Times New Roman" w:hAnsi="Times New Roman" w:cs="Times New Roman"/>
          <w:iCs/>
          <w:color w:val="000000" w:themeColor="text1"/>
          <w:sz w:val="24"/>
          <w:szCs w:val="24"/>
        </w:rPr>
        <w:t xml:space="preserve">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{"citationID":"ahud9g8jvk","properties":{"formattedCitation":"(2006)","plainCitation":"(2006)","noteIndex":0},"citationItems":[{"id":333,"uris":["http://zotero.org/users/5709166/items/72Y83JCH"],"itemData":{"id":333,"type":"paper-conference","abstract":"Today, new ways of constructing and delivering complex wireless and mobile services require more elaborate and distributed prototyping, testing, and validation facilities. Testbeds are becoming an important tool for integrating technology components into the complex environment of the wireless world and end-users in their daily life. However technology in itself is no longer valid –benefits and usefulness for people in their daily life must be proven before the technology or service can be said to be a success.","container-title":"2nd International Conference on Testbeds and Research Infrastructures for the Development of Networks and Communities, 2006. TRIDENTCOM 2006.","DOI":"10.1109/TRIDNT.2006.1649138","event-place":"Barcelona","event-title":"2006 2nd International Conference on Testbeds and Research Infrastructures for the Development of Networks and Communities","ISBN":"978-1-4244-0106-2","language":"en","page":"5 pp.-139","publisher":"IEEE","publisher-place":"Barcelona","source":"DOI.org (Crossref)","title":"Creating a distributed mobile networking testbed environment-through the Living Labs approach","URL":"http://ieeexplore.ieee.org/document/1649138/","author":[{"family":"Ponce de Leon","given":"M.P."},{"family":"Eriksson","given":"M."},{"family":"Balasubramaniam","given":"S."},{"family":"Donnelly","given":"W."}],"accessed":{"date-parts":[["2020",1,15]]},"issued":{"date-parts":[["2006"]]}},"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(2006)</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used the Living Lab approach to create a distributed mobile networking environment in which mobile intelligence allowed end users to be actively involved in a complex wireless environment. </w:t>
      </w:r>
    </w:p>
    <w:p w14:paraId="10CE618C" w14:textId="7C10FC1E"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imes New Roman" w:hAnsi="Times New Roman" w:cs="Times New Roman"/>
          <w:iCs/>
          <w:color w:val="000000" w:themeColor="text1"/>
          <w:sz w:val="24"/>
          <w:szCs w:val="24"/>
        </w:rPr>
        <w:t xml:space="preserve">The current literature emphasises the significance of ICT as an outcome or facilitator of co-creation processes in Living Labs. However, few studies place attention on how ICT shapes IOKE practice in this context. As Schuurman et al. </w:t>
      </w:r>
      <w:r w:rsidRPr="00F153F6">
        <w:rPr>
          <w:rFonts w:ascii="Times New Roman" w:hAnsi="Times New Roman" w:cs="Times New Roman"/>
          <w:color w:val="000000" w:themeColor="text1"/>
          <w:sz w:val="24"/>
          <w:szCs w:val="24"/>
        </w:rPr>
        <w:fldChar w:fldCharType="begin"/>
      </w:r>
      <w:r w:rsidRPr="00F153F6">
        <w:rPr>
          <w:rFonts w:ascii="Times New Roman" w:eastAsia="Times New Roman" w:hAnsi="Times New Roman" w:cs="Times New Roman"/>
          <w:iCs/>
          <w:color w:val="000000" w:themeColor="text1"/>
          <w:sz w:val="24"/>
          <w:szCs w:val="24"/>
        </w:rPr>
        <w:instrText xml:space="preserve"> ADDIN ZOTERO_ITEM CSL_CITATION {"citationID":"EEEZrTsy","properties":{"formattedCitation":"(2016)","plainCitation":"(2016)","noteIndex":0},"citationItems":[{"id":2665,"uris":["http://zotero.org/users/5709166/items/YJ3LDFKJ"],"itemData":{"id":2665,"type":"article-journal","abstract":"In nowadays knowledge economy, no more general ‘best practice’ innovation management exists. Within this paper we investigate the potential of Living Labs as open innovation systems that foster different knowledge transfers amongst the actors participating in them. By means of an in-depth case study research we explore a variety of hypotheses abstracted from the open innovation literature on knowledge transfers and other variables influencing exchange and collaboration in open innovation systems. We conclude that given certain criteria are met, Living Labs can be a solution for sustainable innovation development.","container-title":"International Journal of Business Innovation and Research","DOI":"10.1504/IJBIR.2016.074832","ISSN":"1751-0252, 1751-0260","issue":"2/3","language":"en","page":"322","source":"Crossref","title":"Living Labs as open innovation systems for knowledge exchange: solutions for sustainable innovation development","title-short":"Living Labs as open innovation systems for knowledge exchange","volume":"10","author":[{"family":"Schuurman","given":"Dimitri"},{"family":"Baccarne","given":"Bastiaan"},{"family":"Marez","given":"Lieven De"},{"family":"Veeckman","given":"Carina"},{"family":"Ballon","given":"Pieter"}],"issued":{"date-parts":[["2016"]]}},"suppress-author":true}],"schema":"https://github.com/citation-style-language/schema/raw/master/csl-citation.json"}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(2016)</w:t>
      </w:r>
      <w:r w:rsidRPr="00F153F6">
        <w:rPr>
          <w:rFonts w:ascii="Times New Roman" w:hAnsi="Times New Roman" w:cs="Times New Roman"/>
          <w:color w:val="000000" w:themeColor="text1"/>
          <w:sz w:val="24"/>
          <w:szCs w:val="24"/>
        </w:rPr>
        <w:fldChar w:fldCharType="end"/>
      </w:r>
      <w:r w:rsidRPr="00F153F6">
        <w:rPr>
          <w:rFonts w:ascii="Times New Roman" w:eastAsia="Times New Roman" w:hAnsi="Times New Roman" w:cs="Times New Roman"/>
          <w:iCs/>
          <w:color w:val="000000" w:themeColor="text1"/>
          <w:sz w:val="24"/>
          <w:szCs w:val="24"/>
        </w:rPr>
        <w:t xml:space="preserve"> note, Living Labs are an open innovation system that can greatly enable ICT to foster innovation by knowledge exchange among diverse stakeholders and organisations. Therefore, this research </w:t>
      </w:r>
      <w:r w:rsidR="00B918CF" w:rsidRPr="00F153F6">
        <w:rPr>
          <w:rFonts w:ascii="Times New Roman" w:eastAsia="Times New Roman" w:hAnsi="Times New Roman" w:cs="Times New Roman"/>
          <w:iCs/>
          <w:color w:val="000000" w:themeColor="text1"/>
          <w:sz w:val="24"/>
          <w:szCs w:val="24"/>
        </w:rPr>
        <w:t>source projects from</w:t>
      </w:r>
      <w:r w:rsidRPr="00F153F6">
        <w:rPr>
          <w:rFonts w:ascii="Times New Roman" w:eastAsia="Times New Roman" w:hAnsi="Times New Roman" w:cs="Times New Roman"/>
          <w:iCs/>
          <w:color w:val="000000" w:themeColor="text1"/>
          <w:sz w:val="24"/>
          <w:szCs w:val="24"/>
        </w:rPr>
        <w:t xml:space="preserve"> </w:t>
      </w:r>
      <w:r w:rsidRPr="00F153F6">
        <w:rPr>
          <w:rFonts w:ascii="Times New Roman" w:eastAsiaTheme="minorEastAsia" w:hAnsi="Times New Roman" w:cs="Times New Roman"/>
          <w:iCs/>
          <w:color w:val="000000" w:themeColor="text1"/>
          <w:sz w:val="24"/>
          <w:szCs w:val="24"/>
        </w:rPr>
        <w:t>ENoLL</w:t>
      </w:r>
      <w:r w:rsidRPr="00F153F6">
        <w:rPr>
          <w:rFonts w:ascii="Times New Roman" w:eastAsia="Times New Roman" w:hAnsi="Times New Roman" w:cs="Times New Roman"/>
          <w:iCs/>
          <w:color w:val="000000" w:themeColor="text1"/>
          <w:sz w:val="24"/>
          <w:szCs w:val="24"/>
        </w:rPr>
        <w:t xml:space="preserve"> as a context to study the role of ICT in the shaping of IOKE practices. </w:t>
      </w:r>
    </w:p>
    <w:p w14:paraId="5880FC6B" w14:textId="7B9A7A86" w:rsidR="002C1A2F" w:rsidRPr="00F153F6" w:rsidRDefault="002C1A2F" w:rsidP="004424B4">
      <w:pPr>
        <w:spacing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iCs/>
          <w:color w:val="000000" w:themeColor="text1"/>
          <w:sz w:val="24"/>
          <w:szCs w:val="24"/>
        </w:rPr>
        <w:t xml:space="preserve">The ENoLL covers project topics that range from smart cities, health care, electronic games, to education. Furthermore, ENoLL is a platform for knowledge sharing in inter-organisational collaborations across Europe, and fosters multiple methodologies and technologies to stimulate a co-creative innovation process </w:t>
      </w:r>
      <w:r w:rsidRPr="00F153F6">
        <w:rPr>
          <w:rFonts w:ascii="Times New Roman" w:hAnsi="Times New Roman" w:cs="Times New Roman"/>
          <w:color w:val="000000" w:themeColor="text1"/>
          <w:sz w:val="24"/>
          <w:szCs w:val="24"/>
        </w:rPr>
        <w:fldChar w:fldCharType="begin"/>
      </w:r>
      <w:r w:rsidRPr="00F153F6">
        <w:rPr>
          <w:rFonts w:ascii="Times New Roman" w:eastAsiaTheme="minorEastAsia" w:hAnsi="Times New Roman" w:cs="Times New Roman"/>
          <w:iCs/>
          <w:color w:val="000000" w:themeColor="text1"/>
          <w:sz w:val="24"/>
          <w:szCs w:val="24"/>
        </w:rPr>
        <w:instrText xml:space="preserve"> ADDIN ZOTERO_ITEM CSL_CITATION {"citationID":"Hbs5jv8r","properties":{"formattedCitation":"(Pieter, 2015)","plainCitation":"(Pieter, 2015)","noteIndex":0},"citationItems":[{"id":2169,"uris":["http://zotero.org/users/5709166/items/T2L2BYQ3"],"itemData":{"id":2169,"type":"article-journal","container-title":"info","DOI":"10.1108/info-04-2015-0024","ISSN":"1463-6697","issue":"4","title":"Living labs: concepts, tools and cases","URL":"https://doi.org/10.1108/info-04-2015-0024","volume":"17","author":[{"family":"Pieter","given":"Ballon"}],"editor":[{"family":"Dimitri","given":"Schuurman"}],"accessed":{"date-parts":[["2019",12,15]]},"issued":{"date-parts":[["2015",1,1]]}}}],"schema":"https://github.com/citation-style-language/schema/raw/master/csl-citation.json"} </w:instrText>
      </w:r>
      <w:r w:rsidRPr="00F153F6">
        <w:rPr>
          <w:rFonts w:ascii="Times New Roman" w:hAnsi="Times New Roman" w:cs="Times New Roman"/>
          <w:color w:val="000000" w:themeColor="text1"/>
          <w:sz w:val="24"/>
          <w:szCs w:val="24"/>
        </w:rPr>
        <w:fldChar w:fldCharType="separate"/>
      </w:r>
      <w:r w:rsidRPr="00F153F6">
        <w:rPr>
          <w:rFonts w:ascii="Times New Roman" w:hAnsi="Times New Roman" w:cs="Times New Roman"/>
          <w:color w:val="000000" w:themeColor="text1"/>
          <w:sz w:val="24"/>
          <w:szCs w:val="24"/>
        </w:rPr>
        <w:t>(Pieter, 2015)</w:t>
      </w:r>
      <w:r w:rsidRPr="00F153F6">
        <w:rPr>
          <w:rFonts w:ascii="Times New Roman" w:hAnsi="Times New Roman" w:cs="Times New Roman"/>
          <w:color w:val="000000" w:themeColor="text1"/>
          <w:sz w:val="24"/>
          <w:szCs w:val="24"/>
        </w:rPr>
        <w:fldChar w:fldCharType="end"/>
      </w:r>
      <w:r w:rsidRPr="00F153F6">
        <w:rPr>
          <w:rFonts w:ascii="Times New Roman" w:eastAsiaTheme="minorEastAsia" w:hAnsi="Times New Roman" w:cs="Times New Roman"/>
          <w:iCs/>
          <w:color w:val="000000" w:themeColor="text1"/>
          <w:sz w:val="24"/>
          <w:szCs w:val="24"/>
        </w:rPr>
        <w:t>.</w:t>
      </w:r>
    </w:p>
    <w:p w14:paraId="465B62B8" w14:textId="2A30C394" w:rsidR="00B918CF" w:rsidRPr="00F153F6" w:rsidRDefault="00B918CF" w:rsidP="004424B4">
      <w:pPr>
        <w:pStyle w:val="Heading2"/>
        <w:spacing w:line="360" w:lineRule="auto"/>
        <w:rPr>
          <w:rFonts w:ascii="Times New Roman" w:hAnsi="Times New Roman" w:cs="Times New Roman"/>
          <w:color w:val="000000" w:themeColor="text1"/>
          <w:sz w:val="32"/>
          <w:szCs w:val="32"/>
        </w:rPr>
      </w:pPr>
      <w:bookmarkStart w:id="284" w:name="_Toc133252135"/>
      <w:r w:rsidRPr="00F153F6">
        <w:rPr>
          <w:rFonts w:ascii="Times New Roman" w:hAnsi="Times New Roman" w:cs="Times New Roman"/>
          <w:color w:val="000000" w:themeColor="text1"/>
          <w:sz w:val="32"/>
          <w:szCs w:val="32"/>
        </w:rPr>
        <w:t xml:space="preserve">2.8 </w:t>
      </w:r>
      <w:r w:rsidR="00BD3316" w:rsidRPr="00F153F6">
        <w:rPr>
          <w:rFonts w:ascii="Times New Roman" w:hAnsi="Times New Roman" w:cs="Times New Roman"/>
          <w:color w:val="000000" w:themeColor="text1"/>
          <w:sz w:val="32"/>
          <w:szCs w:val="32"/>
        </w:rPr>
        <w:t>Literature Review</w:t>
      </w:r>
      <w:r w:rsidR="00A02337" w:rsidRPr="00F153F6">
        <w:rPr>
          <w:rFonts w:ascii="Times New Roman" w:hAnsi="Times New Roman" w:cs="Times New Roman"/>
          <w:color w:val="000000" w:themeColor="text1"/>
          <w:sz w:val="32"/>
          <w:szCs w:val="32"/>
        </w:rPr>
        <w:t xml:space="preserve"> Summary</w:t>
      </w:r>
      <w:bookmarkEnd w:id="284"/>
      <w:r w:rsidR="005F1339" w:rsidRPr="00F153F6">
        <w:rPr>
          <w:rFonts w:ascii="Times New Roman" w:hAnsi="Times New Roman" w:cs="Times New Roman"/>
          <w:color w:val="000000" w:themeColor="text1"/>
          <w:sz w:val="32"/>
          <w:szCs w:val="32"/>
        </w:rPr>
        <w:t xml:space="preserve"> and Implications for Research</w:t>
      </w:r>
    </w:p>
    <w:p w14:paraId="5DD2CEB0" w14:textId="6BF704D7" w:rsidR="00FE52DE" w:rsidRPr="00F153F6" w:rsidRDefault="00FE52DE" w:rsidP="00FE52DE">
      <w:pPr>
        <w:spacing w:line="360" w:lineRule="auto"/>
        <w:jc w:val="both"/>
        <w:rPr>
          <w:rFonts w:ascii="Times New Roman" w:hAnsi="Times New Roman" w:cs="Times New Roman"/>
          <w:sz w:val="24"/>
          <w:szCs w:val="24"/>
          <w:lang w:eastAsia="zh-CN"/>
        </w:rPr>
      </w:pPr>
      <w:r w:rsidRPr="00F153F6">
        <w:rPr>
          <w:rFonts w:ascii="Times New Roman" w:hAnsi="Times New Roman" w:cs="Times New Roman"/>
          <w:sz w:val="24"/>
          <w:szCs w:val="24"/>
          <w:lang w:eastAsia="zh-CN"/>
        </w:rPr>
        <w:t xml:space="preserve">This literature review chapter has reviewed and discussed existing research in relation to the present research topic, mainly in four areas: knowledge management, ICT, inter-organisational setting, and the context of Living Labs. By reviewing the literature, the present study is able to highlight and clarify the research gap in existing knowledge in relation to the co-shaping dynamics between inter-organisational knowledge exchange practice and ICT in the context of </w:t>
      </w:r>
      <w:r w:rsidRPr="00F153F6">
        <w:rPr>
          <w:rFonts w:ascii="Times New Roman" w:hAnsi="Times New Roman" w:cs="Times New Roman"/>
          <w:sz w:val="24"/>
          <w:szCs w:val="24"/>
          <w:lang w:eastAsia="zh-CN"/>
        </w:rPr>
        <w:lastRenderedPageBreak/>
        <w:t>European Living Labs. In this thesis, the review of the literature has not been conducted in order to identify an appropriate theoretical lens nor develop a distinct conceptual position to follow; rather, reviewing the literature was an important step to inform the design of data collection (</w:t>
      </w:r>
      <w:r w:rsidR="00220D04" w:rsidRPr="00F153F6">
        <w:rPr>
          <w:rFonts w:ascii="Times New Roman" w:hAnsi="Times New Roman" w:cs="Times New Roman"/>
          <w:sz w:val="24"/>
          <w:szCs w:val="24"/>
          <w:lang w:eastAsia="zh-CN"/>
        </w:rPr>
        <w:t>e.g.,</w:t>
      </w:r>
      <w:r w:rsidRPr="00F153F6">
        <w:rPr>
          <w:rFonts w:ascii="Times New Roman" w:hAnsi="Times New Roman" w:cs="Times New Roman"/>
          <w:sz w:val="24"/>
          <w:szCs w:val="24"/>
          <w:lang w:eastAsia="zh-CN"/>
        </w:rPr>
        <w:t xml:space="preserve"> interview questions design) and set out the context for the ensuing analysis and discussion in relation to the research topic. In other words, in terms of the literature review, this study maintains an open mind in terms of the relevance of established theories, whereby their review supports the development of theoretical sensitivity for future analysis and as data emerge</w:t>
      </w:r>
      <w:r w:rsidR="005F1339" w:rsidRPr="00F153F6">
        <w:rPr>
          <w:rFonts w:ascii="Times New Roman" w:hAnsi="Times New Roman" w:cs="Times New Roman"/>
          <w:sz w:val="24"/>
          <w:szCs w:val="24"/>
          <w:lang w:eastAsia="zh-CN"/>
        </w:rPr>
        <w:t xml:space="preserve"> but does not pre-determine it</w:t>
      </w:r>
      <w:r w:rsidRPr="00F153F6">
        <w:rPr>
          <w:rFonts w:ascii="Times New Roman" w:hAnsi="Times New Roman" w:cs="Times New Roman"/>
          <w:sz w:val="24"/>
          <w:szCs w:val="24"/>
          <w:lang w:eastAsia="zh-CN"/>
        </w:rPr>
        <w:t xml:space="preserve">. </w:t>
      </w:r>
      <w:r w:rsidR="00B33C28" w:rsidRPr="00F153F6">
        <w:rPr>
          <w:rFonts w:ascii="Times New Roman" w:hAnsi="Times New Roman" w:cs="Times New Roman"/>
          <w:sz w:val="24"/>
          <w:szCs w:val="24"/>
          <w:lang w:eastAsia="zh-CN"/>
        </w:rPr>
        <w:t xml:space="preserve"> Although the distinct theories are not pre-determined at literature review stage, the present study would like to claim the theoretical stances that have been finally employed in this research based on later data analysis. Specifically, Practice Theory, Sociomateriality Theory, and Affordance Theory are identified appropriate and employed to understand the research phenomena at different levels of analysis (i.e., the how and why these theories are used to support the data analysis are discussed in more detail in the Discussion Chapter).   </w:t>
      </w:r>
    </w:p>
    <w:p w14:paraId="612C8543" w14:textId="3BF32189" w:rsidR="00FE52DE" w:rsidRPr="00F153F6" w:rsidRDefault="00FE52DE" w:rsidP="00FE52DE">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lang w:eastAsia="zh-CN"/>
        </w:rPr>
        <w:t xml:space="preserve">By reviewing and synthesising the literature, the present study identified a major theoretical gap. On the one hand, </w:t>
      </w:r>
      <w:r w:rsidRPr="00F153F6">
        <w:rPr>
          <w:rFonts w:ascii="Times New Roman" w:hAnsi="Times New Roman" w:cs="Times New Roman"/>
          <w:sz w:val="24"/>
          <w:szCs w:val="24"/>
        </w:rPr>
        <w:t xml:space="preserve">existing literature has indicated the dynamic nature of inter-organisational knowledge exchange practice </w:t>
      </w:r>
      <w:r w:rsidRPr="00F153F6">
        <w:rPr>
          <w:rFonts w:ascii="Times New Roman" w:hAnsi="Times New Roman" w:cs="Times New Roman"/>
          <w:sz w:val="24"/>
          <w:szCs w:val="24"/>
        </w:rPr>
        <w:fldChar w:fldCharType="begin"/>
      </w:r>
      <w:r w:rsidR="00682A8A" w:rsidRPr="00F153F6">
        <w:rPr>
          <w:rFonts w:ascii="Times New Roman" w:hAnsi="Times New Roman" w:cs="Times New Roman"/>
          <w:sz w:val="24"/>
          <w:szCs w:val="24"/>
        </w:rPr>
        <w:instrText xml:space="preserve"> ADDIN ZOTERO_ITEM CSL_CITATION {"citationID":"AetrGP6W","properties":{"formattedCitation":"(Bouncken &amp; Aslam, 2019; J. J. Davenport, 2018; Ward et al., 2012)","plainCitation":"(Bouncken &amp; Aslam, 2019; J. J. Davenport, 2018; Ward et al., 2012)","dontUpdate":true,"noteIndex":0},"citationItems":[{"id":2547,"uris":["http://zotero.org/users/5709166/items/HRNZ6K59"],"itemData":{"id":2547,"type":"article-journal","abstract":"Purpose Coworking spaces use the idea of spatial co-location that improves communication and knowledge sharing among independent knowledge professionals. Fluid work structures and a sense of community can facilitate work satisfaction, creativity and entrepreneurship. Fundamentals to those positive outcomes are the knowledge sharing processes between users of coworking spaces. The purpose of this study is to explore the knowledge sharing processes in this setting where researchers still have very little understanding. Design/methodology/approach Based on an inductive research methodology, qualitative data were collected through observations and interviews with a variety of users (including freelancers, entrepreneurs and firms) incumbent in various coworking spaces in Germany. Findings Co-location of individuals in coworking spaces is first about physical proximity and second about socialization and collaboration opportunities, which then advance cognitive proximity. Thus, co-location can facilitate tacit knowledge exchange, ignite the social disembodiment of ideas, synthesize domain-related knowledge sharing and promote inter-domain learning. The institutionalization of knowledge management services will allow coworking spaces to increase these positive outcomes. Practical implications Findings of this study are interesting for managers of shared spaces and traditional firms that use spatial co-location. The authors propose institutionalized knowledge management services to enable multifaceted and multidisciplinary knowledge creation in organizations. Originality/value This paper sheds light on the role of spatial co-location in knowledge sharing processes among independent knowledge professionals in shared office spaces. Thereby, this study provides valuable insights into a phenomenon that has received little attention even though its practical importance is high.","container-title":"Journal of Knowledge Management","DOI":"10.1108/JKM-05-2018-0316","ISSN":"1367-3270","issue":"10","note":"publisher: Emerald Publishing Limited","page":"2067-2085","source":"Emerald Insight","title":"Understanding knowledge exchange processes among diverse users of coworking-spaces","volume":"23","author":[{"family":"Bouncken","given":"Ricarda"},{"family":"Aslam","given":"Muhammad Mahmood"}],"issued":{"date-parts":[["2019",1,1]]}}},{"id":1969,"uris":["http://zotero.org/users/5709166/items/JB4TW4YQ"],"itemData":{"id":1969,"type":"article-journal","language":"en","page":"427","source":"Zotero","title":"Exploring the Theory and Practice of Knowledge Exchange: intention, context and characteristics","author":[{"family":"Davenport","given":"Jeremy John"}],"issued":{"date-parts":[["2018"]]}}},{"id":989,"uris":["http://zotero.org/users/5709166/items/4UBMS5ZA"],"itemData":{"id":989,"type":"article-journal","abstract":"Knowledge translation is underpinned by a dynamic and social knowledge exchange process but there are few descriptions of how this unfolds in practice settings. This has hampered attempts to produce realistic and useful models to help policymakers and researchers understand how knowledge exchange works. This paper reports the results of research which investigated the nature of knowledge exchange. We aimed to understand whether dynamic and fluid definitions of knowledge exchange are valid and to produce a realistic, descriptive framework of knowledge exchange. Our research was informed by a realist approach. We embedded a knowledge broker within three service delivery teams across a mental health organisation in the UK, each of whom was grappling with specific challenges. The knowledge broker participated in the team’s problem-solving process and collected observational fieldnotes. We also interviewed the team members. Observational and interview data were analysed quantitatively and qualitatively in order to determine and describe the nature of the knowledge exchange process in more detail. This enabled us to refine our conceptual framework of knowledge exchange. We found that knowledge exchange can be understood as a dynamic and fluid process which incorporates distinct forms of knowledge from multiple sources. Quantitative analysis illustrated that five broadly-defined components of knowledge exchange (problem, context, knowledge, activities, use) can all be in play at any one time and do not occur in a set order. Qualitative analysis revealed a number of distinct themes which better described the nature of knowledge exchange. By shedding light on the nature of knowledge exchange, our findings problematise some of the linear, technicist approaches to knowledge translation. The revised model of knowledge exchange which we propose here could therefore help to reorient thinking about knowledge exchange and act as a starting point for further exploration and evaluation of the knowledge exchange process.","collection-title":"Part Special Issue: Organization studies and the analysis of health systems","container-title":"Social Science &amp; Medicine","DOI":"10.1016/j.socscimed.2011.09.021","ISSN":"0277-9536","issue":"3","journalAbbreviation":"Social Science &amp; Medicine","page":"297-304","source":"ScienceDirect","title":"Exploring knowledge exchange: A useful framework for practice and policy","title-short":"Exploring knowledge exchange","volume":"74","author":[{"family":"Ward","given":"Vicky"},{"family":"Smith","given":"Simon"},{"family":"House","given":"Allan"},{"family":"Hamer","given":"Susan"}],"issued":{"date-parts":[["2012",2,1]]}}}],"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(Bouncken &amp; Aslam, 2019; Davenport, 2018; Ward et al., 2012)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where </w:t>
      </w:r>
      <w:r w:rsidR="00475DE6" w:rsidRPr="00F153F6">
        <w:rPr>
          <w:rFonts w:ascii="Times New Roman" w:hAnsi="Times New Roman" w:cs="Times New Roman"/>
          <w:sz w:val="24"/>
          <w:szCs w:val="24"/>
        </w:rPr>
        <w:t xml:space="preserve">the significance of </w:t>
      </w:r>
      <w:r w:rsidRPr="00F153F6">
        <w:rPr>
          <w:rFonts w:ascii="Times New Roman" w:hAnsi="Times New Roman" w:cs="Times New Roman"/>
          <w:sz w:val="24"/>
          <w:szCs w:val="24"/>
        </w:rPr>
        <w:t xml:space="preserve">ICT is emphasised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{"citationID":"SE4T4rh6","properties":{"formattedCitation":"(Bautista et al., 2018; Priyono, 2016; Sefollahi, 2018)","plainCitation":"(Bautista et al., 2018; Priyono, 2016; Sefollahi, 2018)","noteIndex":0},"citationItems":[{"id":1567,"uris":["http://zotero.org/users/5709166/items/RI8ZCHBB"],"itemData":{"id":1567,"type":"chapter","abstract":"The ICT sector is one of the fastest growing sectors in the global economy. It provides a wide range of services for different actors according to their type of actions. Meantime, there is a limited understanding how different ICT tools can support co-creation process among different groups of stakeholders in terms of the Responsible Research and Innovation (RRI) processes. As we see the core principle of the RRI is a common work, or in other words-a co-creation process. So who and how can facilitate and ensure the quality of such co-creation process and its outcomes in multidisciplinary society? This article puts focus specifically on the use of ICT tools for communication and knowledge exchange (creation of common projects) among different groups of stakeholders, emphasising the importance of such online co-creation in nowadays transdisciplinary society and explaining the importance of the facilitation of co-creation process. It also highlights the architecture of Co-RRI platform, an example of a web platform which supports stakeholders' cooperation in the frames of the Horizon 2020 FoTRRIS project. It was created to support project Co-RRI activities in five partner countries (Belgium, Spain, Italy, Hungary, and Austria). The need for such cooperation practices in local communities is demonstrated and experiences of local communities are summarised.","container-title":"Responsible Research and Innovation Actions in Science Education, Gender and Ethics: Cases and Experiences","event-place":"Cham","ISBN":"978-3-319-73207-7","language":"English","note":"WOS:000444540000005","page":"21-26","publisher":"Springer International Publishing Ag","publisher-place":"Cham","source":"Web of Science","title":"Developing RRI Practices: The Role of the ICT in Stakeholders' Knowledge Exchange and Co-creation Processes","title-short":"Developing RRI Practices","author":[{"family":"Bautista","given":"Susana"},{"family":"Mazaj","given":"Jelena"},{"family":"Cardenas","given":"Marlon"}],"issued":{"date-parts":[["2018"]]}}},{"id":1986,"uris":["http://zotero.org/users/5709166/items/BLXK7Y6L"],"itemData":{"id":1986,"type":"article-journal","abstract":"This study aims to investigate the use of information and communication technology (ICT) to support knowledge exchange in project-based organisations. The primary ICT tool investigated in this research is WhatsApp, a messaging application that has been widely used since its introduction. An ethnographic case study method was utilised to analyse qualitative data collected from interviews and focus group discussions. Three projects in an Indonesian university with a duration ranging from 8 months to 2 years were examined as object of investigations. Broadly, the findings show that ICT tools are generally useful in supporting knowledge exchange, which ultimately positively affects project performance. The project teams relied on WhatsApp for the success of the projects. Although face-to-face meetings were rare, team communication was highly intensive, supported by WhatsApp. In addition, managers are encouraged to promote knowledge exchange between team members. Through knowledge exchange, there will be knowledge development, which facilitates the invention of new techniques and methods for promoting project success. The most prominent findings are presented using direct quotations to provide first hand insight from the field. At the end of the paper, recommendations regarding what project managers should do during and after the project has been completed are presented. The recommendations are classified based on the knowledge management life cycle, representing a structured method to manage knowledge in project-based organisations.","container-title":"International Journal of Entrepreneurial Knowledge","DOI":"10.1515/ijek-2016-0010","ISSN":"2336-2960","issue":"2","language":"en","page":"5-21","source":"DOI.org (Crossref)","title":"The Use of ICT Platforms to Promote Knowledge Exchange in Project-Based Organisations","volume":"4","author":[{"family":"Priyono","given":"Anjar"}],"issued":{"date-parts":[["2016",12,1]]}}},{"id":2327,"uris":["http://zotero.org/users/5709166/items/RFRQDQP7"],"itemData":{"id":2327,"type":"article-journal","abstract":"Knowledge management (KM) is a process that transforms individual knowledgeinto organizational knowledge.Knowledgeis information that is meaningful in cognitive forms such as understanding, awareness and ability .It is typically acquired by experience, information consumption, experimentation and thought processes such as imagination and critical thinking. communication and information technology(ICT) are technologies which facilitate the management to share knowledge and information .thus ,ICT have a prominent role on knowledge management initiatives. One of the key issues in KM is the role of communication and information technology. this is important from two points. the first is that ICT has played a central role in the primary literature of knowledge management. Second, ICT plays a prominent role in many early knowledge management initiatives. In thisarticle,the importance and role of information technology in knowledge management in organizations has been investigated and analyzed.","language":"en","page":"18","source":"Zotero","title":"THE IMPORTANCE OF ICT ON KNOWLEDGE MANAGEMENT IN ORGANIZATIONS","author":[{"family":"Sefollahi","given":"N"}],"issued":{"date-parts":[["2018"]]}}}],"schema":"https://github.com/citation-style-language/schema/raw/master/csl-citation.json"}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(Bautista et al., 2018; Priyono, 2016; Sefollahi, 2018)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On the other hand, current </w:t>
      </w:r>
      <w:r w:rsidR="00042F66" w:rsidRPr="00F153F6">
        <w:rPr>
          <w:rFonts w:ascii="Times New Roman" w:hAnsi="Times New Roman" w:cs="Times New Roman"/>
          <w:sz w:val="24"/>
          <w:szCs w:val="24"/>
        </w:rPr>
        <w:t>perspective on the nature</w:t>
      </w:r>
      <w:r w:rsidRPr="00F153F6">
        <w:rPr>
          <w:rFonts w:ascii="Times New Roman" w:hAnsi="Times New Roman" w:cs="Times New Roman"/>
          <w:sz w:val="24"/>
          <w:szCs w:val="24"/>
        </w:rPr>
        <w:t xml:space="preserve"> of ICT are rather fragmented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{"citationID":"bLrtNw2H","properties":{"formattedCitation":"(Orlikowski &amp; Iacono, 2001b; Zhu et al., 2021)","plainCitation":"(Orlikowski &amp; Iacono, 2001b; Zhu et al., 2021)","noteIndex":0},"citationItems":[{"id":288,"uris":["http://zotero.org/users/5709166/items/RAKCU48Y"],"itemData":{"id":288,"type":"article-journal","container-title":"Information Systems Research","DOI":"10.1287/isre.12.2.121.9700","ISSN":"1047-7047, 1526-5536","issue":"2","journalAbbreviation":"Information Systems Research","language":"en","page":"121-134","source":"DOI.org (Crossref)","title":"Research Commentary: Desperately Seeking the “IT” in IT Research—A Call to Theorizing the IT Artifact","title-short":"Research Commentary","volume":"12","author":[{"family":"Orlikowski","given":"Wanda J."},{"family":"Iacono","given":"C. Suzanne"}],"issued":{"date-parts":[["2001",6]]}}},{"id":2641,"uris":["http://zotero.org/users/5709166/items/F3TTP2DS"],"itemData":{"id":2641,"type":"paper-conference","abstract":"Organisations are increasingly seeking collaborations across organisational boundaries, and the digitalisation of organisation can greatly accelerate people to exchange knowledge in such inter-organisational collaborations. Therefore, Information and Communication Technologies (ICTs) play a more significant role in organisations' inter-organisational knowledge exchange (IOKE) than ever before. However, current studies provide somewhat fragmented perspectives through which knowledge and technology may be interpreted. It is critical now for research and practice to understand how ICTs shape IOKE. This study accordingly explores how IOKE is conceptualised from different ICT perspectives and understand their limitations and implications. The paper contributes to understanding the dynamic nature of IOKE from ICT perspectives and calls for future research to conceptualise IOKE from a more integrative view.","collection-title":"Lecture Notes in Computer Science","container-title":"Responsible AI and Analytics for an Ethical and Inclusive Digitized Society","DOI":"10.1007/978-3-030-85447-8_35","event-place":"Cham","ISBN":"978-3-030-85447-8","language":"en","page":"411-422","publisher":"Springer International Publishing","publisher-place":"Cham","source":"Springer Link","title":"ICT-Based Inter-organisational Knowledge Exchange: A Narrative Literature Review Approach","title-short":"ICT-Based Inter-organisational Knowledge Exchange","author":[{"family":"Zhu","given":"Yuzhen"},{"family":"Zamani","given":"Efpraxia D."},{"family":"Martins","given":"Jorge Tiago"},{"family":"Vasconcelos","given":"Ana Cristina"}],"editor":[{"family":"Dennehy","given":"Denis"},{"family":"Griva","given":"Anastasia"},{"family":"Pouloudi","given":"Nancy"},{"family":"Dwivedi","given":"Yogesh K."},{"family":"Pappas","given":"Ilias"},{"family":"Mäntymäki","given":"Matti"}],"issued":{"date-parts":[["2021"]]}}}],"schema":"https://github.com/citation-style-language/schema/raw/master/csl-citation.json"}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(Orlikowski &amp; Iacono, 2001; Zhu et al., 2021)</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and these include among others the discrete entity view, ensemble, structure, materiality, sociomateriality, sociotechnical, and affordance view</w:t>
      </w:r>
      <w:r w:rsidR="00B60B18" w:rsidRPr="00F153F6">
        <w:rPr>
          <w:rFonts w:ascii="Times New Roman" w:hAnsi="Times New Roman" w:cs="Times New Roman"/>
          <w:sz w:val="24"/>
          <w:szCs w:val="24"/>
        </w:rPr>
        <w:t>s</w:t>
      </w:r>
      <w:r w:rsidRPr="00F153F6">
        <w:rPr>
          <w:rFonts w:ascii="Times New Roman" w:hAnsi="Times New Roman" w:cs="Times New Roman"/>
          <w:sz w:val="24"/>
          <w:szCs w:val="24"/>
        </w:rPr>
        <w:t>, many of which have reflected</w:t>
      </w:r>
      <w:r w:rsidR="00B60B18" w:rsidRPr="00F153F6">
        <w:rPr>
          <w:rFonts w:ascii="Times New Roman" w:hAnsi="Times New Roman" w:cs="Times New Roman"/>
          <w:sz w:val="24"/>
          <w:szCs w:val="24"/>
        </w:rPr>
        <w:t xml:space="preserve"> the</w:t>
      </w:r>
      <w:r w:rsidRPr="00F153F6">
        <w:rPr>
          <w:rFonts w:ascii="Times New Roman" w:hAnsi="Times New Roman" w:cs="Times New Roman"/>
          <w:sz w:val="24"/>
          <w:szCs w:val="24"/>
        </w:rPr>
        <w:t xml:space="preserve"> dynamic nature of ICT for IOKE practice (e.g. affordance view, sociomateriality view, or ensemble view). However, there is less evidence to show how the dynamic nature of ICT interact</w:t>
      </w:r>
      <w:r w:rsidR="00B60B18" w:rsidRPr="00F153F6">
        <w:rPr>
          <w:rFonts w:ascii="Times New Roman" w:hAnsi="Times New Roman" w:cs="Times New Roman"/>
          <w:sz w:val="24"/>
          <w:szCs w:val="24"/>
        </w:rPr>
        <w:t>s</w:t>
      </w:r>
      <w:r w:rsidRPr="00F153F6">
        <w:rPr>
          <w:rFonts w:ascii="Times New Roman" w:hAnsi="Times New Roman" w:cs="Times New Roman"/>
          <w:sz w:val="24"/>
          <w:szCs w:val="24"/>
        </w:rPr>
        <w:t xml:space="preserve"> with the dynamic IOKE practice which together shape the ICT-based IOKE practice dynamics. The theoretical challenge was accordingly how to understand the co-shaping dynamics of dynamic inter-organisational knowledge exchange practice when taking into account the dynamic nature of ICT. A more comprehensive understanding on how ICT shapes and is shaped by inter-organisational knowledge exchange practice is thus required, which informs and motivates the present study.</w:t>
      </w:r>
    </w:p>
    <w:p w14:paraId="5DD78CB7" w14:textId="49B5DEAE" w:rsidR="005207A0" w:rsidRPr="00F153F6" w:rsidRDefault="00CF127E" w:rsidP="00FE52DE">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following research questions are enquired: </w:t>
      </w:r>
      <w:r w:rsidR="005207A0" w:rsidRPr="00F153F6">
        <w:rPr>
          <w:rFonts w:ascii="Times New Roman" w:hAnsi="Times New Roman" w:cs="Times New Roman"/>
          <w:sz w:val="24"/>
          <w:szCs w:val="24"/>
        </w:rPr>
        <w:t>1) What are the characteristics of ICT-based inter-organisational knowledge exchange practice in inter-organisational collaboration? 2) How does ICT facilitate or inhibit inter-organisational knowledge exchange practice in inter-organisational collaboration? And 3)</w:t>
      </w:r>
      <w:r w:rsidR="005207A0" w:rsidRPr="00F153F6">
        <w:rPr>
          <w:rFonts w:ascii="Times New Roman" w:eastAsia="Microsoft YaHei" w:hAnsi="Times New Roman" w:cs="Times New Roman"/>
          <w:sz w:val="24"/>
          <w:szCs w:val="24"/>
          <w:lang w:eastAsia="zh-CN"/>
        </w:rPr>
        <w:t xml:space="preserve"> </w:t>
      </w:r>
      <w:r w:rsidR="005207A0" w:rsidRPr="00F153F6">
        <w:rPr>
          <w:rFonts w:ascii="Times New Roman" w:hAnsi="Times New Roman" w:cs="Times New Roman"/>
          <w:sz w:val="24"/>
          <w:szCs w:val="24"/>
        </w:rPr>
        <w:t>How to integrate ICT into an ICT-based inter-</w:t>
      </w:r>
      <w:r w:rsidR="005207A0" w:rsidRPr="00F153F6">
        <w:rPr>
          <w:rFonts w:ascii="Times New Roman" w:hAnsi="Times New Roman" w:cs="Times New Roman"/>
          <w:sz w:val="24"/>
          <w:szCs w:val="24"/>
        </w:rPr>
        <w:lastRenderedPageBreak/>
        <w:t>organisational knowledge exchange framework for inter-organisational collaboration?</w:t>
      </w:r>
      <w:r w:rsidR="004424B4" w:rsidRPr="00F153F6">
        <w:rPr>
          <w:rFonts w:ascii="Times New Roman" w:hAnsi="Times New Roman" w:cs="Times New Roman"/>
          <w:sz w:val="24"/>
          <w:szCs w:val="24"/>
        </w:rPr>
        <w:t xml:space="preserve"> </w:t>
      </w:r>
      <w:r w:rsidR="005207A0" w:rsidRPr="00F153F6">
        <w:rPr>
          <w:rFonts w:ascii="Times New Roman" w:hAnsi="Times New Roman" w:cs="Times New Roman"/>
          <w:sz w:val="24"/>
          <w:szCs w:val="24"/>
        </w:rPr>
        <w:t xml:space="preserve">This research investigates the European Living Labs as the context of this research because there are intensive inter-organisational collaboration takes place in European Living Lab projects. The next chapter will discuss in detail how this research is designed and relevant methodology that this research </w:t>
      </w:r>
      <w:r w:rsidR="00B5430E" w:rsidRPr="00F153F6">
        <w:rPr>
          <w:rFonts w:ascii="Times New Roman" w:hAnsi="Times New Roman" w:cs="Times New Roman"/>
          <w:sz w:val="24"/>
          <w:szCs w:val="24"/>
        </w:rPr>
        <w:t>adopts</w:t>
      </w:r>
      <w:r w:rsidR="005207A0" w:rsidRPr="00F153F6">
        <w:rPr>
          <w:rFonts w:ascii="Times New Roman" w:hAnsi="Times New Roman" w:cs="Times New Roman"/>
          <w:sz w:val="24"/>
          <w:szCs w:val="24"/>
        </w:rPr>
        <w:t xml:space="preserve"> to answer the above research questions.</w:t>
      </w:r>
    </w:p>
    <w:p w14:paraId="64AF77DE" w14:textId="08D509A0" w:rsidR="00DD16BB" w:rsidRPr="00F153F6" w:rsidRDefault="00DD16BB" w:rsidP="004424B4">
      <w:pPr>
        <w:spacing w:line="360" w:lineRule="auto"/>
        <w:rPr>
          <w:rFonts w:ascii="Times New Roman" w:hAnsi="Times New Roman" w:cs="Times New Roman"/>
          <w:lang w:eastAsia="zh-CN"/>
        </w:rPr>
      </w:pPr>
    </w:p>
    <w:p w14:paraId="40EF1B0C" w14:textId="2FED7E57" w:rsidR="00DD16BB" w:rsidRPr="00F153F6" w:rsidRDefault="00DD16BB" w:rsidP="004424B4">
      <w:pPr>
        <w:spacing w:line="360" w:lineRule="auto"/>
        <w:rPr>
          <w:rFonts w:ascii="Times New Roman" w:hAnsi="Times New Roman" w:cs="Times New Roman"/>
        </w:rPr>
      </w:pPr>
    </w:p>
    <w:p w14:paraId="705B5C9D" w14:textId="113EC709" w:rsidR="002C1A2F" w:rsidRPr="00F153F6" w:rsidRDefault="002C1A2F" w:rsidP="004424B4">
      <w:pPr>
        <w:spacing w:after="160" w:line="360" w:lineRule="auto"/>
        <w:jc w:val="both"/>
        <w:rPr>
          <w:rFonts w:ascii="Times New Roman" w:eastAsiaTheme="minorEastAsia" w:hAnsi="Times New Roman" w:cs="Times New Roman"/>
          <w:iCs/>
          <w:color w:val="000000" w:themeColor="text1"/>
          <w:sz w:val="24"/>
          <w:szCs w:val="24"/>
        </w:rPr>
      </w:pPr>
      <w:r w:rsidRPr="00F153F6">
        <w:rPr>
          <w:rFonts w:ascii="Times New Roman" w:eastAsiaTheme="minorEastAsia" w:hAnsi="Times New Roman" w:cs="Times New Roman"/>
          <w:iCs/>
          <w:color w:val="000000" w:themeColor="text1"/>
          <w:sz w:val="24"/>
          <w:szCs w:val="24"/>
        </w:rPr>
        <w:br w:type="page"/>
      </w:r>
    </w:p>
    <w:p w14:paraId="16E6F21B" w14:textId="309A7EBA" w:rsidR="002C1A2F" w:rsidRPr="00F153F6" w:rsidRDefault="002C1A2F" w:rsidP="004424B4">
      <w:pPr>
        <w:pStyle w:val="Heading1"/>
        <w:spacing w:line="360" w:lineRule="auto"/>
        <w:jc w:val="center"/>
        <w:rPr>
          <w:rFonts w:ascii="Times New Roman" w:hAnsi="Times New Roman" w:cs="Times New Roman"/>
          <w:b w:val="0"/>
          <w:bCs/>
          <w:sz w:val="40"/>
          <w:szCs w:val="40"/>
        </w:rPr>
      </w:pPr>
      <w:bookmarkStart w:id="285" w:name="_Toc118371112"/>
      <w:bookmarkStart w:id="286" w:name="_Toc133252136"/>
      <w:r w:rsidRPr="00F153F6">
        <w:rPr>
          <w:rFonts w:ascii="Times New Roman" w:hAnsi="Times New Roman" w:cs="Times New Roman"/>
          <w:b w:val="0"/>
          <w:bCs/>
          <w:sz w:val="40"/>
          <w:szCs w:val="40"/>
        </w:rPr>
        <w:lastRenderedPageBreak/>
        <w:t>CHAPTER 3</w:t>
      </w:r>
      <w:r w:rsidR="0015201A" w:rsidRPr="00F153F6">
        <w:rPr>
          <w:rFonts w:ascii="Times New Roman" w:hAnsi="Times New Roman" w:cs="Times New Roman"/>
          <w:b w:val="0"/>
          <w:bCs/>
          <w:sz w:val="40"/>
          <w:szCs w:val="40"/>
        </w:rPr>
        <w:t xml:space="preserve">  </w:t>
      </w:r>
      <w:r w:rsidRPr="00F153F6">
        <w:rPr>
          <w:rFonts w:ascii="Times New Roman" w:hAnsi="Times New Roman" w:cs="Times New Roman"/>
          <w:b w:val="0"/>
          <w:bCs/>
          <w:sz w:val="40"/>
          <w:szCs w:val="40"/>
        </w:rPr>
        <w:t xml:space="preserve"> METHODOLOGY</w:t>
      </w:r>
      <w:bookmarkEnd w:id="285"/>
      <w:bookmarkEnd w:id="286"/>
    </w:p>
    <w:p w14:paraId="34E2A64A" w14:textId="77777777" w:rsidR="002C1A2F" w:rsidRPr="00F153F6" w:rsidRDefault="002C1A2F" w:rsidP="004424B4">
      <w:pPr>
        <w:pStyle w:val="Heading2"/>
        <w:spacing w:line="360" w:lineRule="auto"/>
        <w:rPr>
          <w:rFonts w:ascii="Times New Roman" w:hAnsi="Times New Roman" w:cs="Times New Roman"/>
          <w:sz w:val="32"/>
          <w:szCs w:val="32"/>
        </w:rPr>
      </w:pPr>
      <w:bookmarkStart w:id="287" w:name="_Toc118371113"/>
      <w:bookmarkStart w:id="288" w:name="_Toc133252137"/>
      <w:r w:rsidRPr="00F153F6">
        <w:rPr>
          <w:rFonts w:ascii="Times New Roman" w:hAnsi="Times New Roman" w:cs="Times New Roman"/>
          <w:sz w:val="32"/>
          <w:szCs w:val="32"/>
        </w:rPr>
        <w:t>3.1 Introduction</w:t>
      </w:r>
      <w:bookmarkEnd w:id="287"/>
      <w:bookmarkEnd w:id="288"/>
    </w:p>
    <w:p w14:paraId="76122C5D"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This chapter introduces the methodology that guided the development of this study. Based on the research aim of understanding the role of ICT in the IOKE practice, a qualitative research approach was applied combined with Grounded Theory, case studies and archival research as the research strategy. The rationale for such a choice is elaborated on through the discussion presented in the following sections: Section 3.2 discusses the underlying philosophical commitments by taking into consideration ontological and epistemological assumptions, deductive and inductive approaches, and qualitative and quantitative research approaches; Section 3.3 reviews different qualitative research strategies and elaborates on the choice of methods employed in this research. Section 3.4 illustrates how this research was designed, the sampling strategy and decisions in relation to data collection and data analysis. Section 3.5 discusses the ethical considerations for this study. </w:t>
      </w:r>
    </w:p>
    <w:p w14:paraId="323CD091" w14:textId="77777777" w:rsidR="002C1A2F" w:rsidRPr="00F153F6" w:rsidRDefault="002C1A2F" w:rsidP="004424B4">
      <w:pPr>
        <w:pStyle w:val="Heading2"/>
        <w:spacing w:line="360" w:lineRule="auto"/>
        <w:rPr>
          <w:rFonts w:ascii="Times New Roman" w:hAnsi="Times New Roman" w:cs="Times New Roman"/>
          <w:sz w:val="32"/>
          <w:szCs w:val="32"/>
        </w:rPr>
      </w:pPr>
      <w:bookmarkStart w:id="289" w:name="_Toc118371114"/>
      <w:bookmarkStart w:id="290" w:name="_Toc133252138"/>
      <w:r w:rsidRPr="00F153F6">
        <w:rPr>
          <w:rFonts w:ascii="Times New Roman" w:hAnsi="Times New Roman" w:cs="Times New Roman"/>
          <w:sz w:val="32"/>
          <w:szCs w:val="32"/>
        </w:rPr>
        <w:t>3.2 Research Philosophy</w:t>
      </w:r>
      <w:bookmarkEnd w:id="289"/>
      <w:bookmarkEnd w:id="290"/>
    </w:p>
    <w:p w14:paraId="621A09FD" w14:textId="77777777" w:rsidR="002C1A2F" w:rsidRPr="00F153F6" w:rsidRDefault="002C1A2F" w:rsidP="004424B4">
      <w:pPr>
        <w:pStyle w:val="Heading3"/>
        <w:spacing w:line="360" w:lineRule="auto"/>
        <w:jc w:val="both"/>
        <w:rPr>
          <w:rFonts w:ascii="Times New Roman" w:hAnsi="Times New Roman" w:cs="Times New Roman"/>
          <w:b/>
          <w:color w:val="auto"/>
          <w:sz w:val="28"/>
          <w:szCs w:val="28"/>
        </w:rPr>
      </w:pPr>
      <w:r w:rsidRPr="00F153F6">
        <w:rPr>
          <w:rFonts w:ascii="Times New Roman" w:hAnsi="Times New Roman" w:cs="Times New Roman"/>
          <w:b/>
          <w:color w:val="auto"/>
          <w:sz w:val="28"/>
          <w:szCs w:val="28"/>
        </w:rPr>
        <w:tab/>
      </w:r>
      <w:bookmarkStart w:id="291" w:name="_Toc118371115"/>
      <w:bookmarkStart w:id="292" w:name="_Toc133252139"/>
      <w:r w:rsidRPr="00F153F6">
        <w:rPr>
          <w:rFonts w:ascii="Times New Roman" w:hAnsi="Times New Roman" w:cs="Times New Roman"/>
          <w:b/>
          <w:color w:val="auto"/>
          <w:sz w:val="28"/>
          <w:szCs w:val="28"/>
        </w:rPr>
        <w:t>3.2.1 Philosophical Assumptions</w:t>
      </w:r>
      <w:bookmarkEnd w:id="291"/>
      <w:bookmarkEnd w:id="292"/>
    </w:p>
    <w:p w14:paraId="1BFE1B69"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Research philosophy refers to “a system of beliefs and assumptions about the development of knowledge”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{"citationID":"a29knlshn69","properties":{"formattedCitation":"(Saunders et al., 2015, p. 124)","plainCitation":"(Saunders et al., 2015, p. 124)","noteIndex":0},"citationItems":[{"id":2294,"uris":["http://zotero.org/users/5709166/items/GH5XKWAI"],"itemData":{"id":2294,"type":"book","call-number":"HD30.4 .S28 2015","edition":"Seventh edition","event-place":"New York","ISBN":"978-1-292-01662-7","language":"en","publisher":"Pearson Education","publisher-place":"New York","source":"Library of Congress ISBN","title":"Research methods for business students","author":[{"family":"Saunders","given":"M. N. K."},{"family":"Lewis","given":"Philip"},{"family":"Thornhill","given":"Adrian"}],"issued":{"date-parts":[["2015"]]}},"locator":"124"}],"schema":"https://github.com/citation-style-language/schema/raw/master/csl-citation.json"}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(Saunders et al., 2015, p. 124)</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In other words, it helps to understand how knowledge is developed to answer a specific research question in a particular field when embarking upon research. There are two major types of philosophical research assumptions to distinguish research philosophy: epistemological assumptions and ontological assumptions.</w:t>
      </w:r>
    </w:p>
    <w:p w14:paraId="7E6E3F37" w14:textId="4660C72C"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Ontology concerns the nature of reality encountered in the research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{"citationID":"a1ssak28t1v","properties":{"formattedCitation":"(Burrell &amp; Morgan, 2011)","plainCitation":"(Burrell &amp; Morgan, 2011)","noteIndex":0},"citationItems":[{"id":2292,"uris":["http://zotero.org/users/5709166/items/ZK8JY94L"],"itemData":{"id":2292,"type":"book","edition":"Reprinted","event-place":"Farnham","ISBN":"978-0-566-05148-7","language":"en","note":"OCLC: 798957444","number-of-pages":"432","publisher":"Ashgate","publisher-place":"Farnham","source":"Gemeinsamer Bibliotheksverbund ISBN","title":"Sociological paradigms and organisational analysis: elements of the sociology of corporate life","title-short":"Sociological paradigms and organisational analysis","author":[{"family":"Burrell","given":"Gibson"},{"family":"Morgan","given":"Gareth"}],"issued":{"date-parts":[["2011"]]}}}],"schema":"https://github.com/citation-style-language/schema/raw/master/csl-citation.json"}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(Burrell &amp; Morgan, 2011)</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Ontological assumptions provide a view on what social realities exist and are amenable to study as research objects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{"citationID":"a167aajc8s1","properties":{"formattedCitation":"(Creswell, 2015)","plainCitation":"(Creswell, 2015)","noteIndex":0},"citationItems":[{"id":2291,"uris":["http://zotero.org/users/5709166/items/A7AFIDQH"],"itemData":{"id":2291,"type":"article-journal","container-title":"Health Promotion Practice","DOI":"10.1177/1524839915580941","ISSN":"1524-8399, 1552-6372","issue":"4","journalAbbreviation":"Health Promotion Practice","language":"en","page":"473-475","source":"DOI.org (Crossref)","title":"Qualitative Inquiry and Research Design: Choosing Among Five Approaches","title-short":"Qualitative Inquiry and Research Design","volume":"16","author":[{"family":"Creswell","given":"John W."}],"issued":{"date-parts":[["2015",7]]}}}],"schema":"https://github.com/citation-style-language/schema/raw/master/csl-citation.json"}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(Creswell, 2015)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Ontology is classified into two categories: objectivism and subjectivism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{"citationID":"a1o1s4npgml","properties":{"formattedCitation":"(Saunders et al., 2015)","plainCitation":"(Saunders et al., 2015)","noteIndex":0},"citationItems":[{"id":2294,"uris":["http://zotero.org/users/5709166/items/GH5XKWAI"],"itemData":{"id":2294,"type":"book","call-number":"HD30.4 .S28 2015","edition":"Seventh edition","event-place":"New York","ISBN":"978-1-292-01662-7","language":"en","publisher":"Pearson Education","publisher-place":"New York","source":"Library of Congress ISBN","title":"Research methods for business students","author":[{"family":"Saunders","given":"M. N. K."},{"family":"Lewis","given":"Philip"},{"family":"Thornhill","given":"Adrian"}],"issued":{"date-parts":[["2015"]]}}}],"schema":"https://github.com/citation-style-language/schema/raw/master/csl-citation.json"}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(Saunders et al., 2015)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The objectivist position implies that only one true social reality is confronted by all social actors. In other words, objectivism argues that social phenomenon and social actors exist independently and thereby need to be studied separately. On the other hand, subjectivism considers that the social reality is constituted by the perceptions and subsequent actions of social actors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{"citationID":"BXM9lLnQ","properties":{"formattedCitation":"(Saunders et al., 2015)","plainCitation":"(Saunders et al., 2015)","noteIndex":0},"citationItems":[{"id":2294,"uris":["http://zotero.org/users/5709166/items/GH5XKWAI"],"itemData":{"id":2294,"type":"book","call-number":"HD30.4 .S28 2015","edition":"Seventh edition","event-place":"New York","ISBN":"978-1-292-01662-7","language":"en","publisher":"Pearson Education","publisher-place":"New York","source":"Library of Congress ISBN","title":"Research methods for business students","author":[{"family":"Saunders","given":"M. N. K."},{"family":"Lewis","given":"Philip"},{"family":"Thornhill","given":"Adrian"}],"issued":{"date-parts":[["2015"]]}}}],"schema":"https://github.com/citation-style-language/schema/raw/master/csl-citation.json"}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(Saunders et al., 2015)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Subjectivism embraces nominalism and social constructionism assumptions. Nominalism considers that </w:t>
      </w:r>
      <w:r w:rsidRPr="00F153F6">
        <w:rPr>
          <w:rFonts w:ascii="Times New Roman" w:hAnsi="Times New Roman" w:cs="Times New Roman"/>
          <w:sz w:val="24"/>
          <w:szCs w:val="24"/>
        </w:rPr>
        <w:lastRenderedPageBreak/>
        <w:t xml:space="preserve">researchers and other social actors together construct the social phenomenon under study. Social constructionism considers that social reality is constructed by social interactions. Social actors provide partial meanings which are continuously revised in order to create and shape the social world </w:t>
      </w:r>
      <w:r w:rsidRPr="00F153F6">
        <w:rPr>
          <w:rFonts w:ascii="Times New Roman" w:hAnsi="Times New Roman" w:cs="Times New Roman"/>
          <w:sz w:val="24"/>
          <w:szCs w:val="24"/>
        </w:rPr>
        <w:fldChar w:fldCharType="begin"/>
      </w:r>
      <w:r w:rsidR="00B73834" w:rsidRPr="00F153F6">
        <w:rPr>
          <w:rFonts w:ascii="Times New Roman" w:hAnsi="Times New Roman" w:cs="Times New Roman"/>
          <w:sz w:val="24"/>
          <w:szCs w:val="24"/>
        </w:rPr>
        <w:instrText xml:space="preserve"> ADDIN ZOTERO_ITEM CSL_CITATION {"citationID":"a1gmakpmj0l","properties":{"formattedCitation":"(S. Li, 2018)","plainCitation":"(S. Li, 2018)","dontUpdate":true,"noteIndex":0},"citationItems":[{"id":2014,"uris":["http://zotero.org/users/5709166/items/6AKM3HG4"],"itemData":{"id":2014,"type":"thesis","title":"Knowledge Domains and Skills that Facilitate Knowledge Sharing in Project Management -A Case Study in the Chinese Construction Industry","URL":"http://etheses.whiterose.ac.uk/21467/2/Thesis_Shuyang%20Li.pdf","author":[{"family":"Li","given":"Shuyang"}],"accessed":{"date-parts":[["2019",10,21]]},"issued":{"date-parts":[["2018"]]}}}],"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(Li, 2018)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w:t>
      </w:r>
    </w:p>
    <w:p w14:paraId="667C2A66" w14:textId="0508E186"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This research aligns with the ontological assumption that IOKE practice could acquire benefits or be held back under the influence of ICT. In terms of its ontological position, this research is aligned with constructionism and subjectivism, as it aims to explore the perceptions of multiple stakeholders engaged in </w:t>
      </w:r>
      <w:r w:rsidR="00BF50A2" w:rsidRPr="00F153F6">
        <w:rPr>
          <w:rFonts w:ascii="Times New Roman" w:hAnsi="Times New Roman" w:cs="Times New Roman"/>
          <w:sz w:val="24"/>
          <w:szCs w:val="24"/>
        </w:rPr>
        <w:t>Living Lab</w:t>
      </w:r>
      <w:r w:rsidRPr="00F153F6">
        <w:rPr>
          <w:rFonts w:ascii="Times New Roman" w:hAnsi="Times New Roman" w:cs="Times New Roman"/>
          <w:sz w:val="24"/>
          <w:szCs w:val="24"/>
        </w:rPr>
        <w:t>s concerning what role ICT are playing in the shaping of IOKE practice.</w:t>
      </w:r>
    </w:p>
    <w:p w14:paraId="447369FD" w14:textId="4DD22588"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Epistemology considers human knowledge related assumptions, including what constitutes acceptable, valid and necessary knowledge and how that knowledge could be elaborated to others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{"citationID":"a2a2bjo4344","properties":{"formattedCitation":"(Bryman, 2012)","plainCitation":"(Bryman, 2012)","noteIndex":0},"citationItems":[{"id":2296,"uris":["http://zotero.org/users/5709166/items/GKGEVL25"],"itemData":{"id":2296,"type":"book","call-number":"H62 .B787 2012","edition":"4th ed","event-place":"Oxford ; New York","ISBN":"978-0-19-958805-3","language":"en","number-of-pages":"766","publisher":"Oxford University Press","publisher-place":"Oxford ; New York","source":"Library of Congress ISBN","title":"Social research methods","author":[{"family":"Bryman","given":"Alan"}],"issued":{"date-parts":[["2012"]]}}}],"schema":"https://github.com/citation-style-language/schema/raw/master/csl-citation.json"}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(Bryman, 2012)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There are two main epistemological positions: positivism and interpretivism. Positivism considers knowledge as an objective reality and advocates the application of natural science methods into social reality studies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{"citationID":"13zsVKxQ","properties":{"formattedCitation":"(Saunders et al., 2015)","plainCitation":"(Saunders et al., 2015)","noteIndex":0},"citationItems":[{"id":2294,"uris":["http://zotero.org/users/5709166/items/GH5XKWAI"],"itemData":{"id":2294,"type":"book","call-number":"HD30.4 .S28 2015","edition":"Seventh edition","event-place":"New York","ISBN":"978-1-292-01662-7","language":"en","publisher":"Pearson Education","publisher-place":"New York","source":"Library of Congress ISBN","title":"Research methods for business students","author":[{"family":"Saunders","given":"M. N. K."},{"family":"Lewis","given":"Philip"},{"family":"Thornhill","given":"Adrian"}],"issued":{"date-parts":[["2015"]]}}}],"schema":"https://github.com/citation-style-language/schema/raw/master/csl-citation.json"}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(Saunders et al., 2015)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Only observable and measurable facts can provide credible and acceptable knowledge. In contrast to positivism, interpretivism emphasises the role of human beings and the explanation of human behaviours in the construction of social knowledge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{"citationID":"FScKaXNH","properties":{"formattedCitation":"(Bryman, 2012)","plainCitation":"(Bryman, 2012)","noteIndex":0},"citationItems":[{"id":2296,"uris":["http://zotero.org/users/5709166/items/GKGEVL25"],"itemData":{"id":2296,"type":"book","call-number":"H62 .B787 2012","edition":"4th ed","event-place":"Oxford ; New York","ISBN":"978-0-19-958805-3","language":"en","number-of-pages":"766","publisher":"Oxford University Press","publisher-place":"Oxford ; New York","source":"Library of Congress ISBN","title":"Social research methods","author":[{"family":"Bryman","given":"Alan"}],"issued":{"date-parts":[["2012"]]}}}],"schema":"https://github.com/citation-style-language/schema/raw/master/csl-citation.json"}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(Bryman, 2012)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Interpretivism focuses on understanding the interactions between social knowledge and social actors </w:t>
      </w:r>
      <w:r w:rsidRPr="00F153F6">
        <w:rPr>
          <w:rFonts w:ascii="Times New Roman" w:hAnsi="Times New Roman" w:cs="Times New Roman"/>
          <w:sz w:val="24"/>
          <w:szCs w:val="24"/>
        </w:rPr>
        <w:fldChar w:fldCharType="begin"/>
      </w:r>
      <w:r w:rsidR="00B73834" w:rsidRPr="00F153F6">
        <w:rPr>
          <w:rFonts w:ascii="Times New Roman" w:hAnsi="Times New Roman" w:cs="Times New Roman"/>
          <w:sz w:val="24"/>
          <w:szCs w:val="24"/>
        </w:rPr>
        <w:instrText xml:space="preserve"> ADDIN ZOTERO_ITEM CSL_CITATION {"citationID":"jQXx1l8Z","properties":{"formattedCitation":"(S. Li, 2018)","plainCitation":"(S. Li, 2018)","dontUpdate":true,"noteIndex":0},"citationItems":[{"id":2014,"uris":["http://zotero.org/users/5709166/items/6AKM3HG4"],"itemData":{"id":2014,"type":"thesis","title":"Knowledge Domains and Skills that Facilitate Knowledge Sharing in Project Management -A Case Study in the Chinese Construction Industry","URL":"http://etheses.whiterose.ac.uk/21467/2/Thesis_Shuyang%20Li.pdf","author":[{"family":"Li","given":"Shuyang"}],"accessed":{"date-parts":[["2019",10,21]]},"issued":{"date-parts":[["2018"]]}}}],"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(Li, 2018)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Therefore, the exploration of social actors’ viewpoints to understand social phenomena can lead to acceptable knowledge in the interpretivism position.</w:t>
      </w:r>
    </w:p>
    <w:p w14:paraId="1AB5EE12" w14:textId="2FAFE261"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this research, there was a need to obtain insights from </w:t>
      </w:r>
      <w:r w:rsidR="00BF50A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stakeholders on how they apply ICT in their knowledge exchange practices. Different </w:t>
      </w:r>
      <w:r w:rsidR="00BF50A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stakeholders might have different </w:t>
      </w:r>
      <w:r w:rsidR="003F4D50" w:rsidRPr="00F153F6">
        <w:rPr>
          <w:rFonts w:ascii="Times New Roman" w:hAnsi="Times New Roman" w:cs="Times New Roman"/>
          <w:sz w:val="24"/>
          <w:szCs w:val="24"/>
        </w:rPr>
        <w:t>perspectives</w:t>
      </w:r>
      <w:r w:rsidRPr="00F153F6">
        <w:rPr>
          <w:rFonts w:ascii="Times New Roman" w:hAnsi="Times New Roman" w:cs="Times New Roman"/>
          <w:sz w:val="24"/>
          <w:szCs w:val="24"/>
        </w:rPr>
        <w:t xml:space="preserve"> on the use of ICT and thereby hold different perceptions on the influence of ICT to their </w:t>
      </w:r>
      <w:r w:rsidR="00BF50A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knowledge exchange process. This implied a need to explore these stakeholders’ </w:t>
      </w:r>
      <w:r w:rsidR="0063077F" w:rsidRPr="00F153F6">
        <w:rPr>
          <w:rFonts w:ascii="Times New Roman" w:hAnsi="Times New Roman" w:cs="Times New Roman"/>
          <w:sz w:val="24"/>
          <w:szCs w:val="24"/>
        </w:rPr>
        <w:t>interpretation</w:t>
      </w:r>
      <w:r w:rsidRPr="00F153F6">
        <w:rPr>
          <w:rFonts w:ascii="Times New Roman" w:hAnsi="Times New Roman" w:cs="Times New Roman"/>
          <w:sz w:val="24"/>
          <w:szCs w:val="24"/>
        </w:rPr>
        <w:t xml:space="preserve"> </w:t>
      </w:r>
      <w:r w:rsidR="0063077F" w:rsidRPr="00F153F6">
        <w:rPr>
          <w:rFonts w:ascii="Times New Roman" w:hAnsi="Times New Roman" w:cs="Times New Roman"/>
          <w:sz w:val="24"/>
          <w:szCs w:val="24"/>
        </w:rPr>
        <w:t>on their use of ICTs and their viewpoints to the influence of ICT on their knowledge exchange works</w:t>
      </w:r>
      <w:r w:rsidRPr="00F153F6">
        <w:rPr>
          <w:rFonts w:ascii="Times New Roman" w:hAnsi="Times New Roman" w:cs="Times New Roman"/>
          <w:sz w:val="24"/>
          <w:szCs w:val="24"/>
        </w:rPr>
        <w:t xml:space="preserve">. Therefore, an interpretivist epistemology was applied in this research. </w:t>
      </w:r>
    </w:p>
    <w:p w14:paraId="4256F0CB" w14:textId="77777777" w:rsidR="000543CB" w:rsidRPr="00F153F6" w:rsidRDefault="000543CB" w:rsidP="004424B4">
      <w:pPr>
        <w:spacing w:line="360" w:lineRule="auto"/>
        <w:jc w:val="both"/>
        <w:rPr>
          <w:rFonts w:ascii="Times New Roman" w:hAnsi="Times New Roman" w:cs="Times New Roman"/>
          <w:sz w:val="24"/>
          <w:szCs w:val="24"/>
        </w:rPr>
      </w:pPr>
    </w:p>
    <w:p w14:paraId="507AF63D" w14:textId="77777777" w:rsidR="002C1A2F" w:rsidRPr="00F153F6" w:rsidRDefault="002C1A2F" w:rsidP="004424B4">
      <w:pPr>
        <w:pStyle w:val="Heading3"/>
        <w:spacing w:line="360" w:lineRule="auto"/>
        <w:jc w:val="both"/>
        <w:rPr>
          <w:rFonts w:ascii="Times New Roman" w:hAnsi="Times New Roman" w:cs="Times New Roman"/>
          <w:b/>
          <w:color w:val="auto"/>
          <w:sz w:val="28"/>
          <w:szCs w:val="28"/>
        </w:rPr>
      </w:pPr>
      <w:r w:rsidRPr="00F153F6">
        <w:rPr>
          <w:rFonts w:ascii="Times New Roman" w:hAnsi="Times New Roman" w:cs="Times New Roman"/>
          <w:b/>
          <w:color w:val="auto"/>
          <w:sz w:val="28"/>
          <w:szCs w:val="28"/>
        </w:rPr>
        <w:tab/>
      </w:r>
      <w:bookmarkStart w:id="293" w:name="_Toc118371116"/>
      <w:bookmarkStart w:id="294" w:name="_Toc133252140"/>
      <w:r w:rsidRPr="00F153F6">
        <w:rPr>
          <w:rFonts w:ascii="Times New Roman" w:hAnsi="Times New Roman" w:cs="Times New Roman"/>
          <w:b/>
          <w:color w:val="auto"/>
          <w:sz w:val="28"/>
          <w:szCs w:val="28"/>
        </w:rPr>
        <w:t>3.2.2 Deductive and Inductive Research Approaches</w:t>
      </w:r>
      <w:bookmarkEnd w:id="293"/>
      <w:bookmarkEnd w:id="294"/>
    </w:p>
    <w:p w14:paraId="184569DD"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Following on from the identification of a constructivist ontology and interpretivist epistemology, the next logical step is the identification of the research approach for the </w:t>
      </w:r>
      <w:r w:rsidRPr="00F153F6">
        <w:rPr>
          <w:rFonts w:ascii="Times New Roman" w:hAnsi="Times New Roman" w:cs="Times New Roman"/>
          <w:sz w:val="24"/>
          <w:szCs w:val="24"/>
        </w:rPr>
        <w:lastRenderedPageBreak/>
        <w:t xml:space="preserve">development of the research design. There are two main different research approaches that represent the nature of the relationship between theory and research: deductive approach and inductive approach. </w:t>
      </w:r>
    </w:p>
    <w:p w14:paraId="39FB05BF"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deductive approach is concerned with deducing hypothesises based on existing knowledge in a particular domain and relevant theoretical considerations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{"citationID":"yamYmjJX","properties":{"formattedCitation":"(Bryman, 2012)","plainCitation":"(Bryman, 2012)","noteIndex":0},"citationItems":[{"id":2296,"uris":["http://zotero.org/users/5709166/items/GKGEVL25"],"itemData":{"id":2296,"type":"book","call-number":"H62 .B787 2012","edition":"4th ed","event-place":"Oxford ; New York","ISBN":"978-0-19-958805-3","language":"en","number-of-pages":"766","publisher":"Oxford University Press","publisher-place":"Oxford ; New York","source":"Library of Congress ISBN","title":"Social research methods","author":[{"family":"Bryman","given":"Alan"}],"issued":{"date-parts":[["2012"]]}}}],"schema":"https://github.com/citation-style-language/schema/raw/master/csl-citation.json"}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(Bryman, 2012)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In other words, the deductive approach explores a known theory or phenomenon and proceeds towards its validation through testing deduced hypothesises in a specific context. The process of deductive research consists of six phases: exploring theory, deducing hypothesis, collecting data, generating findings, confirming or rejecting hypotheses, and revising the theory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{"citationID":"QRsQrTbo","properties":{"formattedCitation":"(Bryman, 2012)","plainCitation":"(Bryman, 2012)","noteIndex":0},"citationItems":[{"id":2296,"uris":["http://zotero.org/users/5709166/items/GKGEVL25"],"itemData":{"id":2296,"type":"book","call-number":"H62 .B787 2012","edition":"4th ed","event-place":"Oxford ; New York","ISBN":"978-0-19-958805-3","language":"en","number-of-pages":"766","publisher":"Oxford University Press","publisher-place":"Oxford ; New York","source":"Library of Congress ISBN","title":"Social research methods","author":[{"family":"Bryman","given":"Alan"}],"issued":{"date-parts":[["2012"]]}}}],"schema":"https://github.com/citation-style-language/schema/raw/master/csl-citation.json"}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(Bryman, 2012)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This can be viewed as a top-down method, as this approach starts from an established theory, and then narrows down to specific hypotheses, in order to finally confirm or reject the original theory via testing the hypotheses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{"citationID":"a1ug1ko7gj4","properties":{"formattedCitation":"(Trochim, 2002)","plainCitation":"(Trochim, 2002)","noteIndex":0},"citationItems":[{"id":2290,"uris":["http://zotero.org/users/5709166/items/ZXIP6M32"],"itemData":{"id":2290,"type":"article-journal","language":"en","page":"34","source":"Zotero","title":"Research Methods Knowledge Base","author":[{"family":"Trochim","given":"William M"}],"issued":{"date-parts":[["2002"]]}}}],"schema":"https://github.com/citation-style-language/schema/raw/master/csl-citation.json"}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(Trochim, 2002)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w:t>
      </w:r>
    </w:p>
    <w:p w14:paraId="6E184EA5" w14:textId="1E1F4C93"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Contrary to the deductive approach, the inductive approach focuses on generating theory based on the research data and findings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{"citationID":"c7ZOV0Xc","properties":{"formattedCitation":"(Bryman, 2012)","plainCitation":"(Bryman, 2012)","noteIndex":0},"citationItems":[{"id":2296,"uris":["http://zotero.org/users/5709166/items/GKGEVL25"],"itemData":{"id":2296,"type":"book","call-number":"H62 .B787 2012","edition":"4th ed","event-place":"Oxford ; New York","ISBN":"978-0-19-958805-3","language":"en","number-of-pages":"766","publisher":"Oxford University Press","publisher-place":"Oxford ; New York","source":"Library of Congress ISBN","title":"Social research methods","author":[{"family":"Bryman","given":"Alan"}],"issued":{"date-parts":[["2012"]]}}}],"schema":"https://github.com/citation-style-language/schema/raw/master/csl-citation.json"}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(Bryman, 2012)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Theory in this approach is an outcome of research, and it is established through the analysis </w:t>
      </w:r>
      <w:r w:rsidR="00643D53" w:rsidRPr="00F153F6">
        <w:rPr>
          <w:rFonts w:ascii="Times New Roman" w:hAnsi="Times New Roman" w:cs="Times New Roman"/>
          <w:sz w:val="24"/>
          <w:szCs w:val="24"/>
        </w:rPr>
        <w:t>of data</w:t>
      </w:r>
      <w:r w:rsidRPr="00F153F6">
        <w:rPr>
          <w:rFonts w:ascii="Times New Roman" w:hAnsi="Times New Roman" w:cs="Times New Roman"/>
          <w:sz w:val="24"/>
          <w:szCs w:val="24"/>
        </w:rPr>
        <w:t xml:space="preserve">. Compared to the deductive approach, the inductive approach usually starts from observations in a particular domain, then these observations are analysed to formulate tentative hypotheses, and finally a theory is generated based on these hypotheses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{"citationID":"fKG9riwP","properties":{"formattedCitation":"(Saunders et al., 2015)","plainCitation":"(Saunders et al., 2015)","noteIndex":0},"citationItems":[{"id":2294,"uris":["http://zotero.org/users/5709166/items/GH5XKWAI"],"itemData":{"id":2294,"type":"book","call-number":"HD30.4 .S28 2015","edition":"Seventh edition","event-place":"New York","ISBN":"978-1-292-01662-7","language":"en","publisher":"Pearson Education","publisher-place":"New York","source":"Library of Congress ISBN","title":"Research methods for business students","author":[{"family":"Saunders","given":"M. N. K."},{"family":"Lewis","given":"Philip"},{"family":"Thornhill","given":"Adrian"}],"issued":{"date-parts":[["2015"]]}}}],"schema":"https://github.com/citation-style-language/schema/raw/master/csl-citation.json"}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(Saunders et al., 2015)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p>
    <w:p w14:paraId="358DFD1D" w14:textId="60A47CED"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Examining the research domain of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s, and after reviewing the existing literature, it seemed that an appropriate theory for understanding the role of ICT in IOKE practice occurring in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settings did not exist. Therefore, this study aims to develop a theory based on data collected from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settings. Based on data inductively generated from interacting with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s stakeholders, the study analysed how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stakeholders perceive and apply ICT to their IOKE practice and what factors may influence this process in order to formulate ICT-based IOKE practice as findings. Finally, based on an iterative processes of constant comparison, a theory was developed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{"citationID":"1cHU1ogq","properties":{"formattedCitation":"(Bryman, 2012)","plainCitation":"(Bryman, 2012)","noteIndex":0},"citationItems":[{"id":2296,"uris":["http://zotero.org/users/5709166/items/GKGEVL25"],"itemData":{"id":2296,"type":"book","call-number":"H62 .B787 2012","edition":"4th ed","event-place":"Oxford ; New York","ISBN":"978-0-19-958805-3","language":"en","number-of-pages":"766","publisher":"Oxford University Press","publisher-place":"Oxford ; New York","source":"Library of Congress ISBN","title":"Social research methods","author":[{"family":"Bryman","given":"Alan"}],"issued":{"date-parts":[["2012"]]}}}],"schema":"https://github.com/citation-style-language/schema/raw/master/csl-citation.json"}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(Bryman, 2012)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This iterative process is characteristic of the inductive research process and reflects in particular the Grounded Theory methodological approach, which is discussed in section 3.3. </w:t>
      </w:r>
    </w:p>
    <w:p w14:paraId="02FCF5E9" w14:textId="77777777" w:rsidR="000543CB" w:rsidRPr="00F153F6" w:rsidRDefault="000543CB" w:rsidP="004424B4">
      <w:pPr>
        <w:spacing w:line="360" w:lineRule="auto"/>
        <w:jc w:val="both"/>
        <w:rPr>
          <w:rFonts w:ascii="Times New Roman" w:hAnsi="Times New Roman" w:cs="Times New Roman"/>
          <w:sz w:val="24"/>
          <w:szCs w:val="24"/>
        </w:rPr>
      </w:pPr>
    </w:p>
    <w:p w14:paraId="23340E0A" w14:textId="77777777" w:rsidR="002C1A2F" w:rsidRPr="00F153F6" w:rsidRDefault="002C1A2F" w:rsidP="004424B4">
      <w:pPr>
        <w:pStyle w:val="Heading3"/>
        <w:spacing w:line="360" w:lineRule="auto"/>
        <w:jc w:val="both"/>
        <w:rPr>
          <w:rFonts w:ascii="Times New Roman" w:hAnsi="Times New Roman" w:cs="Times New Roman"/>
          <w:b/>
          <w:color w:val="auto"/>
          <w:sz w:val="28"/>
          <w:szCs w:val="28"/>
        </w:rPr>
      </w:pPr>
      <w:r w:rsidRPr="00F153F6">
        <w:rPr>
          <w:rFonts w:ascii="Times New Roman" w:hAnsi="Times New Roman" w:cs="Times New Roman"/>
          <w:b/>
          <w:color w:val="auto"/>
          <w:sz w:val="28"/>
          <w:szCs w:val="28"/>
        </w:rPr>
        <w:lastRenderedPageBreak/>
        <w:tab/>
      </w:r>
      <w:bookmarkStart w:id="295" w:name="_Toc118371117"/>
      <w:bookmarkStart w:id="296" w:name="_Toc133252141"/>
      <w:r w:rsidRPr="00F153F6">
        <w:rPr>
          <w:rFonts w:ascii="Times New Roman" w:hAnsi="Times New Roman" w:cs="Times New Roman"/>
          <w:b/>
          <w:color w:val="auto"/>
          <w:sz w:val="28"/>
          <w:szCs w:val="28"/>
        </w:rPr>
        <w:t>3.2.3 Quantitative and Qualitative Research Approaches</w:t>
      </w:r>
      <w:bookmarkEnd w:id="295"/>
      <w:bookmarkEnd w:id="296"/>
    </w:p>
    <w:p w14:paraId="1F0B5A92" w14:textId="010ACDCA"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empirical terms, research can be generally distinguished between quantitative and qualitative research methods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{"citationID":"caMKs9vj","properties":{"formattedCitation":"(Bryman, 2012)","plainCitation":"(Bryman, 2012)","noteIndex":0},"citationItems":[{"id":2296,"uris":["http://zotero.org/users/5709166/items/GKGEVL25"],"itemData":{"id":2296,"type":"book","call-number":"H62 .B787 2012","edition":"4th ed","event-place":"Oxford ; New York","ISBN":"978-0-19-958805-3","language":"en","number-of-pages":"766","publisher":"Oxford University Press","publisher-place":"Oxford ; New York","source":"Library of Congress ISBN","title":"Social research methods","author":[{"family":"Bryman","given":"Alan"}],"issued":{"date-parts":[["2012"]]}}}],"schema":"https://github.com/citation-style-language/schema/raw/master/csl-citation.json"}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(Bryman, 2012)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Quantitative research emphasises the quantification in data collection (e.g.</w:t>
      </w:r>
      <w:r w:rsidR="003C373E" w:rsidRPr="00F153F6">
        <w:rPr>
          <w:rFonts w:ascii="Times New Roman" w:hAnsi="Times New Roman" w:cs="Times New Roman"/>
          <w:sz w:val="24"/>
          <w:szCs w:val="24"/>
        </w:rPr>
        <w:t>,</w:t>
      </w:r>
      <w:r w:rsidRPr="00F153F6">
        <w:rPr>
          <w:rFonts w:ascii="Times New Roman" w:hAnsi="Times New Roman" w:cs="Times New Roman"/>
          <w:sz w:val="24"/>
          <w:szCs w:val="24"/>
        </w:rPr>
        <w:t xml:space="preserve"> through the use of questionnaire surveys) and data analysis techniques (e.g. statistical tests), which implies a deductive approach in order to test relevant hypotheses and theory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{"citationID":"Nljls4WU","properties":{"formattedCitation":"(Saunders et al., 2015)","plainCitation":"(Saunders et al., 2015)","noteIndex":0},"citationItems":[{"id":2294,"uris":["http://zotero.org/users/5709166/items/GH5XKWAI"],"itemData":{"id":2294,"type":"book","call-number":"HD30.4 .S28 2015","edition":"Seventh edition","event-place":"New York","ISBN":"978-1-292-01662-7","language":"en","publisher":"Pearson Education","publisher-place":"New York","source":"Library of Congress ISBN","title":"Research methods for business students","author":[{"family":"Saunders","given":"M. N. K."},{"family":"Lewis","given":"Philip"},{"family":"Thornhill","given":"Adrian"}],"issued":{"date-parts":[["2015"]]}}}],"schema":"https://github.com/citation-style-language/schema/raw/master/csl-citation.json"}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(Saunders et al., 2015)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Qualitative research emphasises qualitative meaning in data collection and analysis rather than quantifications, as in quantitative research. Qualitative research is usually associated with the interpretivism research philosophy, because it focuses on how the researcher develops socially constructed meanings concerning a phenomenon and making sense of subjective experiences, which entails an inductive approach in order to generate theory focused on producing understanding of a social situation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{"citationID":"sGDUIgmZ","properties":{"formattedCitation":"(Saunders et al., 2015)","plainCitation":"(Saunders et al., 2015)","noteIndex":0},"citationItems":[{"id":2294,"uris":["http://zotero.org/users/5709166/items/GH5XKWAI"],"itemData":{"id":2294,"type":"book","call-number":"HD30.4 .S28 2015","edition":"Seventh edition","event-place":"New York","ISBN":"978-1-292-01662-7","language":"en","publisher":"Pearson Education","publisher-place":"New York","source":"Library of Congress ISBN","title":"Research methods for business students","author":[{"family":"Saunders","given":"M. N. K."},{"family":"Lewis","given":"Philip"},{"family":"Thornhill","given":"Adrian"}],"issued":{"date-parts":[["2015"]]}}}],"schema":"https://github.com/citation-style-language/schema/raw/master/csl-citation.json"}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(Saunders et al., 2015)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This study followed an interpretivist research philosophy and an inductive research approach. It focuses on data related to the perceptions of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stakeholders, normally expressed qualitatively through reflection and discourse rather than numerically. Therefore, this research followed a qualitative research approach to conduct an inductive study based on a constructivist and interpretivist research philosophy.</w:t>
      </w:r>
    </w:p>
    <w:p w14:paraId="119E4AB7" w14:textId="77777777" w:rsidR="002C1A2F" w:rsidRPr="00F153F6" w:rsidRDefault="002C1A2F" w:rsidP="004424B4">
      <w:pPr>
        <w:pStyle w:val="Heading2"/>
        <w:spacing w:line="360" w:lineRule="auto"/>
        <w:rPr>
          <w:rFonts w:ascii="Times New Roman" w:hAnsi="Times New Roman" w:cs="Times New Roman"/>
          <w:sz w:val="32"/>
          <w:szCs w:val="32"/>
        </w:rPr>
      </w:pPr>
      <w:bookmarkStart w:id="297" w:name="_Toc118371118"/>
      <w:bookmarkStart w:id="298" w:name="_Toc133252142"/>
      <w:r w:rsidRPr="00F153F6">
        <w:rPr>
          <w:rFonts w:ascii="Times New Roman" w:hAnsi="Times New Roman" w:cs="Times New Roman"/>
          <w:sz w:val="32"/>
          <w:szCs w:val="32"/>
        </w:rPr>
        <w:t>3.3. Research Strategies</w:t>
      </w:r>
      <w:bookmarkEnd w:id="297"/>
      <w:bookmarkEnd w:id="298"/>
      <w:r w:rsidRPr="00F153F6">
        <w:rPr>
          <w:rFonts w:ascii="Times New Roman" w:hAnsi="Times New Roman" w:cs="Times New Roman"/>
          <w:sz w:val="32"/>
          <w:szCs w:val="32"/>
        </w:rPr>
        <w:t xml:space="preserve"> </w:t>
      </w:r>
    </w:p>
    <w:p w14:paraId="00A50063" w14:textId="77777777" w:rsidR="002C1A2F" w:rsidRPr="00F153F6" w:rsidRDefault="002C1A2F" w:rsidP="004424B4">
      <w:pPr>
        <w:pStyle w:val="Heading3"/>
        <w:spacing w:line="360" w:lineRule="auto"/>
        <w:ind w:left="720"/>
        <w:jc w:val="both"/>
        <w:rPr>
          <w:rFonts w:ascii="Times New Roman" w:hAnsi="Times New Roman" w:cs="Times New Roman"/>
          <w:b/>
          <w:color w:val="auto"/>
          <w:sz w:val="28"/>
          <w:szCs w:val="28"/>
        </w:rPr>
      </w:pPr>
      <w:bookmarkStart w:id="299" w:name="_Toc118371119"/>
      <w:bookmarkStart w:id="300" w:name="_Toc133252143"/>
      <w:r w:rsidRPr="00F153F6">
        <w:rPr>
          <w:rFonts w:ascii="Times New Roman" w:hAnsi="Times New Roman" w:cs="Times New Roman"/>
          <w:b/>
          <w:color w:val="auto"/>
          <w:sz w:val="28"/>
          <w:szCs w:val="28"/>
        </w:rPr>
        <w:t>3.3.1 Overview of Qualitative Research Strategies</w:t>
      </w:r>
      <w:bookmarkEnd w:id="299"/>
      <w:bookmarkEnd w:id="300"/>
    </w:p>
    <w:p w14:paraId="550C8864"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There are different qualitative research strategies for researchers to consider, which in broader terms may involve archival and documentary research, ethnography, action research, narrative inquiry, case study and Grounded Theory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{"citationID":"HrSTsIuy","properties":{"formattedCitation":"(Saunders et al., 2015)","plainCitation":"(Saunders et al., 2015)","noteIndex":0},"citationItems":[{"id":2294,"uris":["http://zotero.org/users/5709166/items/GH5XKWAI"],"itemData":{"id":2294,"type":"book","call-number":"HD30.4 .S28 2015","edition":"Seventh edition","event-place":"New York","ISBN":"978-1-292-01662-7","language":"en","publisher":"Pearson Education","publisher-place":"New York","source":"Library of Congress ISBN","title":"Research methods for business students","author":[{"family":"Saunders","given":"M. N. K."},{"family":"Lewis","given":"Philip"},{"family":"Thornhill","given":"Adrian"}],"issued":{"date-parts":[["2015"]]}}}],"schema":"https://github.com/citation-style-language/schema/raw/master/csl-citation.json"}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(Saunders et al., 2015)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p>
    <w:p w14:paraId="5CD94788" w14:textId="77777777" w:rsidR="002C1A2F" w:rsidRPr="00F153F6" w:rsidRDefault="002C1A2F" w:rsidP="004424B4">
      <w:pPr>
        <w:spacing w:line="360" w:lineRule="auto"/>
        <w:jc w:val="both"/>
        <w:rPr>
          <w:rFonts w:ascii="Times New Roman" w:hAnsi="Times New Roman" w:cs="Times New Roman"/>
          <w:sz w:val="24"/>
          <w:szCs w:val="24"/>
        </w:rPr>
      </w:pPr>
      <w:bookmarkStart w:id="301" w:name="_Hlk31673087"/>
      <w:r w:rsidRPr="00F153F6">
        <w:rPr>
          <w:rFonts w:ascii="Times New Roman" w:hAnsi="Times New Roman" w:cs="Times New Roman"/>
          <w:b/>
          <w:bCs/>
          <w:sz w:val="24"/>
          <w:szCs w:val="24"/>
        </w:rPr>
        <w:t>Ethnography</w:t>
      </w:r>
      <w:r w:rsidRPr="00F153F6">
        <w:rPr>
          <w:rFonts w:ascii="Times New Roman" w:hAnsi="Times New Roman" w:cs="Times New Roman"/>
          <w:sz w:val="24"/>
          <w:szCs w:val="24"/>
        </w:rPr>
        <w:t xml:space="preserve"> is most relevant when studying the manifestations of culture and society in a group setting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{"citationID":"af5iq0fmd6","properties":{"formattedCitation":"(Beach et al., 2018)","plainCitation":"(Beach et al., 2018)","noteIndex":0},"citationItems":[{"id":2284,"uris":["http://zotero.org/users/5709166/items/ZF44XFZY"],"itemData":{"id":2284,"type":"webpage","abstract":"A state-of-the-art reference on educational ethnography edited by leading journal editors This book brings an international group of writers together to offer an authoritative state-of-the-art review of, and critical reflection on, educational ethnography as it is being theorized and practiced todayfrom rural and remote settings to virtual and visual posts. It provides a definitive reference point and academic resource for those wishing to learn more about ethnographic research in education and the ways in which it might inform their research as well as their practice. Engaging in equal measure with the history of ethnography, its current state-of play as well as its prospects, The Wiley Handbook of Ethnography of Education covers a range of traditional and contemporary subjectsfoundational aims and principles; what constitutes good ethnographic practice; the role of theory; global and multi-sited ethnographic methods in education research; ethnographys many forms (visual, virtual, auto-, and online); networked ethnography and internet resources; and virtual and place-based ethnographic fieldwork. Makes a return to fundamental principles of ethnographic inquiry, and describes and analyzes the many modalities of ethnography existing today Edited by highly-regarded authorities of the subject with contributions from well-known experts in ethnography Reviews both classic ideas in the ethnography of education, such as grounded theory, triangulation, and thick description along with new developments and challenges An ideal source for scholars in libraries as well as researchers out in the field The Wiley Handbook of Ethnography of Education is a definitive reference that is indispensable for anyone involved in educational ethnography and questions of methodology.","container-title":"Wiley.com","language":"en-gb","title":"The Wiley Handbook of Ethnography of Education | Wiley","URL":"https://www.wiley.com/en-gb/The+Wiley+Handbook+of+Ethnography+of+Education-p-9781118933725","author":[{"family":"Beach","given":"Dennis"},{"family":"Bagley","given":"Carl"},{"family":"Silva","given":"Sofia Marques","dropping-particle":"da"}],"accessed":{"date-parts":[["2020",2,3]]},"issued":{"date-parts":[["2018"]]}}}],"schema":"https://github.com/citation-style-language/schema/raw/master/csl-citation.json"}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(Beach et al., 2018)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Unlike other research strategies, the researcher in ethnography strategy is not an uninvolved observer. This strategy allows the researcher to collect data and acquire insights from participation directly in the research setting with the research subjects or informants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{"citationID":"a14n18s0ugo","properties":{"formattedCitation":"(Atkinson et al., 2001)","plainCitation":"(Atkinson et al., 2001)","noteIndex":0},"citationItems":[{"id":2285,"uris":["http://zotero.org/users/5709166/items/4X5ERXZ6"],"itemData":{"id":2285,"type":"book","abstract":"`I wish the Handbook of Ethnography had been available to me as a fledgling ethnographer. I would recommend it for any graduate student who contemplates a career in the field. Likewise for experienced ethnographers who would like the equivalent of a world atlas to help pinpoint their own locations in the field, the Handbook of Ethnography is it' - Journal of Contemporary Ethnography  `This wonderful Handbook establishes the central, and complex place ethnography now occupies in the human disciplines. All future work will begin here' - Norman K Denzin, University of Illinois, Urbana-Champaign  `A marvellous achievement! The Handbook has all the marks of a winner - compelling writing, comprehensive coverage and very useful discussions. This is a real benchmark for ethnography. It will set the background for debate and point to new directions for years to come. My graduate students will love it' - Jaber F Gubrium, University of Florida, Gainesville  `The Handbook of Ethnography compiles invaluable, original, critical essays on ethnographic work, earning it a place on everyone's must-have bookshelf' - Virginia Olesen, University of California, San Francisco  `The Handbook is a remarkable synthesis of existing thinking in and around ethnography' - Forum for Qualitative Social Research - follow the link below to read the complete review  `No self-respecting qualitative researcher should be without Paul Atkinson (et al's) handbook on ethnography. This really is encyclopaedic in concept and scope. Many \"big names\" in the field have contributed so this has to be the starting point for anyone looking to understand the field in substantive topic, theoretical tradition and methodology. The chapters on visual ethnography and semiotics expand the field marvellously, while those on field notes and on ethics are accomplished surveys of the field' - SRA News  Ethnography is one of the chief research methods in sociology, anthropology and other cognate disciplines in the social sciences. This Handbook provides an unparalleled, critical guide to its principles and practice.   The volume is organized into three sections. The first systematically locates ethnography firmly in its relevant historical and intellectual contexts. The roots of ethnography are pinpointed and the pattern of its development is demonstrated.   The second section examines the contribution of ethnography to major fields of substantive research. The impact and strengths and weaknesses of ethnographic method are dealt with authoritatively and accessibly.  The third section moves on to examine key debates and issues in ethnography, from the conduct of research through to contemporary arguments.  The result is a landmark work in the field, which draws on the expertise of an internationally renowned group of interdisicplinary scholars. The Handbook of Ethnography provides readers with a one-stop critical guide to the past, present and future of ethnography. It will quickly establish itself as the ethnographer's bible.","ISBN":"978-1-4462-7574-0","language":"en","note":"Google-Books-ID: lUPkVrARVYUC","number-of-pages":"529","publisher":"SAGE","source":"Google Books","title":"Handbook of Ethnography","author":[{"family":"Atkinson","given":"Paul"},{"family":"Coffey","given":"Amanda"},{"family":"Delamont","given":"Sara"},{"family":"Lofland","given":"John"},{"family":"Lofland","given":"Lyn"}],"issued":{"date-parts":[["2001",2,16]]}}}],"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(Atkinson et al., 2001)</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Therefore, the ethnographic method operates through interacting with research participants through direct communication, conversations and/or interviews. This allows the researcher to study a cultural and social phenomenon in action from shared emotions and perceptions or mutual experiences with informants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{"citationID":"velz4GEZ","properties":{"formattedCitation":"(Beach et al., 2018)","plainCitation":"(Beach et al., 2018)","noteIndex":0},"citationItems":[{"id":2284,"uris":["http://zotero.org/users/5709166/items/ZF44XFZY"],"itemData":{"id":2284,"type":"webpage","abstract":"A state-of-the-art reference on educational ethnography edited by leading journal editors This book brings an international group of writers together to offer an authoritative state-of-the-art review of, and critical reflection on, educational ethnography as it is being theorized and practiced todayfrom rural and remote settings to virtual and visual posts. It provides a definitive reference point and academic resource for those wishing to learn more about ethnographic research in education and the ways in which it might inform their research as well as their practice. Engaging in equal measure with the history of ethnography, its current state-of play as well as its prospects, The Wiley Handbook of Ethnography of Education covers a range of traditional and contemporary subjectsfoundational aims and principles; what constitutes good ethnographic practice; the role of theory; global and multi-sited ethnographic methods in education research; ethnographys many forms (visual, virtual, auto-, and online); networked ethnography and internet resources; and virtual and place-based ethnographic fieldwork. Makes a return to fundamental principles of ethnographic inquiry, and describes and analyzes the many modalities of ethnography existing today Edited by highly-regarded authorities of the subject with contributions from well-known experts in ethnography Reviews both classic ideas in the ethnography of education, such as grounded theory, triangulation, and thick description along with new developments and challenges An ideal source for scholars in libraries as well as researchers out in the field The Wiley Handbook of Ethnography of Education is a definitive reference that is indispensable for anyone involved in educational ethnography and questions of methodology.","container-title":"Wiley.com","language":"en-gb","title":"The Wiley Handbook of Ethnography of Education | Wiley","URL":"https://www.wiley.com/en-gb/The+Wiley+Handbook+of+Ethnography+of+Education-p-9781118933725","author":[{"family":"Beach","given":"Dennis"},{"family":"Bagley","given":"Carl"},{"family":"Silva","given":"Sofia Marques","dropping-particle":"da"}],"accessed":{"date-parts":[["2020",2,3]]},"issued":{"date-parts":[["2018"]]}}}],"schema":"https://github.com/citation-style-language/schema/raw/master/csl-citation.json"}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(Beach et al., 2018)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p>
    <w:p w14:paraId="327A9C2F" w14:textId="1A6D7F94"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lastRenderedPageBreak/>
        <w:t xml:space="preserve">In this study, in order to understand the role of ICT in IOKE process, an ethnographic research design was possible and potentially interesting. However, the researcher was temporally limited and unable to directly engaged as an active participant in the operation and development of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s and therefore this methodology was not considered feasible.</w:t>
      </w:r>
    </w:p>
    <w:p w14:paraId="24C67D0F"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b/>
          <w:bCs/>
          <w:sz w:val="24"/>
          <w:szCs w:val="24"/>
        </w:rPr>
        <w:t>Action research</w:t>
      </w:r>
      <w:r w:rsidRPr="00F153F6">
        <w:rPr>
          <w:rFonts w:ascii="Times New Roman" w:hAnsi="Times New Roman" w:cs="Times New Roman"/>
          <w:sz w:val="24"/>
          <w:szCs w:val="24"/>
        </w:rPr>
        <w:t xml:space="preserve"> strategy is an emergent and iterative process by which inquiry is designed to provide solutions for real organisational problems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{"citationID":"k1UsXNRi","properties":{"formattedCitation":"(Saunders et al., 2015)","plainCitation":"(Saunders et al., 2015)","noteIndex":0},"citationItems":[{"id":2294,"uris":["http://zotero.org/users/5709166/items/GH5XKWAI"],"itemData":{"id":2294,"type":"book","call-number":"HD30.4 .S28 2015","edition":"Seventh edition","event-place":"New York","ISBN":"978-1-292-01662-7","language":"en","publisher":"Pearson Education","publisher-place":"New York","source":"Library of Congress ISBN","title":"Research methods for business students","author":[{"family":"Saunders","given":"M. N. K."},{"family":"Lewis","given":"Philip"},{"family":"Thornhill","given":"Adrian"}],"issued":{"date-parts":[["2015"]]}}}],"schema":"https://github.com/citation-style-language/schema/raw/master/csl-citation.json"}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(Saunders et al., 2015)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The purpose of action research strategy is to promote organisational learning to achieve practical outcomes and solve practical issues through the action research process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{"citationID":"a2ouvnhc4qo","properties":{"formattedCitation":"(Coghlan, 2019)","plainCitation":"(Coghlan, 2019)","noteIndex":0},"citationItems":[{"id":2283,"uris":["http://zotero.org/users/5709166/items/ABYH7V2I"],"itemData":{"id":2283,"type":"book","abstract":"Lecturers, request an ebook inspection copy, if preferred.  Concise and unintimidating, the fifth edition of this bestselling book is the only pragmatic, quick-start guide to the main theories, issues, and approaches to insider action research. With an encouraging and approachable tone, David is the perfect mentor for anyone conducting action research in their own organization. Calming nerves at the same time as building confidence, he helps readers devise an appropriate research design that anticipates possible challenges and fits within the limits of their environments. A complete do-it-yourself toolkit for every step of the action research process, this edition is outfitted with: - Real-world student and professional case studies - Author video tips - Annotated templates - Progress checklists - Journal articles, weblinks, and other further reading. To the point without losing clarity or thoroughness, this book is the hands-on manual for all the need-to-know facts about understanding and undertaking insider action research.","ISBN":"978-1-5264-8171-9","language":"en","note":"Google-Books-ID: nMGKDwAAQBAJ","number-of-pages":"241","publisher":"SAGE","source":"Google Books","title":"Doing Action Research in Your Own Organization","author":[{"family":"Coghlan","given":"David"}],"issued":{"date-parts":[["2019",3,11]]}}}],"schema":"https://github.com/citation-style-language/schema/raw/master/csl-citation.json"}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(Coghlan, 2019)</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There are five main phases in typical action research projects: purpose, process, participation, knowledge and implications, and this is an emergent and iterative cycle in which the research question and focus may change according to the development of research. Action research is normally suited to medium - or long term - research projects, as the researcher needs to undertake the research in their own organisations and needs enough time to decide if action research cycles are sufficient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{"citationID":"UxENZ3su","properties":{"formattedCitation":"(Saunders et al., 2015)","plainCitation":"(Saunders et al., 2015)","noteIndex":0},"citationItems":[{"id":2294,"uris":["http://zotero.org/users/5709166/items/GH5XKWAI"],"itemData":{"id":2294,"type":"book","call-number":"HD30.4 .S28 2015","edition":"Seventh edition","event-place":"New York","ISBN":"978-1-292-01662-7","language":"en","publisher":"Pearson Education","publisher-place":"New York","source":"Library of Congress ISBN","title":"Research methods for business students","author":[{"family":"Saunders","given":"M. N. K."},{"family":"Lewis","given":"Philip"},{"family":"Thornhill","given":"Adrian"}],"issued":{"date-parts":[["2015"]]}}}],"schema":"https://github.com/citation-style-language/schema/raw/master/csl-citation.json"}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(Saunders et al., 2015)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p>
    <w:p w14:paraId="6DB874F3" w14:textId="552954E5"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this thesis, action research strategy was not suitable because the researcher aimed to undertake investigation into the context of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s but </w:t>
      </w:r>
      <w:r w:rsidR="00643D53" w:rsidRPr="00F153F6">
        <w:rPr>
          <w:rFonts w:ascii="Times New Roman" w:hAnsi="Times New Roman" w:cs="Times New Roman"/>
          <w:sz w:val="24"/>
          <w:szCs w:val="24"/>
        </w:rPr>
        <w:t xml:space="preserve">was unable to gain </w:t>
      </w:r>
      <w:r w:rsidRPr="00F153F6">
        <w:rPr>
          <w:rFonts w:ascii="Times New Roman" w:hAnsi="Times New Roman" w:cs="Times New Roman"/>
          <w:sz w:val="24"/>
          <w:szCs w:val="24"/>
        </w:rPr>
        <w:t xml:space="preserve">access to any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s projects and was not interested in imprinting change to ongoing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projects. In addition, the duration that this research strategy requires does not fit comfortably within a three-year PhD research project, therefore, action research strategy was not considered appropriate.</w:t>
      </w:r>
    </w:p>
    <w:p w14:paraId="586B7993" w14:textId="09E3E23E"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b/>
          <w:bCs/>
          <w:sz w:val="24"/>
          <w:szCs w:val="24"/>
        </w:rPr>
        <w:t>Narrative inquiry</w:t>
      </w:r>
      <w:r w:rsidRPr="00F153F6">
        <w:rPr>
          <w:rFonts w:ascii="Times New Roman" w:hAnsi="Times New Roman" w:cs="Times New Roman"/>
          <w:sz w:val="24"/>
          <w:szCs w:val="24"/>
        </w:rPr>
        <w:t xml:space="preserve"> is a qualitative research strategy that focuses on the potential of storytelling. Research participants need to be facilitated by the researcher to provide a complete narrative of their experiences through in-depth interviews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{"citationID":"a2lgkr7tfi3","properties":{"formattedCitation":"(Denzin &amp; Lincoln, 2011)","plainCitation":"(Denzin &amp; Lincoln, 2011)","noteIndex":0},"citationItems":[{"id":2282,"uris":["http://zotero.org/users/5709166/items/E36U7JQR"],"itemData":{"id":2282,"type":"book","abstract":"Table of Contents The SAGE Handbook of Qualitative Research by Denzin, Norman K. (Editor); Lincoln, Yvonna S. (Editor) Terms of Use Preface Norman K. Denzin and Yvonna S. Lincoln Chapter 1 Introduction: The Discipline and Practice of Qualitative Research Norman K. Denzin and Yvonna S. Lincoln Part I Locating the Field Chapter 2 Revitalizing Universities by Reinventing the Social Sciences: Bildung and Action Research Morten Levin and Davydd Greenwood Chapter 3 a History of Qualitative Inquiry in Social and Educational Research Frederick Erickson Chapter 4 Ethics and Politics in Qualitative Research Clifford Christians Chapter 5 Ethics, Research Regulations, and Critical Social Science Gaile Cannella and Yvonna S. Lincoln Part II Paradigms and Perspectives in Contention Chapter 6 Paradigmatic Controversies, Contradictions, and Emerging Confluences, Revisited Yvonna S. Lincoln and Susan A. Lynham and Egon G. Guba Chapter 7 Feminist Qualitative Research in the Millenium?s First Decade: Developments, Challenges, Prospects Virgina Olesen Chapter 8 The Sacred and Spiritual Nature of Endarkened Transnational Feminist Praxis in Qualitative Research Cynthia B. Dillard and Chinwe Okpalaoka Chapter 9 Critical Pedagogy, and Qualitative Research: Moving to the Bricolage Joe L. Kincheloe and Peter McLaren and Shirley Steinberg Chapter 10 Cultural Studies: Performative Imperatives and Bodily Articulations Michael D. Giardina and Josh L. Newman Chapter 11 Critical Humanism and Queer Theory: Postscript 2011: Living With the Tensions Ken Plummer Chapter 12 Asian Epistemologies and Contemporary Social Psychological Research James Liu Chapter 13 Disability Communities: Transformative Research for Social Justice Donna Mertens and Martin Sullivan and Hilary Stacei Part III Strategies of Inquiry Chapter 14 The Politics and Practices of Funding Qualitative Inquiry: Messages about messages about messages Julianne Cheek Chapter 15 Controversies in Mixed Methods Research John W. Creswell Chapter 16 Mixed Methods Research: Contemporary Issues in an Emerging Field Charles Teddlie and Abbas Tashakkori Chapter 17 Case Study Bent Flyvbjerg Chapter 18 Performance Ethnography Judith Hamera Chapter 19 Braiding Narrative Ethnography with Memoir and Creative Nonfiction Barbara Tedlock Chapter 20 The Constructionist Analytics of Interpretive Practice James A. Holstein and Jaber F. Gubrium Chapter 21 Grounded Theory Methods in Social Justice Research Kathy Charmaz Chapter 22 In the Name of Human Rights: I say (how) you (should) speak (before I listen) Antjie Krog Chapter 23 Jazz and the Banyan Tree: Roots and Riffs on Participatory Action Research Mary Brydon-Miller and Michael Kral and Patricia Maguire and Susan Noffke and Anu Sabhlok Chapter 24 What Is Qualitative Health Research? Janice M. Morse Chapter 25 Narrative Inquiry: Still a Field in the Making Susan E. Chase Chapter 26 Critical Arts-based Inquiry The Pedagogy and Performance of a Radical Ethical Aesthetic Susan Finley Part IV Methods of Collecting and Analyzing Empirical Materials Chapter 27 Oral History Linda Shopes Chapter 28 Observations on Observation: Continuities and Challenges Michael Angrosino and Judith Rosenberg Chapter 29 Visual Methodology: towards a more seeing research Jon D. Prosser Chapter 30 Performative Autoethnography: Critical Embodiments and Possibilities Tami Spry Chapter 31 The Methods, Politics, and Ethics of Representation in Online Ethnography Sarah Gaston Chapter 32 Analyzing Talk and Text Anssi PerÃñkylÃñ and Johanna Ruusuvuori Chapter 33 Focus Groups: Contingent Articulations of Pedagogy, Politics, and Inquiry George Kamberelis and Greg Dimitriadis Part V The Art and Practices of Interpretation, Evaluation, and Presentation Chapter 34 Qualitative Research, Science and Government: Evidence, Criteria, Policy and Politics Harry Torrance Chapter 35 Reflections on Interpretive Adequacy in Qualitative Research David L. Altheide and John M. Johnson Chapter 36 Analysis and Representation across the Continuum Laura L. Ellingson Chapter 37 Post Qualitative Research: The Critique and the Coming After Elisabeth Adams St. Pierre Chapter 38 Qualitative Research and Technology: In the Midst of a Revolution Judith Davidson and Silvana diGregorio Chapter 39 The Elephant in the Living Room, or Extending the Conversation About the Politics of Evidence Norman K. Denzin Chapter 40 Writing into Position: Strategies for Composition and Evaluation Ronald J. Pelias Chapter 41 Evaluation as a Relationally Responsible Practice Tineke Abma and Guy A.M. Widdershoven Part VI The Future of Qualitative Research Chapter 42 Qualitative Futures: Where We Might Go From Where WeâÇÖve Been Judith Preissle Chapter 43 Teaching qualitative research Margaret Eisenhart and S. Jurow Descriptive content provided by Syndetics\"! a Bowker service. Summary The SAGE Handbook of Qualitative Research by Denzin, Norman K. (Editor); Lincoln, Yvonna S. (Editor) Terms of use Presenting the state-of-the-art for the theory and practice of qualitative inquiry, this landmark Handbook has been a publishing phenomenon in the human sciences since it first published in 1994. As with earlier editions, the Fourth Edition is virtually a new volume. Representing the best thinking from top scholars from around the world, the new edition continues the book's tradition of synthesizing an existing literature, defining the present, and shaping the future of qualitative research. The editors and contributors address issues of social justice and examine how people's struggles can inform public issues and in turn be transformed into social policy. Their writings are underpinned by a critical framework, and they are committed to addressing issues of inequality. As with previous editions, their aim is to show how the practices of qualitative research can effect change in the world in positive ways. Descriptive content provided by Syndetics\"! a Bowker service.","ISBN":"978-1-4129-7417-2","language":"en","note":"Google-Books-ID: AIRpMHgBYqIC","number-of-pages":"785","publisher":"SAGE","source":"Google Books","title":"The SAGE Handbook of Qualitative Research","author":[{"family":"Denzin","given":"Norman K."},{"family":"Lincoln","given":"Yvonna S."}],"issued":{"date-parts":[["2011",4,27]]}}}],"schema":"https://github.com/citation-style-language/schema/raw/master/csl-citation.json"}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(Denzin &amp; Lincoln, 2011)</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This strategy needs to follow a chronological storytelling perspective to reflect the sequence of events, which helps to understand the phenomenon or research field better for later in-depth analysis. Normally, a narrative inquiry strategy is applied when a small number of participants is selected. The selected participants should therefore be representative of a larger population with whom there are cultural affinities, or be considered as critical cases, as the focus is on “understand[ing] the complex processes which people use in making sense of their organisational realities”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{"citationID":"avau4fu8rt","properties":{"formattedCitation":"(Cassell &amp; Symon, 2004, p. 42)","plainCitation":"(Cassell &amp; Symon, 2004, p. 42)","noteIndex":0},"citationItems":[{"id":2281,"uris":["http://zotero.org/users/5709166/items/275K2H8S"],"itemData":{"id":2281,"type":"book","abstract":"Essential Guide to Qualitative Methods in Organizational Research is an excellent resource for students and researchers in the areas of organization studies, management research and organizational psychology, bringing together in one volume the range of methods available for undertaking qualitative data collection and analysis.   The volume includes 30 chapters, each focusing on a specific technique. The chapters cover traditional research methods, analysis techniques, and interventions as well as the latest developments in the field. Each chapter reviews how the method has been used in organizational research, discusses the advantages and disadvantages of using the method, and presents a case study example of the method in use. A list of further reading is supplied for those requiring additional information about a given method.   The comprehensive and accessible nature of this collection will make it an essential and lasting handbook for researchers and students studying organizations.","ISBN":"978-1-4129-3160-1","language":"en","note":"Google-Books-ID: BOQweka4KQoC","number-of-pages":"410","publisher":"SAGE","source":"Google Books","title":"Essential Guide to Qualitative Methods in Organizational Research","author":[{"family":"Cassell","given":"Catherine"},{"family":"Symon","given":"Gillian"}],"issued":{"date-parts":[["2004",4,28]]}},"locator":"42"}],"schema":"https://github.com/citation-style-language/schema/raw/master/csl-citation.json"}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(Cassell &amp; Symon, 2004, p. 42)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In this research, although this strategy may help provide an in-depth understand of the role of stakeholders in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inter-organisational knowledge exchange, narrative inquiry, however, was considered as less ideal for answering the research questions. </w:t>
      </w:r>
      <w:r w:rsidRPr="00F153F6">
        <w:rPr>
          <w:rFonts w:ascii="Times New Roman" w:hAnsi="Times New Roman" w:cs="Times New Roman"/>
          <w:sz w:val="24"/>
          <w:szCs w:val="24"/>
        </w:rPr>
        <w:lastRenderedPageBreak/>
        <w:t>This is mostly because the small number of participants typically involved in narrative inquiry may not provide sufficient evidence to understand how different stakeholders from various organisations perceive and use ICT for knowledge exchange. In addition, the sequence of events for storytelling in narrative inquiry was not seen as necessary and significant for the research aim. Therefore, narrative inquiry strategy was not applied in this study.</w:t>
      </w:r>
    </w:p>
    <w:bookmarkEnd w:id="301"/>
    <w:p w14:paraId="2E23DA70"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b/>
          <w:bCs/>
          <w:sz w:val="24"/>
          <w:szCs w:val="24"/>
        </w:rPr>
        <w:t xml:space="preserve">Archival and documentary research </w:t>
      </w:r>
      <w:r w:rsidRPr="00F153F6">
        <w:rPr>
          <w:rFonts w:ascii="Times New Roman" w:hAnsi="Times New Roman" w:cs="Times New Roman"/>
          <w:sz w:val="24"/>
          <w:szCs w:val="24"/>
        </w:rPr>
        <w:t xml:space="preserve">strategy describes the use of recorded and archival data to increase the range of data sources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{"citationID":"a18cee1ldu8","properties":{"formattedCitation":"(Mcculloch, 2004)","plainCitation":"(Mcculloch, 2004)","noteIndex":0},"citationItems":[{"id":2286,"uris":["http://zotero.org/users/5709166/items/8Q2RA8Q2"],"itemData":{"id":2286,"type":"book","abstract":"Documentary sources have become increasingly neglected in education and the social sciences. This book seeks to emphasise their potential value and importance for an understanding of modern societies, while also recognising their limitations, and explores their relationship with other research strategies.This up-to-date examination of how to research and use documents analyzes texts from the past and present, considering sources ranging from personal archives to online documents and including books, reports, official documents, works of fiction and printed media.This comprehensive analysis of the use of documents in research includes sections covering:* analysing documents* legal frameworks and ethical issues* records and archives* printed media and literature* diaries, letters and autobiographies.","ISBN":"978-1-134-48325-9","language":"en","note":"Google-Books-ID: 6QWCAgAAQBAJ","number-of-pages":"142","publisher":"Routledge","source":"Google Books","title":"Documentary Research: In Education, History and the Social Sciences","title-short":"Documentary Research","author":[{"family":"Mcculloch","given":"Gary"}],"issued":{"date-parts":[["2004",4,30]]}}}],"schema":"https://github.com/citation-style-language/schema/raw/master/csl-citation.json"}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(Mcculloch, 2004)</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available to the researcher. The increasing availability of digital archives expands the possibility of accessing more varied data sources, including: communications such as email, letters, social media and blog postings; individual records such as diaries, electronic calendars and notes, organisational sources such as administrative records, agendas, policy statements etc.; government sources such as publications and national statistics; and media sources such as online articles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{"citationID":"YuXvr8wQ","properties":{"formattedCitation":"(Saunders et al., 2015)","plainCitation":"(Saunders et al., 2015)","noteIndex":0},"citationItems":[{"id":2294,"uris":["http://zotero.org/users/5709166/items/GH5XKWAI"],"itemData":{"id":2294,"type":"book","call-number":"HD30.4 .S28 2015","edition":"Seventh edition","event-place":"New York","ISBN":"978-1-292-01662-7","language":"en","publisher":"Pearson Education","publisher-place":"New York","source":"Library of Congress ISBN","title":"Research methods for business students","author":[{"family":"Saunders","given":"M. N. K."},{"family":"Lewis","given":"Philip"},{"family":"Thornhill","given":"Adrian"}],"issued":{"date-parts":[["2015"]]}}}],"schema":"https://github.com/citation-style-language/schema/raw/master/csl-citation.json"}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(Saunders et al., 2015)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These different types of sources allow the researcher to locate archives and collect data more cost-effectively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{"citationID":"a17rnvipm4o","properties":{"formattedCitation":"(Lentz, 2012)","plainCitation":"(Lentz, 2012)","noteIndex":0},"citationItems":[{"id":2258,"uris":["http://zotero.org/users/5709166/items/CC47VWFU"],"itemData":{"id":2258,"type":"post-weblog","abstract":"Get an answer for 'What are the advantages and disadvantages of using the archival method?' and find homework help for other Research Methodology questions at eNotes","container-title":"eNotes","language":"en","title":"What are the advantages and disadvantages of using the archival method?","URL":"/homework-help/what-advantages-disadvantages-archival-method-332037","author":[{"family":"Lentz","given":"Kristen"}],"accessed":{"date-parts":[["2020",2,13]]},"issued":{"date-parts":[["2012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(Lentz, 2012)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p>
    <w:p w14:paraId="307FD2F4" w14:textId="14D72E10"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Archival and documentary research strategy could have been useful for this research. This is because there are many archival and documentary data that may provide insights for understanding how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stakeholders use ICT to promote their knowledge exchange. For example, many official websites of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s publish articles to reflect their work in real terms. The European Network of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s (ENoLL) also publishes reports that provide information about their partners and their working methodologies. Some internal archives or documents such as organisational reports and </w:t>
      </w:r>
      <w:r w:rsidR="003C373E" w:rsidRPr="00F153F6">
        <w:rPr>
          <w:rFonts w:ascii="Times New Roman" w:hAnsi="Times New Roman" w:cs="Times New Roman"/>
          <w:sz w:val="24"/>
          <w:szCs w:val="24"/>
        </w:rPr>
        <w:t>project logs</w:t>
      </w:r>
      <w:r w:rsidRPr="00F153F6">
        <w:rPr>
          <w:rFonts w:ascii="Times New Roman" w:hAnsi="Times New Roman" w:cs="Times New Roman"/>
          <w:sz w:val="24"/>
          <w:szCs w:val="24"/>
        </w:rPr>
        <w:t xml:space="preserve"> </w:t>
      </w:r>
      <w:r w:rsidR="009B0E2A" w:rsidRPr="00F153F6">
        <w:rPr>
          <w:rFonts w:ascii="Times New Roman" w:hAnsi="Times New Roman" w:cs="Times New Roman"/>
          <w:sz w:val="24"/>
          <w:szCs w:val="24"/>
        </w:rPr>
        <w:t>are</w:t>
      </w:r>
      <w:r w:rsidRPr="00F153F6">
        <w:rPr>
          <w:rFonts w:ascii="Times New Roman" w:hAnsi="Times New Roman" w:cs="Times New Roman"/>
          <w:sz w:val="24"/>
          <w:szCs w:val="24"/>
        </w:rPr>
        <w:t xml:space="preserve"> very helpful to explore the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s’ real knowledge exchange process and personal perceptions related to this research topic. </w:t>
      </w:r>
      <w:r w:rsidR="003C373E" w:rsidRPr="00F153F6">
        <w:rPr>
          <w:rFonts w:ascii="Times New Roman" w:hAnsi="Times New Roman" w:cs="Times New Roman"/>
          <w:sz w:val="24"/>
          <w:szCs w:val="24"/>
        </w:rPr>
        <w:t>Some of t</w:t>
      </w:r>
      <w:r w:rsidRPr="00F153F6">
        <w:rPr>
          <w:rFonts w:ascii="Times New Roman" w:hAnsi="Times New Roman" w:cs="Times New Roman"/>
          <w:sz w:val="24"/>
          <w:szCs w:val="24"/>
        </w:rPr>
        <w:t xml:space="preserve">hese internal sources </w:t>
      </w:r>
      <w:r w:rsidR="003C373E" w:rsidRPr="00F153F6">
        <w:rPr>
          <w:rFonts w:ascii="Times New Roman" w:hAnsi="Times New Roman" w:cs="Times New Roman"/>
          <w:sz w:val="24"/>
          <w:szCs w:val="24"/>
        </w:rPr>
        <w:t>are</w:t>
      </w:r>
      <w:r w:rsidRPr="00F153F6">
        <w:rPr>
          <w:rFonts w:ascii="Times New Roman" w:hAnsi="Times New Roman" w:cs="Times New Roman"/>
          <w:sz w:val="24"/>
          <w:szCs w:val="24"/>
        </w:rPr>
        <w:t xml:space="preserve"> also accessible after </w:t>
      </w:r>
      <w:r w:rsidR="003C373E" w:rsidRPr="00F153F6">
        <w:rPr>
          <w:rFonts w:ascii="Times New Roman" w:hAnsi="Times New Roman" w:cs="Times New Roman"/>
          <w:sz w:val="24"/>
          <w:szCs w:val="24"/>
        </w:rPr>
        <w:t>getting</w:t>
      </w:r>
      <w:r w:rsidRPr="00F153F6">
        <w:rPr>
          <w:rFonts w:ascii="Times New Roman" w:hAnsi="Times New Roman" w:cs="Times New Roman"/>
          <w:sz w:val="24"/>
          <w:szCs w:val="24"/>
        </w:rPr>
        <w:t xml:space="preserve"> contact with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s during the research. All of these </w:t>
      </w:r>
      <w:r w:rsidR="003C373E" w:rsidRPr="00F153F6">
        <w:rPr>
          <w:rFonts w:ascii="Times New Roman" w:hAnsi="Times New Roman" w:cs="Times New Roman"/>
          <w:sz w:val="24"/>
          <w:szCs w:val="24"/>
        </w:rPr>
        <w:t>could provide</w:t>
      </w:r>
      <w:r w:rsidRPr="00F153F6">
        <w:rPr>
          <w:rFonts w:ascii="Times New Roman" w:hAnsi="Times New Roman" w:cs="Times New Roman"/>
          <w:sz w:val="24"/>
          <w:szCs w:val="24"/>
        </w:rPr>
        <w:t xml:space="preserve"> useful</w:t>
      </w:r>
      <w:r w:rsidR="003C373E" w:rsidRPr="00F153F6">
        <w:rPr>
          <w:rFonts w:ascii="Times New Roman" w:hAnsi="Times New Roman" w:cs="Times New Roman"/>
          <w:sz w:val="24"/>
          <w:szCs w:val="24"/>
        </w:rPr>
        <w:t xml:space="preserve"> sources</w:t>
      </w:r>
      <w:r w:rsidRPr="00F153F6">
        <w:rPr>
          <w:rFonts w:ascii="Times New Roman" w:hAnsi="Times New Roman" w:cs="Times New Roman"/>
          <w:sz w:val="24"/>
          <w:szCs w:val="24"/>
        </w:rPr>
        <w:t xml:space="preserve"> as a secondary data to provide complementary data for analysis in this research, and therefore this strategy was applied.</w:t>
      </w:r>
    </w:p>
    <w:p w14:paraId="32CCB36F" w14:textId="284D3822"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w:t>
      </w:r>
      <w:r w:rsidRPr="00F153F6">
        <w:rPr>
          <w:rFonts w:ascii="Times New Roman" w:hAnsi="Times New Roman" w:cs="Times New Roman"/>
          <w:b/>
          <w:bCs/>
          <w:sz w:val="24"/>
          <w:szCs w:val="24"/>
        </w:rPr>
        <w:t>Case study</w:t>
      </w:r>
      <w:r w:rsidRPr="00F153F6">
        <w:rPr>
          <w:rFonts w:ascii="Times New Roman" w:hAnsi="Times New Roman" w:cs="Times New Roman"/>
          <w:sz w:val="24"/>
          <w:szCs w:val="24"/>
        </w:rPr>
        <w:t xml:space="preserve"> strategy is considered to be an in-depth inquiry into a specific phenomenon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{"citationID":"a2jul7dl1r7","properties":{"formattedCitation":"(Yin, 2003)","plainCitation":"(Yin, 2003)","noteIndex":0},"citationItems":[{"id":2279,"uris":["http://zotero.org/users/5709166/items/ILZTUBE6"],"itemData":{"id":2279,"type":"book","abstract":"With over 90,000 copies sold of the previous editions the new Third Edition of the best-selling Case Study Research has been carefully revised, updated, and expanded while retaining virtually all of the features and coverage of the second edition. Robert Yin′s comprehensive presentation covers all aspects of the case study method - from problem definition, design, and data collection, to data analysis and composition and reporting. Yin also traces the uses and importance of case studies to a wide range of disciplines, from sociology, psychology and history to management, planning, social work, and education. New to the Third Edition are: additional examples of case study research; discussions of developments in related methods, including randomized field trials and computer-assisted coding techniques; added coverage of the strengths of multiple-case studies, case study screening, and the case study as a part of larger multi-method studies, and five major analytic techniques, including the use of logic models to guide analysis. This edition also includes references to examples of actual case studies in the companion volume Applications of Case Study Research, Second Edition (Sage, 2003).","ISBN":"978-0-7619-2552-1","language":"en","note":"Google-Books-ID: BWea_9ZGQMwC","number-of-pages":"204","publisher":"SAGE","source":"Google Books","title":"Case Study Research: Design and Methods","title-short":"Case Study Research","author":[{"family":"Yin","given":"Robert K."}],"issued":{"date-parts":[["2003"]]}}}],"schema":"https://github.com/citation-style-language/schema/raw/master/csl-citation.json"}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(Yin, 2003)</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The ‘case’ may refer to a person, an organisation, a joint venture, a change process or an event. The case study thereby entails determining a specific case, producing a deep study and analysis of the selected case and getting insights about the case in a specific context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{"citationID":"BVrquYzr","properties":{"formattedCitation":"(Saunders et al., 2015)","plainCitation":"(Saunders et al., 2015)","noteIndex":0},"citationItems":[{"id":2294,"uris":["http://zotero.org/users/5709166/items/GH5XKWAI"],"itemData":{"id":2294,"type":"book","call-number":"HD30.4 .S28 2015","edition":"Seventh edition","event-place":"New York","ISBN":"978-1-292-01662-7","language":"en","publisher":"Pearson Education","publisher-place":"New York","source":"Library of Congress ISBN","title":"Research methods for business students","author":[{"family":"Saunders","given":"M. N. K."},{"family":"Lewis","given":"Philip"},{"family":"Thornhill","given":"Adrian"}],"issued":{"date-parts":[["2015"]]}}}],"schema":"https://github.com/citation-style-language/schema/raw/master/csl-citation.json"}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(Saunders et al., 2015)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Therefore, choosing an appropriate case and determining an appropriate </w:t>
      </w:r>
      <w:r w:rsidR="003C373E" w:rsidRPr="00F153F6">
        <w:rPr>
          <w:rFonts w:ascii="Times New Roman" w:hAnsi="Times New Roman" w:cs="Times New Roman"/>
          <w:sz w:val="24"/>
          <w:szCs w:val="24"/>
        </w:rPr>
        <w:t>scope</w:t>
      </w:r>
      <w:r w:rsidRPr="00F153F6">
        <w:rPr>
          <w:rFonts w:ascii="Times New Roman" w:hAnsi="Times New Roman" w:cs="Times New Roman"/>
          <w:sz w:val="24"/>
          <w:szCs w:val="24"/>
        </w:rPr>
        <w:t xml:space="preserve"> of research field become key factors of the case study research strategy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{"citationID":"aaj761gb7g","properties":{"formattedCitation":"(Denzin &amp; Lincoln, 2011)","plainCitation":"(Denzin &amp; Lincoln, 2011)","noteIndex":0},"citationItems":[{"id":2282,"uris":["http://zotero.org/users/5709166/items/E36U7JQR"],"itemData":{"id":2282,"type":"book","abstract":"Table of Contents The SAGE Handbook of Qualitative Research by Denzin, Norman K. (Editor); Lincoln, Yvonna S. (Editor) Terms of Use Preface Norman K. Denzin and Yvonna S. Lincoln Chapter 1 Introduction: The Discipline and Practice of Qualitative Research Norman K. Denzin and Yvonna S. Lincoln Part I Locating the Field Chapter 2 Revitalizing Universities by Reinventing the Social Sciences: Bildung and Action Research Morten Levin and Davydd Greenwood Chapter 3 a History of Qualitative Inquiry in Social and Educational Research Frederick Erickson Chapter 4 Ethics and Politics in Qualitative Research Clifford Christians Chapter 5 Ethics, Research Regulations, and Critical Social Science Gaile Cannella and Yvonna S. Lincoln Part II Paradigms and Perspectives in Contention Chapter 6 Paradigmatic Controversies, Contradictions, and Emerging Confluences, Revisited Yvonna S. Lincoln and Susan A. Lynham and Egon G. Guba Chapter 7 Feminist Qualitative Research in the Millenium?s First Decade: Developments, Challenges, Prospects Virgina Olesen Chapter 8 The Sacred and Spiritual Nature of Endarkened Transnational Feminist Praxis in Qualitative Research Cynthia B. Dillard and Chinwe Okpalaoka Chapter 9 Critical Pedagogy, and Qualitative Research: Moving to the Bricolage Joe L. Kincheloe and Peter McLaren and Shirley Steinberg Chapter 10 Cultural Studies: Performative Imperatives and Bodily Articulations Michael D. Giardina and Josh L. Newman Chapter 11 Critical Humanism and Queer Theory: Postscript 2011: Living With the Tensions Ken Plummer Chapter 12 Asian Epistemologies and Contemporary Social Psychological Research James Liu Chapter 13 Disability Communities: Transformative Research for Social Justice Donna Mertens and Martin Sullivan and Hilary Stacei Part III Strategies of Inquiry Chapter 14 The Politics and Practices of Funding Qualitative Inquiry: Messages about messages about messages Julianne Cheek Chapter 15 Controversies in Mixed Methods Research John W. Creswell Chapter 16 Mixed Methods Research: Contemporary Issues in an Emerging Field Charles Teddlie and Abbas Tashakkori Chapter 17 Case Study Bent Flyvbjerg Chapter 18 Performance Ethnography Judith Hamera Chapter 19 Braiding Narrative Ethnography with Memoir and Creative Nonfiction Barbara Tedlock Chapter 20 The Constructionist Analytics of Interpretive Practice James A. Holstein and Jaber F. Gubrium Chapter 21 Grounded Theory Methods in Social Justice Research Kathy Charmaz Chapter 22 In the Name of Human Rights: I say (how) you (should) speak (before I listen) Antjie Krog Chapter 23 Jazz and the Banyan Tree: Roots and Riffs on Participatory Action Research Mary Brydon-Miller and Michael Kral and Patricia Maguire and Susan Noffke and Anu Sabhlok Chapter 24 What Is Qualitative Health Research? Janice M. Morse Chapter 25 Narrative Inquiry: Still a Field in the Making Susan E. Chase Chapter 26 Critical Arts-based Inquiry The Pedagogy and Performance of a Radical Ethical Aesthetic Susan Finley Part IV Methods of Collecting and Analyzing Empirical Materials Chapter 27 Oral History Linda Shopes Chapter 28 Observations on Observation: Continuities and Challenges Michael Angrosino and Judith Rosenberg Chapter 29 Visual Methodology: towards a more seeing research Jon D. Prosser Chapter 30 Performative Autoethnography: Critical Embodiments and Possibilities Tami Spry Chapter 31 The Methods, Politics, and Ethics of Representation in Online Ethnography Sarah Gaston Chapter 32 Analyzing Talk and Text Anssi PerÃñkylÃñ and Johanna Ruusuvuori Chapter 33 Focus Groups: Contingent Articulations of Pedagogy, Politics, and Inquiry George Kamberelis and Greg Dimitriadis Part V The Art and Practices of Interpretation, Evaluation, and Presentation Chapter 34 Qualitative Research, Science and Government: Evidence, Criteria, Policy and Politics Harry Torrance Chapter 35 Reflections on Interpretive Adequacy in Qualitative Research David L. Altheide and John M. Johnson Chapter 36 Analysis and Representation across the Continuum Laura L. Ellingson Chapter 37 Post Qualitative Research: The Critique and the Coming After Elisabeth Adams St. Pierre Chapter 38 Qualitative Research and Technology: In the Midst of a Revolution Judith Davidson and Silvana diGregorio Chapter 39 The Elephant in the Living Room, or Extending the Conversation About the Politics of Evidence Norman K. Denzin Chapter 40 Writing into Position: Strategies for Composition and Evaluation Ronald J. Pelias Chapter 41 Evaluation as a Relationally Responsible Practice Tineke Abma and Guy A.M. Widdershoven Part VI The Future of Qualitative Research Chapter 42 Qualitative Futures: Where We Might Go From Where WeâÇÖve Been Judith Preissle Chapter 43 Teaching qualitative research Margaret Eisenhart and S. Jurow Descriptive content provided by Syndetics\"! a Bowker service. Summary The SAGE Handbook of Qualitative Research by Denzin, Norman K. (Editor); Lincoln, Yvonna S. (Editor) Terms of use Presenting the state-of-the-art for the theory and practice of qualitative inquiry, this landmark Handbook has been a publishing phenomenon in the human sciences since it first published in 1994. As with earlier editions, the Fourth Edition is virtually a new volume. Representing the best thinking from top scholars from around the world, the new edition continues the book's tradition of synthesizing an existing literature, defining the present, and shaping the future of qualitative research. The editors and contributors address issues of social justice and examine how people's struggles can inform public issues and in turn be transformed into social policy. Their writings are underpinned by a critical framework, and they are committed to addressing issues of inequality. As with previous editions, their aim is to show how the practices of qualitative research can effect change in the world in positive ways. Descriptive content provided by Syndetics\"! a Bowker service.","ISBN":"978-1-4129-7417-2","language":"en","note":"Google-Books-ID: AIRpMHgBYqIC","number-of-pages":"785","publisher":"SAGE","source":"Google Books","title":"The SAGE Handbook of Qualitative Research","author":[{"family":"Denzin","given":"Norman K."},{"family":"Lincoln","given":"Yvonna S."}],"issued":{"date-parts":[["2011",4,27]]}}}],"schema":"https://github.com/citation-style-language/schema/raw/master/csl-citation.json"}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(Denzin &amp; Lincoln, 2011)</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Case study research aims to understand the dynamics of the research field in a </w:t>
      </w:r>
      <w:r w:rsidRPr="00F153F6">
        <w:rPr>
          <w:rFonts w:ascii="Times New Roman" w:hAnsi="Times New Roman" w:cs="Times New Roman"/>
          <w:sz w:val="24"/>
          <w:szCs w:val="24"/>
        </w:rPr>
        <w:lastRenderedPageBreak/>
        <w:t xml:space="preserve">specific context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{"citationID":"a11ppsa1u09","properties":{"formattedCitation":"(Eisenhardt &amp; Graebner, 2007)","plainCitation":"(Eisenhardt &amp; Graebner, 2007)","noteIndex":0},"citationItems":[{"id":2277,"uris":["http://zotero.org/users/5709166/items/LNZUUYG4"],"itemData":{"id":2277,"type":"article-journal","archive":"JSTOR","container-title":"The Academy of Management Journal","DOI":"10.2307/20159839","ISSN":"0001-4273","issue":"1","page":"25-32","source":"JSTOR","title":"Theory Building from Cases: Opportunities and Challenges","title-short":"Theory Building from Cases","volume":"50","author":[{"family":"Eisenhardt","given":"Kathleen M."},{"family":"Graebner","given":"Melissa E."}],"issued":{"date-parts":[["2007"]]}}}],"schema":"https://github.com/citation-style-language/schema/raw/master/csl-citation.json"}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(Eisenhardt &amp; Graebner, 2007)</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Therefore, this strategy is often applied when the boundaries between the phenomenon the research aims to explore and the specific context that is being studied are not very apparent. Understanding the context can help gain insights from intensive research into the phenomenon being studied and the development of theory, and thereby is crucial for case study strategy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{"citationID":"06CREoKD","properties":{"formattedCitation":"(Eisenhardt &amp; Graebner, 2007)","plainCitation":"(Eisenhardt &amp; Graebner, 2007)","noteIndex":0},"citationItems":[{"id":2277,"uris":["http://zotero.org/users/5709166/items/LNZUUYG4"],"itemData":{"id":2277,"type":"article-journal","archive":"JSTOR","container-title":"The Academy of Management Journal","DOI":"10.2307/20159839","ISSN":"0001-4273","issue":"1","page":"25-32","source":"JSTOR","title":"Theory Building from Cases: Opportunities and Challenges","title-short":"Theory Building from Cases","volume":"50","author":[{"family":"Eisenhardt","given":"Kathleen M."},{"family":"Graebner","given":"Melissa E."}],"issued":{"date-parts":[["2007"]]}}}],"schema":"https://github.com/citation-style-language/schema/raw/master/csl-citation.json"}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(Eisenhardt &amp; Graebner, 2007)</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In other words, applying the case study strategy can help the researcher focus on a specific context, and employing detailed analysis to such a context can help the researcher to illuminate theoretical issues and finally reach to the development of theory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{"citationID":"ai0117s07v","properties":{"formattedCitation":"(Cassell &amp; Symon, 2004)","plainCitation":"(Cassell &amp; Symon, 2004)","noteIndex":0},"citationItems":[{"id":2281,"uris":["http://zotero.org/users/5709166/items/275K2H8S"],"itemData":{"id":2281,"type":"book","abstract":"Essential Guide to Qualitative Methods in Organizational Research is an excellent resource for students and researchers in the areas of organization studies, management research and organizational psychology, bringing together in one volume the range of methods available for undertaking qualitative data collection and analysis.   The volume includes 30 chapters, each focusing on a specific technique. The chapters cover traditional research methods, analysis techniques, and interventions as well as the latest developments in the field. Each chapter reviews how the method has been used in organizational research, discusses the advantages and disadvantages of using the method, and presents a case study example of the method in use. A list of further reading is supplied for those requiring additional information about a given method.   The comprehensive and accessible nature of this collection will make it an essential and lasting handbook for researchers and students studying organizations.","ISBN":"978-1-4129-3160-1","language":"en","note":"Google-Books-ID: BOQweka4KQoC","number-of-pages":"410","publisher":"SAGE","source":"Google Books","title":"Essential Guide to Qualitative Methods in Organizational Research","author":[{"family":"Cassell","given":"Catherine"},{"family":"Symon","given":"Gillian"}],"issued":{"date-parts":[["2004",4,28]]}}}],"schema":"https://github.com/citation-style-language/schema/raw/master/csl-citation.json"}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(Cassell &amp; Symon, 2004)</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p>
    <w:p w14:paraId="720C662A" w14:textId="3D3D6EBD"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this research, there are over 200 different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s in ENoLL, but their projects cannot all be explored because of time constraints. Therefore, case study strategy was helpful to collect data from several single projects of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s in order gain a more detailed understanding of how different stakeholders perceive and apply ICT for exchanging knowledge across organisational boundaries. Hence, case study strategy can help this research to determine an appropriate context, and thereby was considered as an appropriate research strategy to follow. </w:t>
      </w:r>
    </w:p>
    <w:p w14:paraId="60B845FA"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b/>
          <w:bCs/>
          <w:sz w:val="24"/>
          <w:szCs w:val="24"/>
        </w:rPr>
        <w:t>Grounded theory</w:t>
      </w:r>
      <w:r w:rsidRPr="00F153F6">
        <w:rPr>
          <w:rFonts w:ascii="Times New Roman" w:hAnsi="Times New Roman" w:cs="Times New Roman"/>
          <w:sz w:val="24"/>
          <w:szCs w:val="24"/>
        </w:rPr>
        <w:t xml:space="preserve"> can be viewed as a methodological approach, a method or the outcome of a research process in qualitative research. From a methodological perspective, Grounded Theory refers to a research strategy used to conduct the research process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{"citationID":"a1brd9jneet","properties":{"formattedCitation":"(Parry, 1998)","plainCitation":"(Parry, 1998)","noteIndex":0},"citationItems":[{"id":2275,"uris":["http://zotero.org/users/5709166/items/KHVGITYW"],"itemData":{"id":2275,"type":"article-journal","abstract":"The purpose of this article is to argue the case for the use of grounded theory as a valid method for researching the process of leadership. The contention is that leadership is a social influence process, and that mainstream leadership research methodologies have been partially unsuccessful in theorizing about the nature of these processes. Grounded theory is a method which, if applied rigorously, will help to overcome the deficiencies in mainstream leadership research methodology. The underlying criterion driving grounded theory is to generate leadership theory rather than to test theory.","container-title":"The Leadership Quarterly","DOI":"10.1016/S1048-9843(98)90043-1","ISSN":"1048-9843","issue":"1","journalAbbreviation":"The Leadership Quarterly","language":"en","page":"85-105","source":"ScienceDirect","title":"Grounded theory and social process: A new direction for leadership research","title-short":"Grounded theory and social process","volume":"9","author":[{"family":"Parry","given":"Ken W."}],"issued":{"date-parts":[["1998",1,1]]}}}],"schema":"https://github.com/citation-style-language/schema/raw/master/csl-citation.json"}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(Parry, 1998)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From a method perspective, Grounded Theory refers to a technique that is used for data collection and a procedure that is followed in data analysis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{"citationID":"a1es8jl2sfr","properties":{"formattedCitation":"(Glaser &amp; Strauss, 1967)","plainCitation":"(Glaser &amp; Strauss, 1967)","noteIndex":0},"citationItems":[{"id":993,"uris":["http://zotero.org/users/5709166/items/DSF8R6HJ"],"itemData":{"id":993,"type":"book","edition":"4. paperback printing","event-place":"New Brunswick","ISBN":"978-0-202-30260-7","language":"en","note":"OCLC: 553535517","number-of-pages":"271","publisher":"Aldine","publisher-place":"New Brunswick","source":"Gemeinsamer Bibliotheksverbund ISBN","title":"The discovery of grounded theory: strategies for qualitative research","title-short":"The discovery of grounded theory","author":[{"family":"Glaser","given":"Barney G."},{"family":"Strauss","given":"Anselm L."}],"issued":{"date-parts":[["1967"]]}}}],"schema":"https://github.com/citation-style-language/schema/raw/master/csl-citation.json"}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(Glaser &amp; Strauss, 1967)</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From an outcome perspective, Grounded Theory refers to a theory that is developed inductively from data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{"citationID":"Lj0ejZtv","properties":{"formattedCitation":"(Saunders et al., 2015)","plainCitation":"(Saunders et al., 2015)","noteIndex":0},"citationItems":[{"id":2294,"uris":["http://zotero.org/users/5709166/items/GH5XKWAI"],"itemData":{"id":2294,"type":"book","call-number":"HD30.4 .S28 2015","edition":"Seventh edition","event-place":"New York","ISBN":"978-1-292-01662-7","language":"en","publisher":"Pearson Education","publisher-place":"New York","source":"Library of Congress ISBN","title":"Research methods for business students","author":[{"family":"Saunders","given":"M. N. K."},{"family":"Lewis","given":"Philip"},{"family":"Thornhill","given":"Adrian"}],"issued":{"date-parts":[["2015"]]}}}],"schema":"https://github.com/citation-style-language/schema/raw/master/csl-citation.json"}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(Saunders et al., 2015)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Grounded Theory was originally developed by Glaser and Strauss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{"citationID":"a2lqk2hel3b","properties":{"formattedCitation":"(1967)","plainCitation":"(1967)","noteIndex":0},"citationItems":[{"id":993,"uris":["http://zotero.org/users/5709166/items/DSF8R6HJ"],"itemData":{"id":993,"type":"book","edition":"4. paperback printing","event-place":"New Brunswick","ISBN":"978-0-202-30260-7","language":"en","note":"OCLC: 553535517","number-of-pages":"271","publisher":"Aldine","publisher-place":"New Brunswick","source":"Gemeinsamer Bibliotheksverbund ISBN","title":"The discovery of grounded theory: strategies for qualitative research","title-short":"The discovery of grounded theory","author":[{"family":"Glaser","given":"Barney G."},{"family":"Strauss","given":"Anselm L."}],"issued":{"date-parts":[["1967"]]}},"suppress-author":true}],"schema":"https://github.com/citation-style-language/schema/raw/master/csl-citation.json"}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(1967)</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with the aim of generating a theory by focusing on how social actors interact with the phenomenon under study. Social actors construct their reality through the meanings they develop in order to make sense of their experiences. Grounded Theory thereby is developed to explain these meanings abstracted from social interactions and processes from a wide range of contexts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{"citationID":"a1hdmhitmp9","properties":{"formattedCitation":"(Charmaz, 2014)","plainCitation":"(Charmaz, 2014)","noteIndex":0},"citationItems":[{"id":2274,"uris":["http://zotero.org/users/5709166/items/ZB22JKK4"],"itemData":{"id":2274,"type":"book","abstract":"Lecturers, request your electronic inspection copy  Kathy Charmaz presents the definitive guide to doing grounded theory from a constructivist perspective. This second edition of her groundbreaking text retains the accessibility and warmth of the first edition whilst introducing cutting edge examples and practical tips.  This expanded second edition:  - explores how to effectively focus on data collection  - demonstrates how to use data for theorizing  - adds two new chapters that guide you through conducting and analysing interviews in grounded theory   - adds a new chapter on symbolic interactionism and grounded theory  - considers recent epistemological debates about the place of prior theory  - discusses the legacy of Anselm Strauss for grounded theory. This is a seminal title for anyone serious about understanding and doing grounded theory research.","ISBN":"978-1-4462-9722-3","language":"en","note":"Google-Books-ID: v_GGAwAAQBAJ","number-of-pages":"417","publisher":"SAGE","source":"Google Books","title":"Constructing Grounded Theory","author":[{"family":"Charmaz","given":"Kathy"}],"issued":{"date-parts":[["2014",3,19]]}}}],"schema":"https://github.com/citation-style-language/schema/raw/master/csl-citation.json"}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(Charmaz, 2014)</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Overall, Grounded Theory strategy enables qualitative research to generate new theory from the data grounded in the accounts of social actors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{"citationID":"5raTdUiD","properties":{"formattedCitation":"(Glaser &amp; Strauss, 1967)","plainCitation":"(Glaser &amp; Strauss, 1967)","noteIndex":0},"citationItems":[{"id":993,"uris":["http://zotero.org/users/5709166/items/DSF8R6HJ"],"itemData":{"id":993,"type":"book","edition":"4. paperback printing","event-place":"New Brunswick","ISBN":"978-0-202-30260-7","language":"en","note":"OCLC: 553535517","number-of-pages":"271","publisher":"Aldine","publisher-place":"New Brunswick","source":"Gemeinsamer Bibliotheksverbund ISBN","title":"The discovery of grounded theory: strategies for qualitative research","title-short":"The discovery of grounded theory","author":[{"family":"Glaser","given":"Barney G."},{"family":"Strauss","given":"Anselm L."}],"issued":{"date-parts":[["1967"]]}}}],"schema":"https://github.com/citation-style-language/schema/raw/master/csl-citation.json"}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(Glaser &amp; Strauss, 1967)</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p>
    <w:p w14:paraId="1861773E" w14:textId="61AD1CF5"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As opposed to other qualitative research strategies, Grounded Theory should avoid keeping a stabilised theory as the starting reference point </w:t>
      </w:r>
      <w:r w:rsidRPr="00F153F6">
        <w:rPr>
          <w:rFonts w:ascii="Times New Roman" w:hAnsi="Times New Roman" w:cs="Times New Roman"/>
          <w:sz w:val="24"/>
          <w:szCs w:val="24"/>
        </w:rPr>
        <w:fldChar w:fldCharType="begin"/>
      </w:r>
      <w:r w:rsidR="00B73834" w:rsidRPr="00F153F6">
        <w:rPr>
          <w:rFonts w:ascii="Times New Roman" w:hAnsi="Times New Roman" w:cs="Times New Roman"/>
          <w:sz w:val="24"/>
          <w:szCs w:val="24"/>
        </w:rPr>
        <w:instrText xml:space="preserve"> ADDIN ZOTERO_ITEM CSL_CITATION {"citationID":"a1hkalrn58i","properties":{"formattedCitation":"(S. Li, 2018)","plainCitation":"(S. Li, 2018)","dontUpdate":true,"noteIndex":0},"citationItems":[{"id":2014,"uris":["http://zotero.org/users/5709166/items/6AKM3HG4"],"itemData":{"id":2014,"type":"thesis","title":"Knowledge Domains and Skills that Facilitate Knowledge Sharing in Project Management -A Case Study in the Chinese Construction Industry","URL":"http://etheses.whiterose.ac.uk/21467/2/Thesis_Shuyang%20Li.pdf","author":[{"family":"Li","given":"Shuyang"}],"accessed":{"date-parts":[["2019",10,21]]},"issued":{"date-parts":[["2018"]]}}}],"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(Li, 2018)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This is because theory derived from emergent data is more likely to depict reality than theory “derived by putting together a series of concepts based on experience” </w:t>
      </w:r>
      <w:r w:rsidRPr="00F153F6">
        <w:rPr>
          <w:rFonts w:ascii="Times New Roman" w:hAnsi="Times New Roman" w:cs="Times New Roman"/>
          <w:sz w:val="24"/>
          <w:szCs w:val="24"/>
        </w:rPr>
        <w:fldChar w:fldCharType="begin"/>
      </w:r>
      <w:r w:rsidR="003C373E" w:rsidRPr="00F153F6">
        <w:rPr>
          <w:rFonts w:ascii="Times New Roman" w:hAnsi="Times New Roman" w:cs="Times New Roman"/>
          <w:sz w:val="24"/>
          <w:szCs w:val="24"/>
        </w:rPr>
        <w:instrText xml:space="preserve"> ADDIN ZOTERO_ITEM CSL_CITATION {"citationID":"qgxfYIH2","properties":{"formattedCitation":"(Strauss &amp; Corbin, 1998, p. 12)","plainCitation":"(Strauss &amp; Corbin, 1998, p. 12)","noteIndex":0},"citationItems":[{"id":2273,"uris":["http://zotero.org/users/5709166/items/3Q6XYZBU"],"itemData":{"id":2273,"type":"book","call-number":"HA29 .S823 1998","edition":"2nd ed","event-place":"Thousand Oaks","ISBN":"978-0-8039-5939-2","language":"en","number-of-pages":"312","publisher":"Sage Publications","publisher-place":"Thousand Oaks","source":"Library of Congress ISBN","title":"Basics of qualitative research: techniques and procedures for developing grounded theory","title-short":"Basics of qualitative research","author":[{"family":"Strauss","given":"Anselm L."},{"family":"Corbin","given":"Juliet M."}],"issued":{"date-parts":[["1998"]]}},"locator":"12","label":"page"}],"schema":"https://github.com/citation-style-language/schema/raw/master/csl-citation.json"} </w:instrText>
      </w:r>
      <w:r w:rsidRPr="00F153F6">
        <w:rPr>
          <w:rFonts w:ascii="Times New Roman" w:hAnsi="Times New Roman" w:cs="Times New Roman"/>
          <w:sz w:val="24"/>
          <w:szCs w:val="24"/>
        </w:rPr>
        <w:fldChar w:fldCharType="separate"/>
      </w:r>
      <w:r w:rsidR="003C373E" w:rsidRPr="00F153F6">
        <w:rPr>
          <w:rFonts w:ascii="Times New Roman" w:hAnsi="Times New Roman" w:cs="Times New Roman"/>
          <w:sz w:val="24"/>
          <w:szCs w:val="24"/>
        </w:rPr>
        <w:t>(Strauss &amp; Corbin, 1998, p. 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Hence, Grounded Theory </w:t>
      </w:r>
      <w:r w:rsidRPr="00F153F6">
        <w:rPr>
          <w:rFonts w:ascii="Times New Roman" w:hAnsi="Times New Roman" w:cs="Times New Roman"/>
          <w:sz w:val="24"/>
          <w:szCs w:val="24"/>
        </w:rPr>
        <w:lastRenderedPageBreak/>
        <w:t>strategy can help the research</w:t>
      </w:r>
      <w:r w:rsidR="003C373E" w:rsidRPr="00F153F6">
        <w:rPr>
          <w:rFonts w:ascii="Times New Roman" w:hAnsi="Times New Roman" w:cs="Times New Roman"/>
          <w:sz w:val="24"/>
          <w:szCs w:val="24"/>
        </w:rPr>
        <w:t>er</w:t>
      </w:r>
      <w:r w:rsidRPr="00F153F6">
        <w:rPr>
          <w:rFonts w:ascii="Times New Roman" w:hAnsi="Times New Roman" w:cs="Times New Roman"/>
          <w:sz w:val="24"/>
          <w:szCs w:val="24"/>
        </w:rPr>
        <w:t xml:space="preserve"> to collect and analyse emergent data and discover new theory without considering preconceived theoretical foundations or hypothesis </w:t>
      </w:r>
      <w:r w:rsidRPr="00F153F6">
        <w:rPr>
          <w:rFonts w:ascii="Times New Roman" w:hAnsi="Times New Roman" w:cs="Times New Roman"/>
          <w:sz w:val="24"/>
          <w:szCs w:val="24"/>
        </w:rPr>
        <w:fldChar w:fldCharType="begin"/>
      </w:r>
      <w:r w:rsidR="00B73834" w:rsidRPr="00F153F6">
        <w:rPr>
          <w:rFonts w:ascii="Times New Roman" w:hAnsi="Times New Roman" w:cs="Times New Roman"/>
          <w:sz w:val="24"/>
          <w:szCs w:val="24"/>
        </w:rPr>
        <w:instrText xml:space="preserve"> ADDIN ZOTERO_ITEM CSL_CITATION {"citationID":"dPYkynXY","properties":{"formattedCitation":"(S. Li, 2018)","plainCitation":"(S. Li, 2018)","dontUpdate":true,"noteIndex":0},"citationItems":[{"id":2014,"uris":["http://zotero.org/users/5709166/items/6AKM3HG4"],"itemData":{"id":2014,"type":"thesis","title":"Knowledge Domains and Skills that Facilitate Knowledge Sharing in Project Management -A Case Study in the Chinese Construction Industry","URL":"http://etheses.whiterose.ac.uk/21467/2/Thesis_Shuyang%20Li.pdf","author":[{"family":"Li","given":"Shuyang"}],"accessed":{"date-parts":[["2019",10,21]]},"issued":{"date-parts":[["2018"]]}}}],"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(Li, 2018)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p>
    <w:p w14:paraId="6E283CD1" w14:textId="14C6D46E"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this thesis, based on the literature review, it appears that there are few theories or foundations in the existing literature that can provide a comprehensive understanding of the role of ICT in the shaping of IOKE in the context of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s. Therefore, Grounded Theory was considered to be an appropriate strategy to conduct data collection and data analysis in this research.</w:t>
      </w:r>
    </w:p>
    <w:p w14:paraId="18B22014" w14:textId="77777777" w:rsidR="002C1A2F" w:rsidRPr="00F153F6" w:rsidRDefault="002C1A2F" w:rsidP="004424B4">
      <w:pPr>
        <w:pStyle w:val="Heading3"/>
        <w:spacing w:line="360" w:lineRule="auto"/>
        <w:ind w:left="720"/>
        <w:jc w:val="both"/>
        <w:rPr>
          <w:rFonts w:ascii="Times New Roman" w:hAnsi="Times New Roman" w:cs="Times New Roman"/>
          <w:b/>
          <w:color w:val="auto"/>
          <w:sz w:val="28"/>
          <w:szCs w:val="28"/>
        </w:rPr>
      </w:pPr>
      <w:bookmarkStart w:id="302" w:name="_Toc118371120"/>
      <w:bookmarkStart w:id="303" w:name="_Toc133252144"/>
      <w:r w:rsidRPr="00F153F6">
        <w:rPr>
          <w:rFonts w:ascii="Times New Roman" w:hAnsi="Times New Roman" w:cs="Times New Roman"/>
          <w:b/>
          <w:color w:val="auto"/>
          <w:sz w:val="28"/>
          <w:szCs w:val="28"/>
        </w:rPr>
        <w:t>3.3.2 Combination of Grounded Theory, Case Study, and Archival and Documentary Research</w:t>
      </w:r>
      <w:bookmarkEnd w:id="302"/>
      <w:bookmarkEnd w:id="303"/>
    </w:p>
    <w:p w14:paraId="04856660"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As discussed earlier, archival and documentary research strategy, case study and Grounded Theory seems to be suitable in this research. This section introduces these three strategies in more detail. A combination of these three strategies with specific selection is considered to be more suitable for this research, which is also explained in this section. </w:t>
      </w:r>
    </w:p>
    <w:p w14:paraId="0CB532D1" w14:textId="77777777" w:rsidR="002C1A2F" w:rsidRPr="00F153F6" w:rsidRDefault="002C1A2F" w:rsidP="004424B4">
      <w:pPr>
        <w:pStyle w:val="Heading4"/>
        <w:spacing w:line="360" w:lineRule="auto"/>
        <w:ind w:left="1440"/>
        <w:jc w:val="both"/>
        <w:rPr>
          <w:rFonts w:ascii="Times New Roman" w:hAnsi="Times New Roman" w:cs="Times New Roman"/>
          <w:color w:val="auto"/>
          <w:sz w:val="28"/>
          <w:szCs w:val="28"/>
        </w:rPr>
      </w:pPr>
      <w:r w:rsidRPr="00F153F6">
        <w:rPr>
          <w:rFonts w:ascii="Times New Roman" w:hAnsi="Times New Roman" w:cs="Times New Roman"/>
          <w:color w:val="auto"/>
          <w:sz w:val="28"/>
          <w:szCs w:val="28"/>
        </w:rPr>
        <w:t>3.3.2.1 Archival and Documentary Research</w:t>
      </w:r>
    </w:p>
    <w:p w14:paraId="1E6B2969"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There are many different forms of documentary sources that can be used in qualitative research: personal documents, official documents, mass-media outputs and virtual outputs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{"citationID":"au22msmcf2","properties":{"formattedCitation":"(Bryman, 2012)","plainCitation":"(Bryman, 2012)","noteIndex":0},"citationItems":[{"id":2296,"uris":["http://zotero.org/users/5709166/items/GKGEVL25"],"itemData":{"id":2296,"type":"book","call-number":"H62 .B787 2012","edition":"4th ed","event-place":"Oxford ; New York","ISBN":"978-0-19-958805-3","language":"en","number-of-pages":"766","publisher":"Oxford University Press","publisher-place":"Oxford ; New York","source":"Library of Congress ISBN","title":"Social research methods","author":[{"family":"Bryman","given":"Alan"}],"issued":{"date-parts":[["2012"]]}}}],"schema":"https://github.com/citation-style-language/schema/raw/master/csl-citation.json"}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(Bryman, 2012)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p>
    <w:p w14:paraId="10205E70" w14:textId="64DC6318"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Personal documents refer to personal diaries, letters, and autobiographies. Personal diaries and autobiographies reflect the author’s historical events and can be employed when they are specifically elicited from the authors. Letters are a form of communication between people, but the use of letters has declined predominantly due to the emergence of telecommunication technologies such as email </w:t>
      </w:r>
      <w:r w:rsidRPr="00F153F6">
        <w:rPr>
          <w:rFonts w:ascii="Times New Roman" w:hAnsi="Times New Roman" w:cs="Times New Roman"/>
          <w:sz w:val="24"/>
          <w:szCs w:val="24"/>
        </w:rPr>
        <w:fldChar w:fldCharType="begin"/>
      </w:r>
      <w:r w:rsidR="00B73834" w:rsidRPr="00F153F6">
        <w:rPr>
          <w:rFonts w:ascii="Times New Roman" w:hAnsi="Times New Roman" w:cs="Times New Roman"/>
          <w:sz w:val="24"/>
          <w:szCs w:val="24"/>
        </w:rPr>
        <w:instrText xml:space="preserve"> ADDIN ZOTERO_ITEM CSL_CITATION {"citationID":"a110nuka6ac","properties":{"formattedCitation":"(J. Scott, 2014)","plainCitation":"(J. Scott, 2014)","dontUpdate":true,"noteIndex":0},"citationItems":[{"id":2232,"uris":["http://zotero.org/users/5709166/items/P6HV4RFX"],"itemData":{"id":2232,"type":"book","abstract":"This textbook aims to give an introduction to the use of documentary sources in social research. It is designed to be a companion to courses in research methods in the social sciences and history and a reference text for those beginning research on documentary sources. The book begins with an overview of the nature of social research and the variety of methods which can be used. Scott identifies three types of evidence useful in such research - physical evidence, personal evidence and documentary evidence. He argues that the logic of research is common to each type of evidence, but that each involves specific methodological issues. An appraisal grid for the analysis of documents is presented, showing the criteria which must be used in evaluating documentary sources. In the following chapters these criteria are applied to the variety of documentary sources available to the social researcher: census data and official statistics; government publications; directories and yearbooks; personal diaries and letters.","ISBN":"978-0-7456-8773-5","language":"en","note":"Google-Books-ID: dDLKAwAAQBAJ","number-of-pages":"234","publisher":"John Wiley &amp; Sons","source":"Google Books","title":"A Matter of Record: Documentary Sources in Social Research","title-short":"A Matter of Record","author":[{"family":"Scott","given":"John"}],"issued":{"date-parts":[["2014",4,3]]}}}],"schema":"https://github.com/citation-style-language/schema/raw/master/csl-citation.json"}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(Scott, 2014)</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Official documents refer to official documents deriving from the state such as public inquiries, and official documents derived from private sources such as company reports. These types of documents could help to find information about organisational events and behaviours recorded by organisational members </w:t>
      </w:r>
      <w:r w:rsidRPr="00F153F6">
        <w:rPr>
          <w:rFonts w:ascii="Times New Roman" w:hAnsi="Times New Roman" w:cs="Times New Roman"/>
          <w:sz w:val="24"/>
          <w:szCs w:val="24"/>
        </w:rPr>
        <w:fldChar w:fldCharType="begin"/>
      </w:r>
      <w:r w:rsidR="00B73834" w:rsidRPr="00F153F6">
        <w:rPr>
          <w:rFonts w:ascii="Times New Roman" w:hAnsi="Times New Roman" w:cs="Times New Roman"/>
          <w:sz w:val="24"/>
          <w:szCs w:val="24"/>
        </w:rPr>
        <w:instrText xml:space="preserve"> ADDIN ZOTERO_ITEM CSL_CITATION {"citationID":"wNGaCEQD","properties":{"formattedCitation":"(J. Scott, 2014)","plainCitation":"(J. Scott, 2014)","dontUpdate":true,"noteIndex":0},"citationItems":[{"id":2232,"uris":["http://zotero.org/users/5709166/items/P6HV4RFX"],"itemData":{"id":2232,"type":"book","abstract":"This textbook aims to give an introduction to the use of documentary sources in social research. It is designed to be a companion to courses in research methods in the social sciences and history and a reference text for those beginning research on documentary sources. The book begins with an overview of the nature of social research and the variety of methods which can be used. Scott identifies three types of evidence useful in such research - physical evidence, personal evidence and documentary evidence. He argues that the logic of research is common to each type of evidence, but that each involves specific methodological issues. An appraisal grid for the analysis of documents is presented, showing the criteria which must be used in evaluating documentary sources. In the following chapters these criteria are applied to the variety of documentary sources available to the social researcher: census data and official statistics; government publications; directories and yearbooks; personal diaries and letters.","ISBN":"978-0-7456-8773-5","language":"en","note":"Google-Books-ID: dDLKAwAAQBAJ","number-of-pages":"234","publisher":"John Wiley &amp; Sons","source":"Google Books","title":"A Matter of Record: Documentary Sources in Social Research","title-short":"A Matter of Record","author":[{"family":"Scott","given":"John"}],"issued":{"date-parts":[["2014",4,3]]}}}],"schema":"https://github.com/citation-style-language/schema/raw/master/csl-citation.json"}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(Scott, 2014)</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Mass-media outputs refer to sources such as newspapers, magazines, and television programmes. Content analysis is usually conducted for analysing data abstracted from these sources. As the mass media outputs are often deemed to be genuine, the authenticity and credibility is often unclear and problematic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{"citationID":"0j9JB30V","properties":{"formattedCitation":"(Bryman, 2012)","plainCitation":"(Bryman, 2012)","noteIndex":0},"citationItems":[{"id":2296,"uris":["http://zotero.org/users/5709166/items/GKGEVL25"],"itemData":{"id":2296,"type":"book","call-number":"H62 .B787 2012","edition":"4th ed","event-place":"Oxford ; New York","ISBN":"978-0-19-958805-3","language":"en","number-of-pages":"766","publisher":"Oxford University Press","publisher-place":"Oxford ; New York","source":"Library of Congress ISBN","title":"Social research methods","author":[{"family":"Bryman","given":"Alan"}],"issued":{"date-parts":[["2012"]]}}}],"schema":"https://github.com/citation-style-language/schema/raw/master/csl-citation.json"}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(Bryman, 2012)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Virtual outputs refer to sources from the internet. Digital platforms such as the internet greatly expand the range of </w:t>
      </w:r>
      <w:r w:rsidR="003C373E" w:rsidRPr="00F153F6">
        <w:rPr>
          <w:rFonts w:ascii="Times New Roman" w:hAnsi="Times New Roman" w:cs="Times New Roman"/>
          <w:sz w:val="24"/>
          <w:szCs w:val="24"/>
        </w:rPr>
        <w:t>accessible data</w:t>
      </w:r>
      <w:r w:rsidRPr="00F153F6">
        <w:rPr>
          <w:rFonts w:ascii="Times New Roman" w:hAnsi="Times New Roman" w:cs="Times New Roman"/>
          <w:sz w:val="24"/>
          <w:szCs w:val="24"/>
        </w:rPr>
        <w:t xml:space="preserve"> to the researcher and allow both qualitative and quantitative data analysis to be conducted. </w:t>
      </w:r>
      <w:r w:rsidRPr="00F153F6">
        <w:rPr>
          <w:rFonts w:ascii="Times New Roman" w:hAnsi="Times New Roman" w:cs="Times New Roman"/>
          <w:sz w:val="24"/>
          <w:szCs w:val="24"/>
        </w:rPr>
        <w:lastRenderedPageBreak/>
        <w:t xml:space="preserve">Documents such as email, websites, blogs, digital messages, etc. allow the researcher to acquire a wide range of data related to the research topic. However, for authenticity, outputs may not be published by the real author e.g., anyone can set up a website. For credibility, the content of outputs may be distorted due to different organisational purposes </w:t>
      </w:r>
      <w:r w:rsidRPr="00F153F6">
        <w:rPr>
          <w:rFonts w:ascii="Times New Roman" w:hAnsi="Times New Roman" w:cs="Times New Roman"/>
          <w:sz w:val="24"/>
          <w:szCs w:val="24"/>
        </w:rPr>
        <w:fldChar w:fldCharType="begin"/>
      </w:r>
      <w:r w:rsidR="00B73834" w:rsidRPr="00F153F6">
        <w:rPr>
          <w:rFonts w:ascii="Times New Roman" w:hAnsi="Times New Roman" w:cs="Times New Roman"/>
          <w:sz w:val="24"/>
          <w:szCs w:val="24"/>
        </w:rPr>
        <w:instrText xml:space="preserve"> ADDIN ZOTERO_ITEM CSL_CITATION {"citationID":"a8R6XSTZ","properties":{"formattedCitation":"(J. Scott, 2014)","plainCitation":"(J. Scott, 2014)","dontUpdate":true,"noteIndex":0},"citationItems":[{"id":2232,"uris":["http://zotero.org/users/5709166/items/P6HV4RFX"],"itemData":{"id":2232,"type":"book","abstract":"This textbook aims to give an introduction to the use of documentary sources in social research. It is designed to be a companion to courses in research methods in the social sciences and history and a reference text for those beginning research on documentary sources. The book begins with an overview of the nature of social research and the variety of methods which can be used. Scott identifies three types of evidence useful in such research - physical evidence, personal evidence and documentary evidence. He argues that the logic of research is common to each type of evidence, but that each involves specific methodological issues. An appraisal grid for the analysis of documents is presented, showing the criteria which must be used in evaluating documentary sources. In the following chapters these criteria are applied to the variety of documentary sources available to the social researcher: census data and official statistics; government publications; directories and yearbooks; personal diaries and letters.","ISBN":"978-0-7456-8773-5","language":"en","note":"Google-Books-ID: dDLKAwAAQBAJ","number-of-pages":"234","publisher":"John Wiley &amp; Sons","source":"Google Books","title":"A Matter of Record: Documentary Sources in Social Research","title-short":"A Matter of Record","author":[{"family":"Scott","given":"John"}],"issued":{"date-parts":[["2014",4,3]]}}}],"schema":"https://github.com/citation-style-language/schema/raw/master/csl-citation.json"}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(Scott, 2014)</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p>
    <w:p w14:paraId="44D3B87E" w14:textId="6276A56C"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this research, the main types of existing documents were digital format documents originating in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s (e.g.,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project descriptions, diaries, </w:t>
      </w:r>
      <w:r w:rsidR="003C373E" w:rsidRPr="00F153F6">
        <w:rPr>
          <w:rFonts w:ascii="Times New Roman" w:hAnsi="Times New Roman" w:cs="Times New Roman"/>
          <w:sz w:val="24"/>
          <w:szCs w:val="24"/>
        </w:rPr>
        <w:t xml:space="preserve">and </w:t>
      </w:r>
      <w:r w:rsidRPr="00F153F6">
        <w:rPr>
          <w:rFonts w:ascii="Times New Roman" w:hAnsi="Times New Roman" w:cs="Times New Roman"/>
          <w:sz w:val="24"/>
          <w:szCs w:val="24"/>
        </w:rPr>
        <w:t xml:space="preserve">project logs.). In addition, the researcher gained access to some internal and official project documents. This data was useful for conducting analysis (such as providing initial ideas for interview questions) and developing theory (such as reflection on how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project apply information communication technologies in workplace from Living Lab website or articles). </w:t>
      </w:r>
    </w:p>
    <w:p w14:paraId="09599065" w14:textId="77777777" w:rsidR="002C1A2F" w:rsidRPr="00F153F6" w:rsidRDefault="002C1A2F" w:rsidP="004424B4">
      <w:pPr>
        <w:pStyle w:val="Heading4"/>
        <w:spacing w:line="360" w:lineRule="auto"/>
        <w:ind w:left="1440"/>
        <w:jc w:val="both"/>
        <w:rPr>
          <w:rFonts w:ascii="Times New Roman" w:hAnsi="Times New Roman" w:cs="Times New Roman"/>
          <w:color w:val="auto"/>
          <w:sz w:val="28"/>
          <w:szCs w:val="28"/>
        </w:rPr>
      </w:pPr>
      <w:r w:rsidRPr="00F153F6">
        <w:rPr>
          <w:rFonts w:ascii="Times New Roman" w:hAnsi="Times New Roman" w:cs="Times New Roman"/>
          <w:color w:val="auto"/>
          <w:sz w:val="28"/>
          <w:szCs w:val="28"/>
        </w:rPr>
        <w:t>3.3.2.2 Case Study</w:t>
      </w:r>
    </w:p>
    <w:p w14:paraId="4C052545"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Case study strategy is normally used when the boundaries between studied phenomenon and its context is not particularly clear. Applying an in-depth case study can greatly help to understand interactions between a phenomenon and its context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{"citationID":"av9qganbqe","properties":{"formattedCitation":"(Dubois &amp; Gadde, 2002)","plainCitation":"(Dubois &amp; Gadde, 2002)","noteIndex":0},"citationItems":[{"id":2264,"uris":["http://zotero.org/users/5709166/items/FYD22AVA"],"itemData":{"id":2264,"type":"article-journal","container-title":"Journal of Business Research","DOI":"10.1016/S0148-2963(00)00195-8","ISSN":"01482963","issue":"7","journalAbbreviation":"Journal of Business Research","language":"en","page":"553-560","source":"DOI.org (Crossref)","title":"Systematic combining: an abductive approach to case research","title-short":"Systematic combining","volume":"55","author":[{"family":"Dubois","given":"Anna"},{"family":"Gadde","given":"Lars-Erik"}],"issued":{"date-parts":[["2002",7]]}}}],"schema":"https://github.com/citation-style-language/schema/raw/master/csl-citation.json"}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(Dubois &amp; Gadde, 2002)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There are different ways to apply case study strategy based on different research purpose. This means that the case study can be used deductively or inductively for exploratory, explanatory or evaluative research purposes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{"citationID":"a2e2jo0hikd","properties":{"formattedCitation":"(Thomas, 2015)","plainCitation":"(Thomas, 2015)","noteIndex":0},"citationItems":[{"id":2249,"uris":["http://zotero.org/users/5709166/items/RUNT8JKQ"],"itemData":{"id":2249,"type":"book","abstract":"Vibrant and insightful, this book introduces students and researchers to the basics of case study research. Adopting jargon-free language, it grounds its advice in concrete experience and real-world cases. Using examples from across the social sciences, Gary Thomas provides practical guidance on how best to read, design and carry out case study research with a focus on how to manage and analyze data. The new edition of this bestselling book addresses crucial issues around ethics and has improved coverage of key themes such as rigor, validity, generalization and the analysis of case studies. It demystifies case study research and answers important questions such as:   What is a case study?  When and why should case study methods be used?  How are case studies designed?  What methods can be used?  How do we analyze and make sense of our data?  How do we write up and write about our case?   Bursting with real-world examples and multidisciplinary cases, and supported by a dynamic new website, this book is essential reading for any student or researcher in the social sciences and humanities.","ISBN":"978-1-4739-4361-2","language":"en","note":"Google-Books-ID: CMiICwAAQBAJ","number-of-pages":"289","publisher":"SAGE","source":"Google Books","title":"How to Do Your Case Study","author":[{"family":"Thomas","given":"Gary"}],"issued":{"date-parts":[["2015",10,9]]}}}],"schema":"https://github.com/citation-style-language/schema/raw/master/csl-citation.json"}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(Thomas, 2015)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Exploratory case study aims to explore a distinct phenomenon that lacks detailed investigations or studies in order to establish or develop theory inductively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{"citationID":"a2msg5q0faf","properties":{"formattedCitation":"(Yin, 2014)","plainCitation":"(Yin, 2014)","noteIndex":0},"citationItems":[{"id":2263,"uris":["http://zotero.org/users/5709166/items/AAPDRF8B"],"itemData":{"id":2263,"type":"book","language":"en","number-of-pages":"282","publisher":"Thousand Oak","source":"DOI.org (Crossref)","title":"Case Study Research Design and Methods (5th ed.)","title-short":"Robert K. Yin. (2014). Case Study Research Design and Methods (5th ed.). Thousand Oaks, CA","URL":"https://cjpe.journalhosting.ucalgary.ca/cjpe/index.php/cjpe/article/view/257","author":[{"family":"Yin","given":"Robert K."}],"accessed":{"date-parts":[["2020",2,5]]},"issued":{"date-parts":[["2014"]]}}}],"schema":"https://github.com/citation-style-language/schema/raw/master/csl-citation.json"}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(Yin, 2014)</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Explanatory case study refers to the development of insights on ‘why’ and ‘how’ to explain a phenomenon, normally through a deductive approach. Evaluative case study aims to evaluate “how well something is working or has worked”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{"citationID":"a1th8ki365o","properties":{"formattedCitation":"(Thomas, 2015, p. 99)","plainCitation":"(Thomas, 2015, p. 99)","noteIndex":0},"citationItems":[{"id":2249,"uris":["http://zotero.org/users/5709166/items/RUNT8JKQ"],"itemData":{"id":2249,"type":"book","abstract":"Vibrant and insightful, this book introduces students and researchers to the basics of case study research. Adopting jargon-free language, it grounds its advice in concrete experience and real-world cases. Using examples from across the social sciences, Gary Thomas provides practical guidance on how best to read, design and carry out case study research with a focus on how to manage and analyze data. The new edition of this bestselling book addresses crucial issues around ethics and has improved coverage of key themes such as rigor, validity, generalization and the analysis of case studies. It demystifies case study research and answers important questions such as:   What is a case study?  When and why should case study methods be used?  How are case studies designed?  What methods can be used?  How do we analyze and make sense of our data?  How do we write up and write about our case?   Bursting with real-world examples and multidisciplinary cases, and supported by a dynamic new website, this book is essential reading for any student or researcher in the social sciences and humanities.","ISBN":"978-1-4739-4361-2","language":"en","note":"Google-Books-ID: CMiICwAAQBAJ","number-of-pages":"289","publisher":"SAGE","source":"Google Books","title":"How to Do Your Case Study","author":[{"family":"Thomas","given":"Gary"}],"issued":{"date-parts":[["2015",10,9]]}},"locator":"99"}],"schema":"https://github.com/citation-style-language/schema/raw/master/csl-citation.json"}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(Thomas, 2015, p. 99)</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When a change appears to a phenomenon, this type of case study could be considered to find out what the change has led to, based on previous hypotheses or expectations.</w:t>
      </w:r>
    </w:p>
    <w:p w14:paraId="7C7392D7"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 case study can be separated into intrinsic case study or instrumental case study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{"citationID":"asokk2jnq1","properties":{"formattedCitation":"(Stake, 2005)","plainCitation":"(Stake, 2005)","noteIndex":0},"citationItems":[{"id":2250,"uris":["http://zotero.org/users/5709166/items/9XSYPEQX"],"itemData":{"id":2250,"type":"chapter","abstract":"Case studies are a common way to do qualitative inquiry. Case study research is neither new nor essentially qualitative. Case study is not a methodological choice but a choice of what is to be studied. If case study research is more humane or in some ways transcendent, it is because the researchers are so, not because of the methods. By whatever methods, we choose to study the case. We could study it analytically or holistically, entirely by repeated measures or hermeneutically, organically or culturally, and by mixed methods--but we concentrate, at least for the time being, on the case. The focus in this chapter is a qualitative concentration on the case. The name \"case study\" is emphasized by some of us because it draws attention to the question of what specially can be learned about the single case. That epistemological question is the driving question of this chapter: What can be learned about the single case? I will emphasize designing the study to optimize understanding of the case rather than to generalize beyond it. (PsycINFO Database Record (c) 2019 APA, all rights reserved)","container-title":"The Sage handbook of qualitative research, 3rd ed","event-place":"Thousand Oaks, CA","ISBN":"978-0-7619-2757-0","page":"443-466","publisher":"Sage Publications Ltd","publisher-place":"Thousand Oaks, CA","source":"APA PsycNET","title":"Qualitative Case Studies","author":[{"family":"Stake","given":"Robert E."}],"issued":{"date-parts":[["2005"]]}}}],"schema":"https://github.com/citation-style-language/schema/raw/master/csl-citation.json"}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(Stake, 2005)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Intrinsic case study focuses on the subject being studied purely because of the interest to the case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{"citationID":"p2oiLdpy","properties":{"formattedCitation":"(Thomas, 2015)","plainCitation":"(Thomas, 2015)","noteIndex":0},"citationItems":[{"id":2249,"uris":["http://zotero.org/users/5709166/items/RUNT8JKQ"],"itemData":{"id":2249,"type":"book","abstract":"Vibrant and insightful, this book introduces students and researchers to the basics of case study research. Adopting jargon-free language, it grounds its advice in concrete experience and real-world cases. Using examples from across the social sciences, Gary Thomas provides practical guidance on how best to read, design and carry out case study research with a focus on how to manage and analyze data. The new edition of this bestselling book addresses crucial issues around ethics and has improved coverage of key themes such as rigor, validity, generalization and the analysis of case studies. It demystifies case study research and answers important questions such as:   What is a case study?  When and why should case study methods be used?  How are case studies designed?  What methods can be used?  How do we analyze and make sense of our data?  How do we write up and write about our case?   Bursting with real-world examples and multidisciplinary cases, and supported by a dynamic new website, this book is essential reading for any student or researcher in the social sciences and humanities.","ISBN":"978-1-4739-4361-2","language":"en","note":"Google-Books-ID: CMiICwAAQBAJ","number-of-pages":"289","publisher":"SAGE","source":"Google Books","title":"How to Do Your Case Study","author":[{"family":"Thomas","given":"Gary"}],"issued":{"date-parts":[["2015",10,9]]}}}],"schema":"https://github.com/citation-style-language/schema/raw/master/csl-citation.json"}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(Thomas, 2015)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i.e., the researcher conducts an intrinsic case study to investigate a particular case because understanding the case itself is of primary interest. On the contrary, an instrumental case study is conducted not because the study of the selected case is the purpose; rather, the case study is used as an instrument or tool to serve another particular purpose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{"citationID":"drECBGDz","properties":{"formattedCitation":"(Thomas, 2015)","plainCitation":"(Thomas, 2015)","noteIndex":0},"citationItems":[{"id":2249,"uris":["http://zotero.org/users/5709166/items/RUNT8JKQ"],"itemData":{"id":2249,"type":"book","abstract":"Vibrant and insightful, this book introduces students and researchers to the basics of case study research. Adopting jargon-free language, it grounds its advice in concrete experience and real-world cases. Using examples from across the social sciences, Gary Thomas provides practical guidance on how best to read, design and carry out case study research with a focus on how to manage and analyze data. The new edition of this bestselling book addresses crucial issues around ethics and has improved coverage of key themes such as rigor, validity, generalization and the analysis of case studies. It demystifies case study research and answers important questions such as:   What is a case study?  When and why should case study methods be used?  How are case studies designed?  What methods can be used?  How do we analyze and make sense of our data?  How do we write up and write about our case?   Bursting with real-world examples and multidisciplinary cases, and supported by a dynamic new website, this book is essential reading for any student or researcher in the social sciences and humanities.","ISBN":"978-1-4739-4361-2","language":"en","note":"Google-Books-ID: CMiICwAAQBAJ","number-of-pages":"289","publisher":"SAGE","source":"Google Books","title":"How to Do Your Case Study","author":[{"family":"Thomas","given":"Gary"}],"issued":{"date-parts":[["2015",10,9]]}}}],"schema":"https://github.com/citation-style-language/schema/raw/master/csl-citation.json"}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(Thomas, 2015)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i.e., the researcher conducts an instrumental case study aiming to understand another phenomenon via the support of the case, and the case itself is of secondary interest. </w:t>
      </w:r>
    </w:p>
    <w:p w14:paraId="78D54CF2"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lastRenderedPageBreak/>
        <w:t xml:space="preserve">The use of case study can be applied for a single case or multiple case studies. A single case study is often considered when a case is critical or unique, or when there is a case that allows the researcher to observe and analyse a phenomenon which has not been studied in-depth before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{"citationID":"O4ZELnUG","properties":{"formattedCitation":"(Yin, 2014)","plainCitation":"(Yin, 2014)","noteIndex":0},"citationItems":[{"id":2263,"uris":["http://zotero.org/users/5709166/items/AAPDRF8B"],"itemData":{"id":2263,"type":"book","language":"en","number-of-pages":"282","publisher":"Thousand Oak","source":"DOI.org (Crossref)","title":"Case Study Research Design and Methods (5th ed.)","title-short":"Robert K. Yin. (2014). Case Study Research Design and Methods (5th ed.). Thousand Oaks, CA","URL":"https://cjpe.journalhosting.ucalgary.ca/cjpe/index.php/cjpe/article/view/257","author":[{"family":"Yin","given":"Robert K."}],"accessed":{"date-parts":[["2020",2,5]]},"issued":{"date-parts":[["2014"]]}}}],"schema":"https://github.com/citation-style-language/schema/raw/master/csl-citation.json"}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(Yin, 2014)</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Single case study can be adopted in intrinsic case studies that focus on the case itself, or instrumental case studies that investigate a phenomenon with the support of the case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{"citationID":"oEqLPiEF","properties":{"formattedCitation":"(Thomas, 2015)","plainCitation":"(Thomas, 2015)","noteIndex":0},"citationItems":[{"id":2249,"uris":["http://zotero.org/users/5709166/items/RUNT8JKQ"],"itemData":{"id":2249,"type":"book","abstract":"Vibrant and insightful, this book introduces students and researchers to the basics of case study research. Adopting jargon-free language, it grounds its advice in concrete experience and real-world cases. Using examples from across the social sciences, Gary Thomas provides practical guidance on how best to read, design and carry out case study research with a focus on how to manage and analyze data. The new edition of this bestselling book addresses crucial issues around ethics and has improved coverage of key themes such as rigor, validity, generalization and the analysis of case studies. It demystifies case study research and answers important questions such as:   What is a case study?  When and why should case study methods be used?  How are case studies designed?  What methods can be used?  How do we analyze and make sense of our data?  How do we write up and write about our case?   Bursting with real-world examples and multidisciplinary cases, and supported by a dynamic new website, this book is essential reading for any student or researcher in the social sciences and humanities.","ISBN":"978-1-4739-4361-2","language":"en","note":"Google-Books-ID: CMiICwAAQBAJ","number-of-pages":"289","publisher":"SAGE","source":"Google Books","title":"How to Do Your Case Study","author":[{"family":"Thomas","given":"Gary"}],"issued":{"date-parts":[["2015",10,9]]}}}],"schema":"https://github.com/citation-style-language/schema/raw/master/csl-citation.json"}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(Thomas, 2015)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Multiple case studies are normally considered in instrumental case studies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{"citationID":"5OqKeDko","properties":{"formattedCitation":"(Stake, 2005)","plainCitation":"(Stake, 2005)","noteIndex":0},"citationItems":[{"id":2250,"uris":["http://zotero.org/users/5709166/items/9XSYPEQX"],"itemData":{"id":2250,"type":"chapter","abstract":"Case studies are a common way to do qualitative inquiry. Case study research is neither new nor essentially qualitative. Case study is not a methodological choice but a choice of what is to be studied. If case study research is more humane or in some ways transcendent, it is because the researchers are so, not because of the methods. By whatever methods, we choose to study the case. We could study it analytically or holistically, entirely by repeated measures or hermeneutically, organically or culturally, and by mixed methods--but we concentrate, at least for the time being, on the case. The focus in this chapter is a qualitative concentration on the case. The name \"case study\" is emphasized by some of us because it draws attention to the question of what specially can be learned about the single case. That epistemological question is the driving question of this chapter: What can be learned about the single case? I will emphasize designing the study to optimize understanding of the case rather than to generalize beyond it. (PsycINFO Database Record (c) 2019 APA, all rights reserved)","container-title":"The Sage handbook of qualitative research, 3rd ed","event-place":"Thousand Oaks, CA","ISBN":"978-0-7619-2757-0","page":"443-466","publisher":"Sage Publications Ltd","publisher-place":"Thousand Oaks, CA","source":"APA PsycNET","title":"Qualitative Case Studies","author":[{"family":"Stake","given":"Robert E."}],"issued":{"date-parts":[["2005"]]}}}],"schema":"https://github.com/citation-style-language/schema/raw/master/csl-citation.json"}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(Stake, 2005)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The use of selected cases would be able to provide sufficient evidence and insights to comprehensively understand the research object via cross-case analysis. Cross-case analysis is an important analytical method that can mobilise knowledge from individual case studies; Khan and Van Wynsberghe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{"citationID":"a1at5fnaa6g","properties":{"formattedCitation":"(2008)","plainCitation":"(2008)","noteIndex":0},"citationItems":[{"id":2248,"uris":["http://zotero.org/users/5709166/items/NCJJUCFZ"],"itemData":{"id":2248,"type":"article-journal","abstract":"Despite a plethora of case studies in the social sciences, it is the authors' opinion that case studies remain relatively under-mined sources of expertise. Cross-case analysis is a research method that can mobilize knowledge from individual case studies. The authors propose that mobilization of case knowledge occurs when researchers accumulate case knowledge, compare and contrast cases, and in doing so, produce new knowledge. In this article, the authors present theories of how people can learn from sets of cases. Second, existing techniques for cross-case analysis are discussed. Third, considerations that enable researchers to engage in cross-case analysis are suggested. Finally, the authors introduce a novel online database: the Foresee (4C) database. The purpose of the database is to mobilize case knowledge by helping researchers perform cross-case analysis and by creating an online research community that facilitates dialogue and the mobilization of case knowledge. The design of the 4C database is informed by theories of how people learn from case studies and cross-case analysis techniques. We present evidence from case study research that use of the 4C database helps to mobilize previously dormant case study knowledge to foster greater expertise.","language":"en","page":"26","source":"Zotero","title":"Cultivating the Under-Mined: Cross-Case Analysis as Knowledge Mobilization","author":[{"family":"Khan","given":"Samia"},{"family":"VanWynsberghe","given":"Robert"}],"issued":{"date-parts":[["2008"]]}},"suppress-author":true}],"schema":"https://github.com/citation-style-language/schema/raw/master/csl-citation.json"}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(2008)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suggest that cross-case analysis could help the researcher accumulate case knowledge via comparing and contrasting cases in order to produce new knowledge. </w:t>
      </w:r>
    </w:p>
    <w:p w14:paraId="29F5D015" w14:textId="5CD6E0EB"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this research, as analysed and discussed in literature review chapter, there are limited theories to understand how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stakeholders use and perceive ICT to shape IOKE. Therefore, the researcher expects to generate a theory inductively based on the perceptions and experiences of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stakeholders and their working performance. Understanding of this phenomenon is limited in the existing literature, and thereby using an exploratory case study is an important step for this research. In addition, this research also seeks to explain the different functions and various characteristics of ICT in IOKE practice, various characteristics of ICT-IOKE, and the relationships between them, based on an in-depth understanding of the phenomenon. Therefore, the purpose of this research is also to develop an in-depth understanding and potential explanations</w:t>
      </w:r>
      <w:r w:rsidR="003C373E" w:rsidRPr="00F153F6">
        <w:rPr>
          <w:rFonts w:ascii="Times New Roman" w:hAnsi="Times New Roman" w:cs="Times New Roman"/>
          <w:sz w:val="24"/>
          <w:szCs w:val="24"/>
        </w:rPr>
        <w:t xml:space="preserve"> on ICT-based IOKE practice</w:t>
      </w:r>
      <w:r w:rsidRPr="00F153F6">
        <w:rPr>
          <w:rFonts w:ascii="Times New Roman" w:hAnsi="Times New Roman" w:cs="Times New Roman"/>
          <w:sz w:val="24"/>
          <w:szCs w:val="24"/>
        </w:rPr>
        <w:t xml:space="preserve">. Overall, this research uses a combination of exploratory and explanatory case studies. </w:t>
      </w:r>
    </w:p>
    <w:p w14:paraId="563C8C52" w14:textId="5EC679BC"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As the main aim of this research is to explore the role of ICT in knowledge exchange, identifying an instrumental case study is central for this study. The case study of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s is thereby considered to be an instrument to support investigating this phenomenon and provide a solid context to conducting this research. A single case study may help this research to understand in-depth this phenomenon from the perspective of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stakeholders and their working performance in order to generate a theory for this phenomenon. However, as the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projects are conducted normally over three years, it is impossible due to PhD time constraints to do a longitudinal study for a 3-year project. Therefore, in order to trace the phases and consider any changes at different phases of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projects, this research needs to identify and sample projects that are found at different project phases. In order to map the </w:t>
      </w:r>
      <w:r w:rsidRPr="00F153F6">
        <w:rPr>
          <w:rFonts w:ascii="Times New Roman" w:hAnsi="Times New Roman" w:cs="Times New Roman"/>
          <w:sz w:val="24"/>
          <w:szCs w:val="24"/>
        </w:rPr>
        <w:lastRenderedPageBreak/>
        <w:t xml:space="preserve">richness of exchanges and use of ICT across various stages of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s, this research applied a multiple case study covering multiple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s projects at different project lifecycle stages: inception project, middle-stage project, and completed project.</w:t>
      </w:r>
      <w:r w:rsidRPr="00F153F6">
        <w:rPr>
          <w:rFonts w:ascii="Times New Roman" w:hAnsi="Times New Roman" w:cs="Times New Roman"/>
          <w:b/>
          <w:bCs/>
          <w:sz w:val="24"/>
          <w:szCs w:val="24"/>
        </w:rPr>
        <w:t xml:space="preserve"> </w:t>
      </w:r>
      <w:r w:rsidRPr="00F153F6">
        <w:rPr>
          <w:rFonts w:ascii="Times New Roman" w:hAnsi="Times New Roman" w:cs="Times New Roman"/>
          <w:sz w:val="24"/>
          <w:szCs w:val="24"/>
        </w:rPr>
        <w:t>The rationale of selecting multiple case studies was that this research seeks to investigate and understand this phenomenon in-depth – including variations in and</w:t>
      </w:r>
      <w:r w:rsidR="003C373E" w:rsidRPr="00F153F6">
        <w:rPr>
          <w:rFonts w:ascii="Times New Roman" w:hAnsi="Times New Roman" w:cs="Times New Roman"/>
          <w:sz w:val="24"/>
          <w:szCs w:val="24"/>
        </w:rPr>
        <w:t xml:space="preserve"> the intensity</w:t>
      </w:r>
      <w:r w:rsidRPr="00F153F6">
        <w:rPr>
          <w:rFonts w:ascii="Times New Roman" w:hAnsi="Times New Roman" w:cs="Times New Roman"/>
          <w:sz w:val="24"/>
          <w:szCs w:val="24"/>
        </w:rPr>
        <w:t xml:space="preserve"> of use of ICT for knowledge exchange - and thereby different cases can be used to complement each other and help shape a comprehensive understanding. In this way, cross-case analysis can assist that purpose.</w:t>
      </w:r>
    </w:p>
    <w:p w14:paraId="6BE005B2" w14:textId="77777777" w:rsidR="002C1A2F" w:rsidRPr="00F153F6" w:rsidRDefault="002C1A2F" w:rsidP="004424B4">
      <w:pPr>
        <w:pStyle w:val="Heading4"/>
        <w:spacing w:line="360" w:lineRule="auto"/>
        <w:ind w:left="1440"/>
        <w:jc w:val="both"/>
        <w:rPr>
          <w:rFonts w:ascii="Times New Roman" w:hAnsi="Times New Roman" w:cs="Times New Roman"/>
          <w:color w:val="auto"/>
          <w:sz w:val="28"/>
          <w:szCs w:val="28"/>
        </w:rPr>
      </w:pPr>
      <w:r w:rsidRPr="00F153F6">
        <w:rPr>
          <w:rFonts w:ascii="Times New Roman" w:hAnsi="Times New Roman" w:cs="Times New Roman"/>
          <w:color w:val="auto"/>
          <w:sz w:val="28"/>
          <w:szCs w:val="28"/>
        </w:rPr>
        <w:t>3.3.2.3 Grounded Theory Methodology</w:t>
      </w:r>
    </w:p>
    <w:p w14:paraId="0C476AB0" w14:textId="1633D604"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There are mainly three different perspectives on Grounded Theory methodology. The Classic Grounded Theory (CGT) is the original version proposed by Glaser and Strauss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{"citationID":"bDuBqWmY","properties":{"formattedCitation":"(1967)","plainCitation":"(1967)","noteIndex":0},"citationItems":[{"id":993,"uris":["http://zotero.org/users/5709166/items/DSF8R6HJ"],"itemData":{"id":993,"type":"book","edition":"4. paperback printing","event-place":"New Brunswick","ISBN":"978-0-202-30260-7","language":"en","note":"OCLC: 553535517","number-of-pages":"271","publisher":"Aldine","publisher-place":"New Brunswick","source":"Gemeinsamer Bibliotheksverbund ISBN","title":"The discovery of grounded theory: strategies for qualitative research","title-short":"The discovery of grounded theory","author":[{"family":"Glaser","given":"Barney G."},{"family":"Strauss","given":"Anselm L."}],"issued":{"date-parts":[["1967"]]}},"suppress-author":true}],"schema":"https://github.com/citation-style-language/schema/raw/master/csl-citation.json"}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(1967)</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known as Glaserian Grounded Theory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{"citationID":"a1bhs6j3347","properties":{"formattedCitation":"(Matavire &amp; Brown, 2013)","plainCitation":"(Matavire &amp; Brown, 2013)","noteIndex":0},"citationItems":[{"id":2271,"uris":["http://zotero.org/users/5709166/items/RVTAUIYG"],"itemData":{"id":2271,"type":"article-journal","abstract":"Studies claiming to use the Grounded theory methodology (GTM) have been quite prevalent in information systems (IS) literature. A cursory review of this literature reveals conflict in the understanding of GTM, with a variety of grounded theory approaches apparent. The purpose of this investigation was to establish what alternative grounded theory approaches have been employed in IS, and to what extent each has been used. In order to accomplish this goal, a comprehensive set of IS articles that claimed to have followed a grounded theory approach were reviewed. The articles chosen were those published in the widely acknowledged top eight IS-centric journals, since these journals most closely represent exemplar IS research. Articles for the period 1985-2008 were examined. The analysis revealed four main grounded theory approaches in use, namely (1) the classic grounded theory approach, (2) the evolved grounded theory approach, (3) the use of the grounded theory approach as part of a mixed methodology, and (4) the application of grounded theory techniques, typically for data analysis purposes. The latter has been the most common approach in IS research. The classic approach was the least often employed, with many studies opting for an evolved or mixed method approach. These and other findings are discussed and implications drawn.","container-title":"European Journal of Information Systems","DOI":"10.1057/ejis.2011.35","ISSN":"0960-085X","issue":"1","page":"119-129","source":"Taylor and Francis+NEJM","title":"Profiling grounded theory approaches in information systems research","volume":"22","author":[{"family":"Matavire","given":"Rangarirai"},{"family":"Brown","given":"Irwin"}],"issued":{"date-parts":[["2013",1,1]]}}}],"schema":"https://github.com/citation-style-language/schema/raw/master/csl-citation.json"}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(Matavire &amp; Brown, 2013)</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This version suggests that the researcher should keep an open mind from the start of the literature review in order to avoid the influences of existing established theories. This is because established theories might force the researcher to have preconceived theories in mind, such as established concepts and relationships between themes and concepts. This is likely to affect the researchers’ ability to generate their own ‘concepts’ grounded in data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{"citationID":"a3fi61q026","properties":{"formattedCitation":"(Glaser, 2002)","plainCitation":"(Glaser, 2002)","noteIndex":0},"citationItems":[{"id":2270,"uris":["http://zotero.org/users/5709166/items/FXYUGWJ4"],"itemData":{"id":2270,"type":"article-journal","abstract":"This article explores the use of grounded theory to generate conceptualizations of emergent social patterns in research data. The naming of patterns and their abstraction across time, place and people, are discussed. The constant comparative method employed in grounded data analysis is offered as a developmental tool for enhancing researchers' abilities to conceptualize and form emergent theories. Conceptual levels, descriptions, power and flawed approaches to analysis are explored at length.","container-title":"International Journal of Qualitative Methods","DOI":"10.1177/160940690200100203","ISSN":"1609-4069","issue":"2","journalAbbreviation":"International Journal of Qualitative Methods","language":"en","page":"23-38","source":"SAGE Journals","title":"Conceptualization: On Theory and Theorizing Using Grounded Theory","title-short":"Conceptualization","volume":"1","author":[{"family":"Glaser","given":"Barney G."}],"issued":{"date-parts":[["2002",6,1]]}}}],"schema":"https://github.com/citation-style-language/schema/raw/master/csl-citation.json"}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(Glaser, 2002)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In addition, the coding for data analysis in the Glaserian version follows an open, selective and theoretical coding process. Open coding is the initial coding process through abstracting codes from data in order to describe phenomenon with meaningful expressions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{"citationID":"a1v3ovcel6p","properties":{"formattedCitation":"(Glaser, 1992)","plainCitation":"(Glaser, 1992)","noteIndex":0},"citationItems":[{"id":2256,"uris":["http://zotero.org/users/5709166/items/GM2ZQ9MI"],"itemData":{"id":2256,"type":"book","language":"en","note":"Google-Books-ID: z9mkAQAACAAJ","number-of-pages":"129","publisher":"Sociology Press","source":"Google Books","title":"Basics of Grounded Theory Analysis: Emergence Vs Forcing","title-short":"Basics of Grounded Theory Analysis","author":[{"family":"Glaser","given":"Barney G."}],"issued":{"date-parts":[["1992"]]}}}],"schema":"https://github.com/citation-style-language/schema/raw/master/csl-citation.json"}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(Glaser, 1992)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Selective coding starts after identifying the core categories from the codes. The researcher is then encouraged to selectively code data using the of core categories as a guide, which makes the research move and generate concepts fast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{"citationID":"FiH4eHkB","properties":{"formattedCitation":"(Glaser, 1992)","plainCitation":"(Glaser, 1992)","noteIndex":0},"citationItems":[{"id":2256,"uris":["http://zotero.org/users/5709166/items/GM2ZQ9MI"],"itemData":{"id":2256,"type":"book","language":"en","note":"Google-Books-ID: z9mkAQAACAAJ","number-of-pages":"129","publisher":"Sociology Press","source":"Google Books","title":"Basics of Grounded Theory Analysis: Emergence Vs Forcing","title-short":"Basics of Grounded Theory Analysis","author":[{"family":"Glaser","given":"Barney G."}],"issued":{"date-parts":[["1992"]]}}}],"schema":"https://github.com/citation-style-language/schema/raw/master/csl-citation.json"}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(Glaser, 1992)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Theoretical coding integrates different concepts into theoretical codes that can work together in a theory. This process encourages the researcher to generate theoretical schemes from grounded data to explain the research phenomenon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{"citationID":"IfWoVMCJ","properties":{"formattedCitation":"(Glaser, 1992)","plainCitation":"(Glaser, 1992)","noteIndex":0},"citationItems":[{"id":2256,"uris":["http://zotero.org/users/5709166/items/GM2ZQ9MI"],"itemData":{"id":2256,"type":"book","language":"en","note":"Google-Books-ID: z9mkAQAACAAJ","number-of-pages":"129","publisher":"Sociology Press","source":"Google Books","title":"Basics of Grounded Theory Analysis: Emergence Vs Forcing","title-short":"Basics of Grounded Theory Analysis","author":[{"family":"Glaser","given":"Barney G."}],"issued":{"date-parts":[["1992"]]}}}],"schema":"https://github.com/citation-style-language/schema/raw/master/csl-citation.json"}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(Glaser, 1992)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p>
    <w:p w14:paraId="2AD4A081" w14:textId="4A0EAF51"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Straussian version of Grounded Theory is another Grounded Theory perspective developed by Strauss and Corbin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{"citationID":"a2kc8sgsl6c","properties":{"formattedCitation":"(1998)","plainCitation":"(1998)","noteIndex":0},"citationItems":[{"id":2273,"uris":["http://zotero.org/users/5709166/items/3Q6XYZBU"],"itemData":{"id":2273,"type":"book","call-number":"HA29 .S823 1998","edition":"2nd ed","event-place":"Thousand Oaks","ISBN":"978-0-8039-5939-2","language":"en","number-of-pages":"312","publisher":"Sage Publications","publisher-place":"Thousand Oaks","source":"Library of Congress ISBN","title":"Basics of qualitative research: techniques and procedures for developing grounded theory","title-short":"Basics of qualitative research","author":[{"family":"Strauss","given":"Anselm L."},{"family":"Corbin","given":"Juliet M."}],"issued":{"date-parts":[["1998"]]}},"suppress-author":true}],"schema":"https://github.com/citation-style-language/schema/raw/master/csl-citation.json"}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(1998)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The Straussian version of Grounded Theory emphasises the use of literature and considers that literatures can be used in a more flexible way, while Glaserian Grounded Theory is trying to avoid the influences of literature. Strauss and Corbin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{"citationID":"8fX1y4SY","properties":{"formattedCitation":"(1998)","plainCitation":"(1998)","noteIndex":0},"citationItems":[{"id":2273,"uris":["http://zotero.org/users/5709166/items/3Q6XYZBU"],"itemData":{"id":2273,"type":"book","call-number":"HA29 .S823 1998","edition":"2nd ed","event-place":"Thousand Oaks","ISBN":"978-0-8039-5939-2","language":"en","number-of-pages":"312","publisher":"Sage Publications","publisher-place":"Thousand Oaks","source":"Library of Congress ISBN","title":"Basics of qualitative research: techniques and procedures for developing grounded theory","title-short":"Basics of qualitative research","author":[{"family":"Strauss","given":"Anselm L."},{"family":"Corbin","given":"Juliet M."}],"issued":{"date-parts":[["1998"]]}},"suppress-author":true}],"schema":"https://github.com/citation-style-language/schema/raw/master/csl-citation.json"}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(1998)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argue that reviewing the literature does not mean that the researcher has to use established theories, but develop a general awareness of the research field. Lack of adequate understanding to such a field is claimed as a fundamental flaw for research </w:t>
      </w:r>
      <w:r w:rsidRPr="00F153F6">
        <w:rPr>
          <w:rFonts w:ascii="Times New Roman" w:hAnsi="Times New Roman" w:cs="Times New Roman"/>
          <w:sz w:val="24"/>
          <w:szCs w:val="24"/>
        </w:rPr>
        <w:fldChar w:fldCharType="begin"/>
      </w:r>
      <w:r w:rsidR="00B73834" w:rsidRPr="00F153F6">
        <w:rPr>
          <w:rFonts w:ascii="Times New Roman" w:hAnsi="Times New Roman" w:cs="Times New Roman"/>
          <w:sz w:val="24"/>
          <w:szCs w:val="24"/>
        </w:rPr>
        <w:instrText xml:space="preserve"> ADDIN ZOTERO_ITEM CSL_CITATION {"citationID":"ai6o191le5","properties":{"formattedCitation":"(H. Heath &amp; Cowley, 2004)","plainCitation":"(H. Heath &amp; Cowley, 2004)","dontUpdate":true,"noteIndex":0},"citationItems":[{"id":2268,"uris":["http://zotero.org/users/5709166/items/CLRFTE6H"],"itemData":{"id":2268,"type":"article-journal","abstract":"Novice qualitative researchers are often unsure regarding the analysis of their data and, where grounded theory is chosen, they may be uncertain regarding the differences that now exist between the approaches of Glaser and Strauss, who together ﬁrst described the method. These two approaches are compared in relation to roots and divergences, role of induction, deduction and veriﬁcation, ways in which data are coded and the format of generated theory. Personal experience of developing as a ground theorist is used to illustrate some of the key differences. A conclusion is drawn that, rather than debate relative merits of the two approaches, suggests that novice researchers need to select the method that best suits their cognitive style and develop analytic skills through doing research.","container-title":"International Journal of Nursing Studies","DOI":"10.1016/S0020-7489(03)00113-5","ISSN":"00207489","issue":"2","journalAbbreviation":"International Journal of Nursing Studies","language":"en","page":"141-150","source":"DOI.org (Crossref)","title":"Developing a grounded theory approach: a comparison of Glaser and Strauss","title-short":"Developing a grounded theory approach","volume":"41","author":[{"family":"Heath","given":"Helen"},{"family":"Cowley","given":"Sarah"}],"issued":{"date-parts":[["2004",2]]}}}],"schema":"https://github.com/citation-style-language/schema/raw/master/csl-citation.json"}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(Heath &amp; Cowley, 2004)</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Data analysis in the Straussian version also differs from the Glaserian version. The coding process in </w:t>
      </w:r>
      <w:r w:rsidRPr="00F153F6">
        <w:rPr>
          <w:rFonts w:ascii="Times New Roman" w:hAnsi="Times New Roman" w:cs="Times New Roman"/>
          <w:sz w:val="24"/>
          <w:szCs w:val="24"/>
        </w:rPr>
        <w:lastRenderedPageBreak/>
        <w:t xml:space="preserve">Straussian Grounded Theory includes open, axial and selective coding. Open coding refers to a line-by-line data analysis to identify concepts and link them into relevant categories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{"citationID":"a2lc0jlcpcp","properties":{"formattedCitation":"(Corbin &amp; Strauss, 1990)","plainCitation":"(Corbin &amp; Strauss, 1990)","noteIndex":0},"citationItems":[{"id":2254,"uris":["http://zotero.org/users/5709166/items/34SX2MF2"],"itemData":{"id":2254,"type":"article-journal","abstract":"Abstract\n            Using grounded theory as an example, this paper examines three methodological questions that are generally applicable to all qualitative methods. How should the usual scientific canons be reinterpreted for qualitative research? How should researchers report the procedures and canons used in their research? What evaluative criteria should be used in judging the research products? The basic argument we propose is that the criteria should be adapted to fit the procedures of the method. We demonstrate how we have done this with grounded theory and suggest criteria for evaluating studies done in this mode. We suggest that other qualitative researchers might be similarly specific about their procedures and evaluative criteria.","container-title":"Zeitschrift für Soziologie","DOI":"10.1515/zfsoz-1990-0602","ISSN":"2366-0325, 0340-1804","issue":"6","source":"DOI.org (Crossref)","title":"Grounded Theory Research: Procedures, Canons and Evaluative Criteria","title-short":"Grounded Theory Research","URL":"https://www.degruyter.com/view/j/zfsoz.1990.19.issue-6/zfsoz-1990-0602/zfsoz-1990-0602.xml","volume":"19","author":[{"family":"Corbin","given":"Juliet"},{"family":"Strauss","given":"Anselm"}],"accessed":{"date-parts":[["2020",2,13]]},"issued":{"date-parts":[["1990",1,1]]}}}],"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(Corbin &amp; Strauss, 1990)</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Axial coding aims to identify relationships between categories and subcategories, and encourages the researcher to code data around the axis of a specific category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{"citationID":"a1vrp1f2tet","properties":{"formattedCitation":"(Strauss &amp; Corbin, 1998)","plainCitation":"(Strauss &amp; Corbin, 1998)","noteIndex":0},"citationItems":[{"id":2273,"uris":["http://zotero.org/users/5709166/items/3Q6XYZBU"],"itemData":{"id":2273,"type":"book","call-number":"HA29 .S823 1998","edition":"2nd ed","event-place":"Thousand Oaks","ISBN":"978-0-8039-5939-2","language":"en","number-of-pages":"312","publisher":"Sage Publications","publisher-place":"Thousand Oaks","source":"Library of Congress ISBN","title":"Basics of qualitative research: techniques and procedures for developing grounded theory","title-short":"Basics of qualitative research","author":[{"family":"Strauss","given":"Anselm L."},{"family":"Corbin","given":"Juliet M."}],"issued":{"date-parts":[["1998"]]}}}],"schema":"https://github.com/citation-style-language/schema/raw/master/csl-citation.json"}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(Strauss &amp; Corbin, 1998)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A paradigm is used as a tool to group and map the relationships of these categories. The purpose of selective coding is to integrate all categories into a central category in order to develop a theory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{"citationID":"3qON1x34","properties":{"formattedCitation":"(Strauss &amp; Corbin, 1998)","plainCitation":"(Strauss &amp; Corbin, 1998)","noteIndex":0},"citationItems":[{"id":2273,"uris":["http://zotero.org/users/5709166/items/3Q6XYZBU"],"itemData":{"id":2273,"type":"book","call-number":"HA29 .S823 1998","edition":"2nd ed","event-place":"Thousand Oaks","ISBN":"978-0-8039-5939-2","language":"en","number-of-pages":"312","publisher":"Sage Publications","publisher-place":"Thousand Oaks","source":"Library of Congress ISBN","title":"Basics of qualitative research: techniques and procedures for developing grounded theory","title-short":"Basics of qualitative research","author":[{"family":"Strauss","given":"Anselm L."},{"family":"Corbin","given":"Juliet M."}],"issued":{"date-parts":[["1998"]]}}}],"schema":"https://github.com/citation-style-language/schema/raw/master/csl-citation.json"}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(Strauss &amp; Corbin, 1998)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Both CGT and the Straussian version are positioned on the objectivist philosophical stance that view the researcher as a neutral observer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{"citationID":"1J4drUXz","properties":{"formattedCitation":"(Charmaz, 2014)","plainCitation":"(Charmaz, 2014)","noteIndex":0},"citationItems":[{"id":2274,"uris":["http://zotero.org/users/5709166/items/ZB22JKK4"],"itemData":{"id":2274,"type":"book","abstract":"Lecturers, request your electronic inspection copy  Kathy Charmaz presents the definitive guide to doing grounded theory from a constructivist perspective. This second edition of her groundbreaking text retains the accessibility and warmth of the first edition whilst introducing cutting edge examples and practical tips.  This expanded second edition:  - explores how to effectively focus on data collection  - demonstrates how to use data for theorizing  - adds two new chapters that guide you through conducting and analysing interviews in grounded theory   - adds a new chapter on symbolic interactionism and grounded theory  - considers recent epistemological debates about the place of prior theory  - discusses the legacy of Anselm Strauss for grounded theory. This is a seminal title for anyone serious about understanding and doing grounded theory research.","ISBN":"978-1-4462-9722-3","language":"en","note":"Google-Books-ID: v_GGAwAAQBAJ","number-of-pages":"417","publisher":"SAGE","source":"Google Books","title":"Constructing Grounded Theory","author":[{"family":"Charmaz","given":"Kathy"}],"issued":{"date-parts":[["2014",3,19]]}}}],"schema":"https://github.com/citation-style-language/schema/raw/master/csl-citation.json"}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(Charmaz, 2014)</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p>
    <w:p w14:paraId="3A1E420A" w14:textId="455726B5"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 more recent Grounded Theory was developed by Charmaz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{"citationID":"arsd9cj3nk","properties":{"formattedCitation":"(2008)","plainCitation":"(2008)","noteIndex":0},"citationItems":[{"id":2267,"uris":["http://zotero.org/users/5709166/items/BS3K89R8"],"itemData":{"id":2267,"type":"chapter","call-number":"HM1019 .H34 2008","container-title":"Handbook of Constructionist Research","event-place":"New York","ISBN":"978-1-59385-305-1","language":"en","note":"OCLC: ocn123818192","page":"397-412","publisher":"Guilford Press","publisher-place":"New York","source":"Library of Congress ISBN","title":"Constructionism and the Grounded Theory Method","author":[{"family":"Charmaz","given":"Kathy"}],"issued":{"date-parts":[["2008"]]}},"suppress-author":true}],"schema":"https://github.com/citation-style-language/schema/raw/master/csl-citation.json"}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(2008)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and is referred to as Constructivist Grounded Theory. This version argues that researchers need to reflect on meanings of values and beliefs from the interactions between researchers and participants </w:t>
      </w:r>
      <w:r w:rsidRPr="00F153F6">
        <w:rPr>
          <w:rFonts w:ascii="Times New Roman" w:hAnsi="Times New Roman" w:cs="Times New Roman"/>
          <w:sz w:val="24"/>
          <w:szCs w:val="24"/>
        </w:rPr>
        <w:fldChar w:fldCharType="begin"/>
      </w:r>
      <w:r w:rsidR="00B73834" w:rsidRPr="00F153F6">
        <w:rPr>
          <w:rFonts w:ascii="Times New Roman" w:hAnsi="Times New Roman" w:cs="Times New Roman"/>
          <w:sz w:val="24"/>
          <w:szCs w:val="24"/>
        </w:rPr>
        <w:instrText xml:space="preserve"> ADDIN ZOTERO_ITEM CSL_CITATION {"citationID":"a1t4jpb37e5","properties":{"formattedCitation":"(S. Li, 2018)","plainCitation":"(S. Li, 2018)","dontUpdate":true,"noteIndex":0},"citationItems":[{"id":2014,"uris":["http://zotero.org/users/5709166/items/6AKM3HG4"],"itemData":{"id":2014,"type":"thesis","title":"Knowledge Domains and Skills that Facilitate Knowledge Sharing in Project Management -A Case Study in the Chinese Construction Industry","URL":"http://etheses.whiterose.ac.uk/21467/2/Thesis_Shuyang%20Li.pdf","author":[{"family":"Li","given":"Shuyang"}],"accessed":{"date-parts":[["2019",10,21]]},"issued":{"date-parts":[["2018"]]}}}],"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(Li, 2018)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In contrast to CGT and Straussian Grounded Theory, constructivist Grounded Theory emphasises that researchers need to actively interact with the participants in order to reflect how historical moments, situations, interactions and social structures can influence the study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{"citationID":"a1nvs80fmjf","properties":{"formattedCitation":"(Charmaz, 2014)","plainCitation":"(Charmaz, 2014)","noteIndex":0},"citationItems":[{"id":2274,"uris":["http://zotero.org/users/5709166/items/ZB22JKK4"],"itemData":{"id":2274,"type":"book","abstract":"Lecturers, request your electronic inspection copy  Kathy Charmaz presents the definitive guide to doing grounded theory from a constructivist perspective. This second edition of her groundbreaking text retains the accessibility and warmth of the first edition whilst introducing cutting edge examples and practical tips.  This expanded second edition:  - explores how to effectively focus on data collection  - demonstrates how to use data for theorizing  - adds two new chapters that guide you through conducting and analysing interviews in grounded theory   - adds a new chapter on symbolic interactionism and grounded theory  - considers recent epistemological debates about the place of prior theory  - discusses the legacy of Anselm Strauss for grounded theory. This is a seminal title for anyone serious about understanding and doing grounded theory research.","ISBN":"978-1-4462-9722-3","language":"en","note":"Google-Books-ID: v_GGAwAAQBAJ","number-of-pages":"417","publisher":"SAGE","source":"Google Books","title":"Constructing Grounded Theory","author":[{"family":"Charmaz","given":"Kathy"}],"issued":{"date-parts":[["2014",3,19]]}}}],"schema":"https://github.com/citation-style-language/schema/raw/master/csl-citation.json"}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(Charmaz, 2014)</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w:t>
      </w:r>
    </w:p>
    <w:p w14:paraId="35D856EB" w14:textId="3068942A"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this research, the Glaserian version of Grounded Theory is followed. Although there are different versions of Grounded Theory, the fundamental principles of developing theory from emergent data is common in all versions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{"citationID":"a8b01vku2b","properties":{"formattedCitation":"(Glaser &amp; Strauss, 1967; Strauss &amp; Corbin, 1998)","plainCitation":"(Glaser &amp; Strauss, 1967; Strauss &amp; Corbin, 1998)","noteIndex":0},"citationItems":[{"id":993,"uris":["http://zotero.org/users/5709166/items/DSF8R6HJ"],"itemData":{"id":993,"type":"book","edition":"4. paperback printing","event-place":"New Brunswick","ISBN":"978-0-202-30260-7","language":"en","note":"OCLC: 553535517","number-of-pages":"271","publisher":"Aldine","publisher-place":"New Brunswick","source":"Gemeinsamer Bibliotheksverbund ISBN","title":"The discovery of grounded theory: strategies for qualitative research","title-short":"The discovery of grounded theory","author":[{"family":"Glaser","given":"Barney G."},{"family":"Strauss","given":"Anselm L."}],"issued":{"date-parts":[["1967"]]}}},{"id":2273,"uris":["http://zotero.org/users/5709166/items/3Q6XYZBU"],"itemData":{"id":2273,"type":"book","call-number":"HA29 .S823 1998","edition":"2nd ed","event-place":"Thousand Oaks","ISBN":"978-0-8039-5939-2","language":"en","number-of-pages":"312","publisher":"Sage Publications","publisher-place":"Thousand Oaks","source":"Library of Congress ISBN","title":"Basics of qualitative research: techniques and procedures for developing grounded theory","title-short":"Basics of qualitative research","author":[{"family":"Strauss","given":"Anselm L."},{"family":"Corbin","given":"Juliet M."}],"issued":{"date-parts":[["1998"]]}}}],"schema":"https://github.com/citation-style-language/schema/raw/master/csl-citation.json"}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(Glaser &amp; Strauss, 1967; Strauss &amp; Corbin, 1998)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As Niekerk and Roode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{"citationID":"a1uhemdjjh7","properties":{"formattedCitation":"(2009)","plainCitation":"(2009)","noteIndex":0},"citationItems":[{"id":2265,"uris":["http://zotero.org/users/5709166/items/BHXXSPC7"],"itemData":{"id":2265,"type":"article-journal","abstract":"Grounded Theory is growing in popularity as a research method in ICT research areas such as Information Systems and Software Engineering. Although there are two distinct methods, namely the Glaserian and the Straussian versions, a substantial number of research articles tend to ignore the difference and just claim that they are using grounded theory. To a researcher new to the grounded theory method, the two methods look very similar. Because the Straussian method is more prescriptive, most opt to follow this method, without investigating the Glaserian version. The few who try to use a hybrid of the two methods (not appreciating that the two methods are substantially different), only realize after a significant investment in time that the methods are not reconcilable and that either the one or the other should be followed. To contribute towards eliminating the confusion, this paper investigates the differences between the two methods. This will, hopefully, enable ICT researchers to make a more informed decision on which method to follow.","language":"en","page":"8","source":"Zotero","title":"Glaserian and Straussian grounded theory: similar or completely different?","author":[{"family":"Niekerk","given":"Johanna C","non-dropping-particle":"van"},{"family":"Roode","given":"JD"}],"issued":{"date-parts":[["2009"]]}},"suppress-author":true}],"schema":"https://github.com/citation-style-language/schema/raw/master/csl-citation.json"}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(2009)</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state, the improvement and application of Grounded Theory is much more important for researchers. This research follows Glaserian version as it is the original, and CGT avoids forcing data to paradigms. Glaser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{"citationID":"a20drbv0s0g","properties":{"formattedCitation":"(1998)","plainCitation":"(1998)","noteIndex":0},"citationItems":[{"id":2253,"uris":["http://zotero.org/users/5709166/items/GP5PRATU"],"itemData":{"id":2253,"type":"book","abstract":"In this book the author discusses the issues that emerged as he traveled to many parts of the world giving lectures, seminars and workshops on doing grounded theory.","ISBN":"978-1-884156-11-3","language":"en","number-of-pages":"254","publisher":"Sociology Press","source":"Google Books","title":"Doing Grounded Theory: Issues and Discussions","title-short":"Doing Grounded Theory","author":[{"family":"Glaser","given":"Barney G."}],"issued":{"date-parts":[["1998"]]}},"suppress-author":true}],"schema":"https://github.com/citation-style-language/schema/raw/master/csl-citation.json"}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(1998)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emphasises data emerging naturally </w:t>
      </w:r>
      <w:r w:rsidR="0063077F" w:rsidRPr="00F153F6">
        <w:rPr>
          <w:rFonts w:ascii="Times New Roman" w:hAnsi="Times New Roman" w:cs="Times New Roman"/>
          <w:sz w:val="24"/>
          <w:szCs w:val="24"/>
        </w:rPr>
        <w:t>to generate</w:t>
      </w:r>
      <w:r w:rsidRPr="00F153F6">
        <w:rPr>
          <w:rFonts w:ascii="Times New Roman" w:hAnsi="Times New Roman" w:cs="Times New Roman"/>
          <w:sz w:val="24"/>
          <w:szCs w:val="24"/>
        </w:rPr>
        <w:t xml:space="preserve"> a theory instead of accurately describing a phenomenon, and therefore any analytic tools such as paradigms are avoided, unlike in the Straussian version of Grounded Theory. As Seidel and Urquhart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{"citationID":"a21nmr1cd6s","properties":{"formattedCitation":"(2016)","plainCitation":"(2016)","noteIndex":0},"citationItems":[{"id":2269,"uris":["http://zotero.org/users/5709166/items/9ENYEPKK"],"itemData":{"id":2269,"type":"chapter","abstract":"Grounded theory method (GTM) (Glaser and Strauss, 1967; Strauss and Corbin, 1990; Charmaz, 2006) is characterized by the continuous interplay between the collection and analysis of data in order to generate theory that is firmly grounded in empirical phenomena (Glaser and Strauss, 1967; Strauss and Corbin, 1998). The method is now an accepted research approach in the information systems (IS) discipline (Urquhart et al., 2010; Matavire and Brown, 2011). That said, there are many debates around the application of GTM, and the method is contested (Duchscher and Morgan, 2004; Bryant and Charmaz, 2007). Important debates relate to the underlying epistemology (Mills et al., 2006), role of prior theory (Jones and Noble, 2007), and coding procedures (Kelle, 2007). As a result, there are now different strands of GTM, which differ in various aspects, including induction, deduction, and verification (Heath and Cowley, 2004; Matavire and Brown, 2011). Bryant and Charmaz (2007) argue strongly that GTM can be seen as a ‘family of methods’, and we would concur with that view. Mills et al. (2006) write that GTM ‘can be seen as a methodological spiral that begins with Glaser and Strauss’ original text and continues today’ (p. 25). Specifically, they use the terms ‘traditional’ and ‘evolved’ in order to distinguish the work of Glaser from that of Strauss, the two co-founders of the method.","container-title":"Enacting Research Methods in Information Systems: Volume 1","event-place":"Cham","ISBN":"978-3-319-29266-3","language":"en","note":"DOI: 10.1007/978-3-319-29266-3_8","page":"157-209","publisher":"Springer International Publishing","publisher-place":"Cham","source":"Springer Link","title":"On Emergence and Forcing in Information Systems Grounded Theory Studies: The Case of Strauss and Corbin","title-short":"On Emergence and Forcing in Information Systems Grounded Theory Studies","URL":"https://doi.org/10.1007/978-3-319-29266-3_8","author":[{"family":"Seidel","given":"Stefan"},{"family":"Urquhart","given":"Cathy"}],"editor":[{"family":"Willcocks","given":"Leslie P."},{"family":"Sauer","given":"Chris"},{"family":"Lacity","given":"Mary C."}],"accessed":{"date-parts":[["2020",2,4]]},"issued":{"date-parts":[["2016"]]}},"suppress-author":true}],"schema":"https://github.com/citation-style-language/schema/raw/master/csl-citation.json"}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(2016)</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state, paradigms may force data to occur in emergence, and may cause the researcher to reach conceptual descriptions instead of a Grounded Theory. Therefore, the Straussian version is not followed in this research. In addition, based on the purpose of this thesis, the researcher expects to explore how ICT is perceived and used in IOKE among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stakeholders. Thereby regarding constructivist Grounded Theory, the focus on interactions between researcher and participants is not necessary. </w:t>
      </w:r>
    </w:p>
    <w:p w14:paraId="2F27D0A2" w14:textId="77777777" w:rsidR="000543CB" w:rsidRPr="00F153F6" w:rsidRDefault="000543CB" w:rsidP="004424B4">
      <w:pPr>
        <w:spacing w:line="360" w:lineRule="auto"/>
        <w:jc w:val="both"/>
        <w:rPr>
          <w:rFonts w:ascii="Times New Roman" w:hAnsi="Times New Roman" w:cs="Times New Roman"/>
          <w:sz w:val="24"/>
          <w:szCs w:val="24"/>
        </w:rPr>
      </w:pPr>
    </w:p>
    <w:p w14:paraId="478B54AE" w14:textId="77777777" w:rsidR="002C1A2F" w:rsidRPr="00F153F6" w:rsidRDefault="002C1A2F" w:rsidP="004424B4">
      <w:pPr>
        <w:pStyle w:val="Heading3"/>
        <w:spacing w:line="360" w:lineRule="auto"/>
        <w:ind w:left="720"/>
        <w:jc w:val="both"/>
        <w:rPr>
          <w:rFonts w:ascii="Times New Roman" w:hAnsi="Times New Roman" w:cs="Times New Roman"/>
          <w:b/>
          <w:color w:val="auto"/>
          <w:sz w:val="28"/>
          <w:szCs w:val="28"/>
        </w:rPr>
      </w:pPr>
      <w:bookmarkStart w:id="304" w:name="_Toc118371121"/>
      <w:bookmarkStart w:id="305" w:name="_Toc133252145"/>
      <w:r w:rsidRPr="00F153F6">
        <w:rPr>
          <w:rFonts w:ascii="Times New Roman" w:hAnsi="Times New Roman" w:cs="Times New Roman"/>
          <w:b/>
          <w:color w:val="auto"/>
          <w:sz w:val="28"/>
          <w:szCs w:val="28"/>
        </w:rPr>
        <w:lastRenderedPageBreak/>
        <w:t>3.3.3 Summary</w:t>
      </w:r>
      <w:bookmarkEnd w:id="304"/>
      <w:bookmarkEnd w:id="305"/>
    </w:p>
    <w:p w14:paraId="473C72D9" w14:textId="716134AE"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After comparing different research strategies, this study considered a combination of Grounded Theory, case study and archival and documentary strategy as the research strategy. Glaserian version of Grounded Theory is the major research strategy used to conduct the research process, involving theoretical sampling, data collection and data analysis, which is discussed in Section 3.4. A combination of exploratory and explanatory and multiple case studies was adopted in order to provide a solid research context. An archival research strategy was also used to find out relevant data located in records and documents of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s. </w:t>
      </w:r>
    </w:p>
    <w:p w14:paraId="750ECE4A" w14:textId="77777777" w:rsidR="002C1A2F" w:rsidRPr="00F153F6" w:rsidRDefault="002C1A2F" w:rsidP="004424B4">
      <w:pPr>
        <w:pStyle w:val="Heading2"/>
        <w:spacing w:line="360" w:lineRule="auto"/>
        <w:rPr>
          <w:rFonts w:ascii="Times New Roman" w:hAnsi="Times New Roman" w:cs="Times New Roman"/>
          <w:sz w:val="32"/>
          <w:szCs w:val="32"/>
        </w:rPr>
      </w:pPr>
      <w:bookmarkStart w:id="306" w:name="_Toc118371122"/>
      <w:bookmarkStart w:id="307" w:name="_Toc133252146"/>
      <w:r w:rsidRPr="00F153F6">
        <w:rPr>
          <w:rFonts w:ascii="Times New Roman" w:hAnsi="Times New Roman" w:cs="Times New Roman"/>
          <w:sz w:val="32"/>
          <w:szCs w:val="32"/>
        </w:rPr>
        <w:t>3.4 Research Design</w:t>
      </w:r>
      <w:bookmarkEnd w:id="306"/>
      <w:bookmarkEnd w:id="307"/>
      <w:r w:rsidRPr="00F153F6">
        <w:rPr>
          <w:rFonts w:ascii="Times New Roman" w:hAnsi="Times New Roman" w:cs="Times New Roman"/>
          <w:sz w:val="32"/>
          <w:szCs w:val="32"/>
        </w:rPr>
        <w:t xml:space="preserve"> </w:t>
      </w:r>
    </w:p>
    <w:p w14:paraId="540CD675"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The research design integrated a set of methods based on selected research strategies to provide a logical way for addressing the research problem and answering research questions. It provided a blueprint for research sampling, data collection and data analysis. The research design of this study followed the guidance of the Glaserian version of Grounded Theory. This involved the sampling method, data collection and data analysis, with the support of a multiple case study and archival research.</w:t>
      </w:r>
    </w:p>
    <w:p w14:paraId="0B8C1DCD" w14:textId="77777777" w:rsidR="002C1A2F" w:rsidRPr="00F153F6" w:rsidRDefault="002C1A2F" w:rsidP="004424B4">
      <w:pPr>
        <w:pStyle w:val="Heading3"/>
        <w:spacing w:line="360" w:lineRule="auto"/>
        <w:ind w:left="720"/>
        <w:jc w:val="both"/>
        <w:rPr>
          <w:rFonts w:ascii="Times New Roman" w:hAnsi="Times New Roman" w:cs="Times New Roman"/>
          <w:b/>
          <w:color w:val="auto"/>
          <w:sz w:val="28"/>
          <w:szCs w:val="28"/>
        </w:rPr>
      </w:pPr>
      <w:bookmarkStart w:id="308" w:name="_Toc118371123"/>
      <w:bookmarkStart w:id="309" w:name="_Toc133252147"/>
      <w:r w:rsidRPr="00F153F6">
        <w:rPr>
          <w:rFonts w:ascii="Times New Roman" w:hAnsi="Times New Roman" w:cs="Times New Roman"/>
          <w:b/>
          <w:color w:val="auto"/>
          <w:sz w:val="28"/>
          <w:szCs w:val="28"/>
        </w:rPr>
        <w:t>3.4.1 Theoretical Foundation Exploration</w:t>
      </w:r>
      <w:bookmarkEnd w:id="308"/>
      <w:bookmarkEnd w:id="309"/>
    </w:p>
    <w:p w14:paraId="195FE60A"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As required by the Grounded Theory method, the researcher kept an ‘open mind’ at the start of the research. ‘Open mind’ means there should not be any established theories or theoretical frameworks influencing the analytical process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{"citationID":"DGj4w7Gn","properties":{"formattedCitation":"(Glaser &amp; Strauss, 1967)","plainCitation":"(Glaser &amp; Strauss, 1967)","noteIndex":0},"citationItems":[{"id":993,"uris":["http://zotero.org/users/5709166/items/DSF8R6HJ"],"itemData":{"id":993,"type":"book","edition":"4. paperback printing","event-place":"New Brunswick","ISBN":"978-0-202-30260-7","language":"en","note":"OCLC: 553535517","number-of-pages":"271","publisher":"Aldine","publisher-place":"New Brunswick","source":"Gemeinsamer Bibliotheksverbund ISBN","title":"The discovery of grounded theory: strategies for qualitative research","title-short":"The discovery of grounded theory","author":[{"family":"Glaser","given":"Barney G."},{"family":"Strauss","given":"Anselm L."}],"issued":{"date-parts":[["1967"]]}}}],"schema":"https://github.com/citation-style-language/schema/raw/master/csl-citation.json"}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(Glaser &amp; Strauss, 1967)</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This was to help the researcher generate theory from grounded data without being constrained by previous theories or concepts. </w:t>
      </w:r>
    </w:p>
    <w:p w14:paraId="0F08D9B0"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Being open minded does not mean that the researcher should not review any literature on the topic, rather that the researcher needs to conduct the literature review cautiously in order to explore theoretical foundations as the background to the research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{"citationID":"xI7YmX4O","properties":{"formattedCitation":"(Glaser &amp; Strauss, 1967)","plainCitation":"(Glaser &amp; Strauss, 1967)","noteIndex":0},"citationItems":[{"id":993,"uris":["http://zotero.org/users/5709166/items/DSF8R6HJ"],"itemData":{"id":993,"type":"book","edition":"4. paperback printing","event-place":"New Brunswick","ISBN":"978-0-202-30260-7","language":"en","note":"OCLC: 553535517","number-of-pages":"271","publisher":"Aldine","publisher-place":"New Brunswick","source":"Gemeinsamer Bibliotheksverbund ISBN","title":"The discovery of grounded theory: strategies for qualitative research","title-short":"The discovery of grounded theory","author":[{"family":"Glaser","given":"Barney G."},{"family":"Strauss","given":"Anselm L."}],"issued":{"date-parts":[["1967"]]}}}],"schema":"https://github.com/citation-style-language/schema/raw/master/csl-citation.json"}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(Glaser &amp; Strauss, 1967)</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As Glaser and Strauss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{"citationID":"AcwNQycv","properties":{"formattedCitation":"(1967)","plainCitation":"(1967)","noteIndex":0},"citationItems":[{"id":993,"uris":["http://zotero.org/users/5709166/items/DSF8R6HJ"],"itemData":{"id":993,"type":"book","edition":"4. paperback printing","event-place":"New Brunswick","ISBN":"978-0-202-30260-7","language":"en","note":"OCLC: 553535517","number-of-pages":"271","publisher":"Aldine","publisher-place":"New Brunswick","source":"Gemeinsamer Bibliotheksverbund ISBN","title":"The discovery of grounded theory: strategies for qualitative research","title-short":"The discovery of grounded theory","author":[{"family":"Glaser","given":"Barney G."},{"family":"Strauss","given":"Anselm L."}],"issued":{"date-parts":[["1967"]]}},"suppress-author":true}],"schema":"https://github.com/citation-style-language/schema/raw/master/csl-citation.json"}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(1967)</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state, researchers need to have theoretical sensitivity to discover theory from the data analysis. Reviewing literature in the field can greatly expand the theoretical background of the researcher. This enhanced the ability of the researcher to conceptualise theory from the data and thereby improves the researcher’s theoretical sensitivity. </w:t>
      </w:r>
    </w:p>
    <w:p w14:paraId="6193F66C" w14:textId="03E8B0B2"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lastRenderedPageBreak/>
        <w:t xml:space="preserve">Studies in three main fields are discussed and explored as theoretical foundations to formulate the research questions: knowledge exchange, inter-organisational collaboration and ICT. First, knowledge is the core object for knowledge management, and knowledge exchange is an important process in knowledge management. Therefore, understanding the nature of knowledge, knowledge management and knowledge exchange helps to understand what type of knowledge is exchanged and how it is exchanged. This provides a foundation for studying how to conceptualise knowledge exchange processes in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s contexts. Second, inter-organisational relationships, inter-organisational collaboration and the context of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s are discussed, which provide a foundation for empirically exploring collaboration in inter-organisational settings and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s. Third, the discussion of the literature on ICT in relation to IOKE provided a foundation on the overlapping influences of ICT tools on IOKE practices. These theoretical foundations provided insights for the researcher to know how to conduct this research in a specific context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rather than what relevant theories could be considered for data analysis. These foundations help the researcher to “formulate questions that act as a stepping off point during initial observations and interviews”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{"citationID":"a8h6molgbf","properties":{"formattedCitation":"(Strauss &amp; Corbin, 1998, p. 51)","plainCitation":"(Strauss &amp; Corbin, 1998, p. 51)","noteIndex":0},"citationItems":[{"id":2273,"uris":["http://zotero.org/users/5709166/items/3Q6XYZBU"],"itemData":{"id":2273,"type":"book","call-number":"HA29 .S823 1998","edition":"2nd ed","event-place":"Thousand Oaks","ISBN":"978-0-8039-5939-2","language":"en","number-of-pages":"312","publisher":"Sage Publications","publisher-place":"Thousand Oaks","source":"Library of Congress ISBN","title":"Basics of qualitative research: techniques and procedures for developing grounded theory","title-short":"Basics of qualitative research","author":[{"family":"Strauss","given":"Anselm L."},{"family":"Corbin","given":"Juliet M."}],"issued":{"date-parts":[["1998"]]}},"locator":"51"}],"schema":"https://github.com/citation-style-language/schema/raw/master/csl-citation.json"}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(Strauss &amp; Corbin, 1998, p. 51)</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p>
    <w:p w14:paraId="0CBE7F57" w14:textId="77777777" w:rsidR="000543CB" w:rsidRPr="00F153F6" w:rsidRDefault="000543CB" w:rsidP="004424B4">
      <w:pPr>
        <w:spacing w:line="360" w:lineRule="auto"/>
        <w:jc w:val="both"/>
        <w:rPr>
          <w:rFonts w:ascii="Times New Roman" w:hAnsi="Times New Roman" w:cs="Times New Roman"/>
          <w:sz w:val="24"/>
          <w:szCs w:val="24"/>
        </w:rPr>
      </w:pPr>
    </w:p>
    <w:p w14:paraId="04618400" w14:textId="77777777" w:rsidR="002C1A2F" w:rsidRPr="00F153F6" w:rsidRDefault="002C1A2F" w:rsidP="004424B4">
      <w:pPr>
        <w:pStyle w:val="Heading3"/>
        <w:spacing w:line="360" w:lineRule="auto"/>
        <w:ind w:left="720"/>
        <w:jc w:val="both"/>
        <w:rPr>
          <w:rFonts w:ascii="Times New Roman" w:hAnsi="Times New Roman" w:cs="Times New Roman"/>
          <w:b/>
          <w:color w:val="auto"/>
          <w:sz w:val="28"/>
          <w:szCs w:val="28"/>
        </w:rPr>
      </w:pPr>
      <w:bookmarkStart w:id="310" w:name="_Toc118371124"/>
      <w:bookmarkStart w:id="311" w:name="_Toc133252148"/>
      <w:r w:rsidRPr="00F153F6">
        <w:rPr>
          <w:rFonts w:ascii="Times New Roman" w:hAnsi="Times New Roman" w:cs="Times New Roman"/>
          <w:b/>
          <w:color w:val="auto"/>
          <w:sz w:val="28"/>
          <w:szCs w:val="28"/>
        </w:rPr>
        <w:t>3.4.2 Data Collection</w:t>
      </w:r>
      <w:bookmarkEnd w:id="310"/>
      <w:bookmarkEnd w:id="311"/>
    </w:p>
    <w:p w14:paraId="2C11A3A8" w14:textId="77777777" w:rsidR="002C1A2F" w:rsidRPr="00F153F6" w:rsidRDefault="002C1A2F" w:rsidP="004424B4">
      <w:pPr>
        <w:pStyle w:val="Heading4"/>
        <w:spacing w:line="360" w:lineRule="auto"/>
        <w:ind w:left="1440"/>
        <w:jc w:val="both"/>
        <w:rPr>
          <w:rFonts w:ascii="Times New Roman" w:hAnsi="Times New Roman" w:cs="Times New Roman"/>
          <w:color w:val="auto"/>
          <w:sz w:val="28"/>
          <w:szCs w:val="28"/>
        </w:rPr>
      </w:pPr>
      <w:r w:rsidRPr="00F153F6">
        <w:rPr>
          <w:rFonts w:ascii="Times New Roman" w:hAnsi="Times New Roman" w:cs="Times New Roman"/>
          <w:color w:val="auto"/>
          <w:sz w:val="28"/>
          <w:szCs w:val="28"/>
        </w:rPr>
        <w:t xml:space="preserve">3.4.2.1 Sampling Methods </w:t>
      </w:r>
    </w:p>
    <w:p w14:paraId="3BC02B97" w14:textId="3922D7C3"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For a qualitative research, Bryman </w:t>
      </w:r>
      <w:r w:rsidRPr="00F153F6">
        <w:rPr>
          <w:rFonts w:ascii="Times New Roman" w:hAnsi="Times New Roman" w:cs="Times New Roman"/>
          <w:sz w:val="24"/>
          <w:szCs w:val="24"/>
        </w:rPr>
        <w:fldChar w:fldCharType="begin"/>
      </w:r>
      <w:r w:rsidR="00B73834" w:rsidRPr="00F153F6">
        <w:rPr>
          <w:rFonts w:ascii="Times New Roman" w:hAnsi="Times New Roman" w:cs="Times New Roman"/>
          <w:sz w:val="24"/>
          <w:szCs w:val="24"/>
        </w:rPr>
        <w:instrText xml:space="preserve"> ADDIN ZOTERO_ITEM CSL_CITATION {"citationID":"ai1glqnqor","properties":{"formattedCitation":"(2012)","plainCitation":"(2012)","dontUpdate":true,"noteIndex":0},"citationItems":[{"id":2296,"uris":["http://zotero.org/users/5709166/items/GKGEVL25"],"itemData":{"id":2296,"type":"book","call-number":"H62 .B787 2012","edition":"4th ed","event-place":"Oxford ; New York","ISBN":"978-0-19-958805-3","language":"en","number-of-pages":"766","publisher":"Oxford University Press","publisher-place":"Oxford ; New York","source":"Library of Congress ISBN","title":"Social research methods","author":[{"family":"Bryman","given":"Alan"}],"issued":{"date-parts":[["2012"]]}},"suppress-author":true}],"schema":"https://github.com/citation-style-language/schema/raw/master/csl-citation.json"}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(2012, p. 418)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states that “most sampling in qualitative research entails purposive sampling of some kind”. Purposive sampling refers to a non-probability sampling strategy by which the researcher aims not to include participants at random, but to sample cases/participants who are relevant to the research and may provide insights for answering research questions. There are three types of sampling methods for qualitative research including generic purposive sampling, theoretical sampling, and snowball sampling. </w:t>
      </w:r>
    </w:p>
    <w:p w14:paraId="5655053D" w14:textId="64688A93"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b/>
          <w:bCs/>
          <w:sz w:val="24"/>
          <w:szCs w:val="24"/>
        </w:rPr>
        <w:t>Theoretical sampling</w:t>
      </w:r>
      <w:r w:rsidRPr="00F153F6">
        <w:rPr>
          <w:rFonts w:ascii="Times New Roman" w:hAnsi="Times New Roman" w:cs="Times New Roman"/>
          <w:sz w:val="24"/>
          <w:szCs w:val="24"/>
        </w:rPr>
        <w:t xml:space="preserve"> is an ongoing sampling process by which the researcher jointly collects, codes, and analyses data to generate theory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{"citationID":"eFZyv10L","properties":{"formattedCitation":"(Glaser &amp; Strauss, 1967)","plainCitation":"(Glaser &amp; Strauss, 1967)","noteIndex":0},"citationItems":[{"id":993,"uris":["http://zotero.org/users/5709166/items/DSF8R6HJ"],"itemData":{"id":993,"type":"book","edition":"4. paperback printing","event-place":"New Brunswick","ISBN":"978-0-202-30260-7","language":"en","note":"OCLC: 553535517","number-of-pages":"271","publisher":"Aldine","publisher-place":"New Brunswick","source":"Gemeinsamer Bibliotheksverbund ISBN","title":"The discovery of grounded theory: strategies for qualitative research","title-short":"The discovery of grounded theory","author":[{"family":"Glaser","given":"Barney G."},{"family":"Strauss","given":"Anselm L."}],"issued":{"date-parts":[["1967"]]}}}],"schema":"https://github.com/citation-style-language/schema/raw/master/csl-citation.json"}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(Glaser &amp; Strauss, 1967)</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In contrast to other traditional research sampling where data analysis starts after all data is collected, theoretical sampling refers to a process in which data collection and data analysis take place at the same time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{"citationID":"a16hm5lstug","properties":{"formattedCitation":"(Fern\\uc0\\u225{}ndez, 2005)","plainCitation":"(Fernández, 2005)","noteIndex":0},"citationItems":[{"id":2262,"uris":["http://zotero.org/users/5709166/items/65H9K7MR"],"itemData":{"id":2262,"type":"paper-conference","abstract":"While social scientists have been using the grounded theory method for almost 40 years, the IS field has been a late adopter of the methodology. Thus, even as grounded theory’s importance as an IS research method has increased over the last decade, many misconceptions and misunderstandings about the method and its use still exist in our community. This paper presents important aspects of the Glaserian approach to grounded theory studies. The account is based on a personal perspective acquired from both doing grounded theory research and reading the wide grounded theory literature. Readers will benefit by gaining a deeper understanding of the approach, including its nature and benefits as well as its risks and demands. The objective of this paper is to help novice IS researchers interested in theory-building studies to grasp the complexity and nature of the method.","source":"Semantic Scholar","title":"The Grounded Theory Method and Case Study Data in IS Research: Issues and Design","title-short":"The Grounded Theory Method and Case Study Data in IS Research","author":[{"family":"Fernández","given":"Walter D."}],"issued":{"date-parts":[["2005"]]}}}],"schema":"https://github.com/citation-style-language/schema/raw/master/csl-citation.json"}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(Fernández, 2005)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Once data is collected at the first stage, it is coded and analysed immediately, and then the researcher determines what data is needed next and where it can be </w:t>
      </w:r>
      <w:r w:rsidRPr="00F153F6">
        <w:rPr>
          <w:rFonts w:ascii="Times New Roman" w:hAnsi="Times New Roman" w:cs="Times New Roman"/>
          <w:sz w:val="24"/>
          <w:szCs w:val="24"/>
        </w:rPr>
        <w:lastRenderedPageBreak/>
        <w:t xml:space="preserve">collected from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{"citationID":"FzuKbdpn","properties":{"formattedCitation":"(Glaser &amp; Strauss, 1967)","plainCitation":"(Glaser &amp; Strauss, 1967)","noteIndex":0},"citationItems":[{"id":993,"uris":["http://zotero.org/users/5709166/items/DSF8R6HJ"],"itemData":{"id":993,"type":"book","edition":"4. paperback printing","event-place":"New Brunswick","ISBN":"978-0-202-30260-7","language":"en","note":"OCLC: 553535517","number-of-pages":"271","publisher":"Aldine","publisher-place":"New Brunswick","source":"Gemeinsamer Bibliotheksverbund ISBN","title":"The discovery of grounded theory: strategies for qualitative research","title-short":"The discovery of grounded theory","author":[{"family":"Glaser","given":"Barney G."},{"family":"Strauss","given":"Anselm L."}],"issued":{"date-parts":[["1967"]]}}}],"schema":"https://github.com/citation-style-language/schema/raw/master/csl-citation.json"}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(Glaser &amp; Strauss, 1967)</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In this way, the theory </w:t>
      </w:r>
      <w:r w:rsidR="0063077F" w:rsidRPr="00F153F6">
        <w:rPr>
          <w:rFonts w:ascii="Times New Roman" w:hAnsi="Times New Roman" w:cs="Times New Roman"/>
          <w:sz w:val="24"/>
          <w:szCs w:val="24"/>
        </w:rPr>
        <w:t>can</w:t>
      </w:r>
      <w:r w:rsidRPr="00F153F6">
        <w:rPr>
          <w:rFonts w:ascii="Times New Roman" w:hAnsi="Times New Roman" w:cs="Times New Roman"/>
          <w:sz w:val="24"/>
          <w:szCs w:val="24"/>
        </w:rPr>
        <w:t xml:space="preserve"> be generated from the data as data emerges. Theoretical saturation is the main criterion for theoretical sampling and helps the researcher to decide whether they need to stop collecting new data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{"citationID":"a1qo24jpasi","properties":{"formattedCitation":"(Strauss &amp; Corbin, 1998)","plainCitation":"(Strauss &amp; Corbin, 1998)","noteIndex":0},"citationItems":[{"id":2273,"uris":["http://zotero.org/users/5709166/items/3Q6XYZBU"],"itemData":{"id":2273,"type":"book","call-number":"HA29 .S823 1998","edition":"2nd ed","event-place":"Thousand Oaks","ISBN":"978-0-8039-5939-2","language":"en","number-of-pages":"312","publisher":"Sage Publications","publisher-place":"Thousand Oaks","source":"Library of Congress ISBN","title":"Basics of qualitative research: techniques and procedures for developing grounded theory","title-short":"Basics of qualitative research","author":[{"family":"Strauss","given":"Anselm L."},{"family":"Corbin","given":"Juliet M."}],"issued":{"date-parts":[["1998"]]}}}],"schema":"https://github.com/citation-style-language/schema/raw/master/csl-citation.json"}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(Strauss &amp; Corbin, 1998)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which is discussed in section 3.4.3. </w:t>
      </w:r>
    </w:p>
    <w:p w14:paraId="16B6D6A5"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b/>
          <w:bCs/>
          <w:sz w:val="24"/>
          <w:szCs w:val="24"/>
        </w:rPr>
        <w:t>Generic purposive sampling</w:t>
      </w:r>
      <w:r w:rsidRPr="00F153F6">
        <w:rPr>
          <w:rFonts w:ascii="Times New Roman" w:hAnsi="Times New Roman" w:cs="Times New Roman"/>
          <w:sz w:val="24"/>
          <w:szCs w:val="24"/>
        </w:rPr>
        <w:t xml:space="preserve"> refers to sampling being conducted purposively, but not necessarily with regard to the generation of theory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{"citationID":"rLcG35ty","properties":{"formattedCitation":"(Bryman, 2012)","plainCitation":"(Bryman, 2012)","noteIndex":0},"citationItems":[{"id":2296,"uris":["http://zotero.org/users/5709166/items/GKGEVL25"],"itemData":{"id":2296,"type":"book","call-number":"H62 .B787 2012","edition":"4th ed","event-place":"Oxford ; New York","ISBN":"978-0-19-958805-3","language":"en","number-of-pages":"766","publisher":"Oxford University Press","publisher-place":"Oxford ; New York","source":"Library of Congress ISBN","title":"Social research methods","author":[{"family":"Bryman","given":"Alan"}],"issued":{"date-parts":[["2012"]]}}}],"schema":"https://github.com/citation-style-language/schema/raw/master/csl-citation.json"}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(Bryman, 2012)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In generic purposive sampling, the researcher establishes criteria to select appropriate cases and participants from the case for investigation. However, the criteria employed need to be informed by the research questions in order to provide the basis of samples that can provide insights and answers. </w:t>
      </w:r>
    </w:p>
    <w:p w14:paraId="7F55377A"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b/>
          <w:bCs/>
          <w:sz w:val="24"/>
          <w:szCs w:val="24"/>
        </w:rPr>
        <w:t>Snowball sampling</w:t>
      </w:r>
      <w:r w:rsidRPr="00F153F6">
        <w:rPr>
          <w:rFonts w:ascii="Times New Roman" w:hAnsi="Times New Roman" w:cs="Times New Roman"/>
          <w:sz w:val="24"/>
          <w:szCs w:val="24"/>
        </w:rPr>
        <w:t xml:space="preserve"> refers to a sampling method in which the researcher initially samples only a small number of participants to help encourage more participants to join the study for answering research questions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{"citationID":"a1e0n6cdg4f","properties":{"formattedCitation":"(Taherdoost, 2016)","plainCitation":"(Taherdoost, 2016)","noteIndex":0},"citationItems":[{"id":2247,"uris":["http://zotero.org/users/5709166/items/HUL25TPZ"],"itemData":{"id":2247,"type":"article-journal","container-title":"SSRN Electronic Journal","DOI":"10.2139/ssrn.3205035","ISSN":"1556-5068","journalAbbreviation":"SSRN Journal","language":"en","source":"DOI.org (Crossref)","title":"Sampling Methods in Research Methodology; How to Choose a Sampling Technique for Research","URL":"https://www.ssrn.com/abstract=3205035","author":[{"family":"Taherdoost","given":"Hamed"}],"accessed":{"date-parts":[["2020",2,15]]},"issued":{"date-parts":[["2016"]]}}}],"schema":"https://github.com/citation-style-language/schema/raw/master/csl-citation.json"}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(Taherdoost, 2016)</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When the primary group of participants are investigated, they can suggest others who may provide further insights and engage them into the study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{"citationID":"YwNSEib6","properties":{"formattedCitation":"(Bryman, 2012)","plainCitation":"(Bryman, 2012)","noteIndex":0},"citationItems":[{"id":2296,"uris":["http://zotero.org/users/5709166/items/GKGEVL25"],"itemData":{"id":2296,"type":"book","call-number":"H62 .B787 2012","edition":"4th ed","event-place":"Oxford ; New York","ISBN":"978-0-19-958805-3","language":"en","number-of-pages":"766","publisher":"Oxford University Press","publisher-place":"Oxford ; New York","source":"Library of Congress ISBN","title":"Social research methods","author":[{"family":"Bryman","given":"Alan"}],"issued":{"date-parts":[["2012"]]}}}],"schema":"https://github.com/citation-style-language/schema/raw/master/csl-citation.json"}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(Bryman, 2012)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This sampling approach is often employed when the sample is difficult to access due to its closed nature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{"citationID":"a231iusvqvf","properties":{"formattedCitation":"(Brewerton &amp; Millward, 2001)","plainCitation":"(Brewerton &amp; Millward, 2001)","noteIndex":0},"citationItems":[{"id":2246,"uris":["http://zotero.org/users/5709166/items/3SE8IK4C"],"itemData":{"id":2246,"type":"book","abstract":"`This text provides a timely and comprehensive introduction to major research methods in the Organizational sciences. It will be a boon to all students conducting their projects in this area, and may well become a standard reference for staff teaching research methods to undergraduate and postgraduate students of business studies or organizational behaviour' - Professor Neil Anderson, Goldsmiths College, University of London  'This reasonably priced text would provide an invaluable starting point for those considering undertaking research in organisational settings' - Paula Roberts, Nurse Researcher  This book provides the reader with clear pointers for how to conduct organizational research appropriately, through planning and making informed and systematic research decisions, to understanding the ethical implications of applied organizational research, to implementing, reporting and presenting the findings to the highest possible standards. It provides an overview of a wide variety of research strategies, methods of data collection (both qualitative and quantitative) and analysis in a volume accessible to both an undergraduate, postgraduate and practitioner readership alike.   Organizational Research Methods also represents a useful aid to the report writing task, indicating ways in which the project material can be most effectively organised for academic and feedback purposes, and by drawing upon real-life organizational contexts and examples to help the reader understand the core issues. Finally, the book offers a clear, manageable procedure for preparing a presentation to an academic or an organizational audience.  Providing practical guidance on all elements of the research process, this book will be essential reading to all undergraduate and postgraduate students, as well as researchers, in psychology, organizational studies and management disciplines.","ISBN":"978-1-4462-2381-9","language":"en","note":"Google-Books-ID: znGYdZM4EUoC","number-of-pages":"220","publisher":"SAGE","source":"Google Books","title":"Organizational Research Methods: A Guide for Students and Researchers","title-short":"Organizational Research Methods","author":[{"family":"Brewerton","given":"Paul M."},{"family":"Millward","given":"Lynne J."}],"issued":{"date-parts":[["2001",4,6]]}}}],"schema":"https://github.com/citation-style-language/schema/raw/master/csl-citation.json"}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(Brewerton &amp; Millward, 2001)</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p>
    <w:p w14:paraId="033E44BA" w14:textId="1702942E"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This research considers employing both generic purposive sampling and theoretical sampling. This is because there is a need to purposively determine which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project will be the first context to be investigated and which individual will be the first key informant to be interviewed. Based on the research questions, the important criterion for selecting appropriate cases is that the case of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project needs to be an ICT-based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project. The first participant from the project needs to be familiar with their ICT-based IOKE activities. There are currently several ICT-based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s projects affiliated with the ENoLL, covering both completed and active projects. The initial interviewee will likely be the project manager of the selected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who is entirely familiar with the organisations that compose the collaboration, the objectives and the project activities. As this research adopts a multiple case study approach, </w:t>
      </w:r>
      <w:r w:rsidR="00BF50A2" w:rsidRPr="00F153F6">
        <w:rPr>
          <w:rFonts w:ascii="Times New Roman" w:hAnsi="Times New Roman" w:cs="Times New Roman"/>
          <w:sz w:val="24"/>
          <w:szCs w:val="24"/>
        </w:rPr>
        <w:t>the same process is followed for the selection of the initial participants for each case.</w:t>
      </w:r>
      <w:r w:rsidRPr="00F153F6">
        <w:rPr>
          <w:rFonts w:ascii="Times New Roman" w:hAnsi="Times New Roman" w:cs="Times New Roman"/>
          <w:sz w:val="24"/>
          <w:szCs w:val="24"/>
        </w:rPr>
        <w:t xml:space="preserve"> These samples are decided purposively, and thereby a generic purposive sampling is employed. </w:t>
      </w:r>
    </w:p>
    <w:p w14:paraId="06DF3B5C" w14:textId="0602FF58"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Once data is collected from the project manager, analysis is conducted. The decision on the next sample is always made after the analysis of data collected from the previous participant and will stop when theoretical saturation is reached. This reflects the theoretical sampling process, espoused by the Glaserian Grounded theory. Snowball sampling might also be useful </w:t>
      </w:r>
      <w:r w:rsidRPr="00F153F6">
        <w:rPr>
          <w:rFonts w:ascii="Times New Roman" w:hAnsi="Times New Roman" w:cs="Times New Roman"/>
          <w:sz w:val="24"/>
          <w:szCs w:val="24"/>
        </w:rPr>
        <w:lastRenderedPageBreak/>
        <w:t xml:space="preserve">to engage </w:t>
      </w:r>
      <w:r w:rsidR="00BF50A2" w:rsidRPr="00F153F6">
        <w:rPr>
          <w:rFonts w:ascii="Times New Roman" w:hAnsi="Times New Roman" w:cs="Times New Roman"/>
          <w:sz w:val="24"/>
          <w:szCs w:val="24"/>
        </w:rPr>
        <w:t>additional</w:t>
      </w:r>
      <w:r w:rsidRPr="00F153F6">
        <w:rPr>
          <w:rFonts w:ascii="Times New Roman" w:hAnsi="Times New Roman" w:cs="Times New Roman"/>
          <w:sz w:val="24"/>
          <w:szCs w:val="24"/>
        </w:rPr>
        <w:t xml:space="preserve"> participants into the research. However, as this research mainly follows Grounded Theory methodology, the next relevant sample needs to be decided based on the results of data analysis, rather than being suggested by previous participants. Therefore, snowball sampling is not appropriate for this research. </w:t>
      </w:r>
    </w:p>
    <w:p w14:paraId="3CF4FD35" w14:textId="77777777" w:rsidR="002C1A2F" w:rsidRPr="00F153F6" w:rsidRDefault="002C1A2F" w:rsidP="004424B4">
      <w:pPr>
        <w:pStyle w:val="Heading4"/>
        <w:spacing w:line="360" w:lineRule="auto"/>
        <w:ind w:left="1440"/>
        <w:jc w:val="both"/>
        <w:rPr>
          <w:rFonts w:ascii="Times New Roman" w:hAnsi="Times New Roman" w:cs="Times New Roman"/>
          <w:color w:val="auto"/>
          <w:sz w:val="28"/>
          <w:szCs w:val="28"/>
        </w:rPr>
      </w:pPr>
      <w:r w:rsidRPr="00F153F6">
        <w:rPr>
          <w:rFonts w:ascii="Times New Roman" w:hAnsi="Times New Roman" w:cs="Times New Roman"/>
          <w:color w:val="auto"/>
          <w:sz w:val="28"/>
          <w:szCs w:val="28"/>
        </w:rPr>
        <w:t>3.4.2.2 Data Collection Methods</w:t>
      </w:r>
    </w:p>
    <w:p w14:paraId="1DA2C159"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As this research is designed as a qualitative and inductive research for exploratory and explanatory purposes, data collected needs to reflect the practice of reality. Therefore, this research adopts qualitative research data collection methods. There are various different qualitative data collection methods such as qualitative interviews, observations, focus groups and many more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{"citationID":"asarbcscua","properties":{"formattedCitation":"(Bryman, 2012)","plainCitation":"(Bryman, 2012)","noteIndex":0},"citationItems":[{"id":2296,"uris":["http://zotero.org/users/5709166/items/GKGEVL25"],"itemData":{"id":2296,"type":"book","call-number":"H62 .B787 2012","edition":"4th ed","event-place":"Oxford ; New York","ISBN":"978-0-19-958805-3","language":"en","number-of-pages":"766","publisher":"Oxford University Press","publisher-place":"Oxford ; New York","source":"Library of Congress ISBN","title":"Social research methods","author":[{"family":"Bryman","given":"Alan"}],"issued":{"date-parts":[["2012"]]}}}],"schema":"https://github.com/citation-style-language/schema/raw/master/csl-citation.json"}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(Bryman, 2012)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This research considers interviews as an appropriate data collection method for this research, as explained below:</w:t>
      </w:r>
    </w:p>
    <w:p w14:paraId="07E03B7E" w14:textId="760C2D14"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b/>
          <w:bCs/>
          <w:sz w:val="24"/>
          <w:szCs w:val="24"/>
        </w:rPr>
        <w:t>Qualitative Interview</w:t>
      </w:r>
      <w:r w:rsidRPr="00F153F6">
        <w:rPr>
          <w:rFonts w:ascii="Times New Roman" w:hAnsi="Times New Roman" w:cs="Times New Roman"/>
          <w:sz w:val="24"/>
          <w:szCs w:val="24"/>
        </w:rPr>
        <w:t xml:space="preserve">: There are two types of qualitative interview: Unstructured, and Semi-structured. Unstructured interview refers to a non-directed interview in which interview questions are not predetermined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{"citationID":"aot3gea882","properties":{"formattedCitation":"(Bailey, 1994)","plainCitation":"(Bailey, 1994)","noteIndex":0},"citationItems":[{"id":2245,"uris":["http://zotero.org/users/5709166/items/TQLAIY2M"],"itemData":{"id":2245,"type":"book","abstract":"An introduction for undergraduates to every stage of sociological research, showing how to deal effectively with typical problems they might encounter. The book is fully updated to include examples from the LA riots and the 1992 presidential elections.","ISBN":"978-0-02-901279-6","language":"en","note":"Google-Books-ID: PVDQHrCezMoC","number-of-pages":"616","publisher":"Simon and Schuster","source":"Google Books","title":"Methods of Social Research","author":[{"family":"Bailey","given":"Kenneth D."}],"issued":{"date-parts":[["1994"]]}}}],"schema":"https://github.com/citation-style-language/schema/raw/master/csl-citation.json"}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(Bailey, 1994)</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This type of interview guides a more informal and free-flowing interview process, like a conversation. But probing in relation to the research topic is the nature of such an interview based on interviewee’s responses. This allows the researcher to encourage interviewees explore research questions further regardless of prearranged boundaries, which facilitates probing into complicated issues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{"citationID":"a21h104526k","properties":{"formattedCitation":"(Corbin &amp; Morse, 2003)","plainCitation":"(Corbin &amp; Morse, 2003)","noteIndex":0},"citationItems":[{"id":2243,"uris":["http://zotero.org/users/5709166/items/29WCFIVB"],"itemData":{"id":2243,"type":"book","abstract":"Qualitative research using unstructured interviews is frequently reviewed by institu-tional review boards using criteria developed for biomedical research. Unlike biomedical studies, unstructured interactive interviews provide participants considerable control over the interview process, thereby creating a different risk profile. This article examines the interview process and literature for evidence of benefit and harm. Although there is evidence that qualitative interviews may cause some emotional distress, there is no indi-cation that this distress is any greater than in everyday life or that it requires follow-up counseling, although the authors acknowledge distress is always a possibility. Essential to preventing participant distress is the researcher’s interviewing skills and a code of eth-ics. When research is conducted with sensitivity and guided by ethics, it becomes a pro-cess with benefits to both participants and researchers. The authors conclude that quali-tative research using unstructured interviews poses no greater risk than everyday life and expedited reviews are sufficient.","source":"CiteSeer","title":"ARTICLE10.1177/1077800403251757QUALITATIVE INQUIRY / June 2003Corbin, Morse / DEALING WITH SENSITIVE TOPICS The Unstructured Interactive Interview: Issues of Reciprocity and Risks When Dealing With Sensitive Topics","title-short":"ARTICLE10.1177/1077800403251757QUALITATIVE INQUIRY / June 2003Corbin, Morse / DEALING WITH SENSITIVE TOPICS The Unstructured Interactive Interview","author":[{"family":"Corbin","given":"Juliet"},{"family":"Morse","given":"Janice M."}],"issued":{"date-parts":[["2003"]]}}}],"schema":"https://github.com/citation-style-language/schema/raw/master/csl-citation.json"}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(Corbin &amp; Morse, 2003)</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However, as the process is more informal, loss of reliability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{"citationID":"a1q6q4798bl","properties":{"formattedCitation":"(Chilisa, 2012)","plainCitation":"(Chilisa, 2012)","noteIndex":0},"citationItems":[{"id":2244,"uris":["http://zotero.org/users/5709166/items/T5CSTZFZ"],"itemData":{"id":2244,"type":"book","abstract":"Following the increasing emphasis in the classroom and in the field to sensitize researchers and students to diverse epistemologies, methods, and methodologies - especially those of women, minority groups, former colonized societies, indigenous people, historically oppressed communities, and people with disabilities, author Bagele Chilisa has written the first research methods textbook that situates research in a larger, historical, cultural, and global context with case studies from around the globe to make very visible the specific methodologies that are commensurate with the transformative paradigm of research and the historical and cultural traditions of indigenous peoples.Chapters cover the history of research methods, colonial epistemologies, research within postcolonial societies, relational epistemologies, emergent and indigenous methodologies, Afrocentric research, feminist research, language frameworks, interviewing, and building partnerships between researchers and the researched. The book comes replete with traditional textbook features such as key points, exercises, and suggested readings, which makes it ideally suited for graduate courses in research methods, especially in education, health, women's studies, cultural studies, sociology, and related social sciences.","ISBN":"978-1-4129-5882-0","language":"en","note":"Google-Books-ID: kFHUWcIGaMcC","number-of-pages":"369","publisher":"SAGE","source":"Google Books","title":"Indigenous Research Methodologies","author":[{"family":"Chilisa","given":"Bagele"}],"issued":{"date-parts":[["2012"]]}}}],"schema":"https://github.com/citation-style-language/schema/raw/master/csl-citation.json"}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(Chilisa, 2012)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and difficulties for comparing data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{"citationID":"a1c9l0dtauq","properties":{"formattedCitation":"(Patton, 2002)","plainCitation":"(Patton, 2002)","noteIndex":0},"citationItems":[{"id":2242,"uris":["http://zotero.org/users/5709166/items/ZF4SGWD9"],"itemData":{"id":2242,"type":"book","abstract":"Rev. ed. of: Qualitative evaluation and research methods. 2nd ed. 1990; Includes bibliographical references and indexes; The nature of qualitative inquiry -- Strategic themes in qualitative inquiry -- Variety in qualitative inquiry: theoretical orientations -- Particularly appropriate qualitative applications -- Designing qualitative studies -- Fieldwork strategies and observation methods -- Qualitative interviewing -- Qualitative analysis and interpretation -- Enhancing the quality and credibility of qualitative analysis --","language":"eng","number-of-pages":"698","publisher":"Thousand Oaks, Calif. : Sage Publications","source":"Internet Archive","title":"Qualitative research and evaluation methods","URL":"http://archive.org/details/qualitativeresea00patt","author":[{"family":"Patton","given":"Michael Quinn"}],"accessed":{"date-parts":[["2020",2,16]]},"issued":{"date-parts":[["2002"]]}}}],"schema":"https://github.com/citation-style-language/schema/raw/master/csl-citation.json"}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(Patton, 2002)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are potential disadvantages. Semi-structured interviews are also an open qualitative process that allows the researcher to explore new ideas as compared to structured interview questions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{"citationID":"amhag1e33h","properties":{"formattedCitation":"(Edwards &amp; Holland, 2013)","plainCitation":"(Edwards &amp; Holland, 2013)","noteIndex":0},"citationItems":[{"id":2241,"uris":["http://zotero.org/users/5709166/items/FN85QYFV"],"itemData":{"id":2241,"type":"book","abstract":"What is Qualitative Interviewing? is an accessible and comprehensive 'what is' and 'how to' methods book. It is distinctive in emphasising the importance of good practice in understanding and undertaking qualitative interviews within the framework of a clear philosophical position. Rosalind Edwards and Janet Holland provide clear and succinct explanations of a range of philosophies and theories of how to know about the social world, and a thorough discussion of how to go about researching it using interviews. A series of short chapters explain and illustrate a range of interview types and practices. Drawing on their own and colleagues' experiences Holland and Edwards provide real research examples as informative illustrations of qualitative interviewing in practice, and the use of a range of creative interview tools. They discuss the use of new technologies as well as tackling enduring issues around asking and listening and power dynamics in research. Written in a clear and accessible style the book concludes with a useful annotated bibliography of key texts and journals in the field. What is Qualitative Interviewing? provides a vital resource for both new and experienced social science researchers across a range of disciplines.","ISBN":"978-1-84966-802-6","language":"en","note":"Google-Books-ID: GdCOAQAAQBAJ","number-of-pages":"145","publisher":"A&amp;C Black","source":"Google Books","title":"What is Qualitative Interviewing?","author":[{"family":"Edwards","given":"Rosalind"},{"family":"Holland","given":"Janet"}],"issued":{"date-parts":[["2013",11,7]]}}}],"schema":"https://github.com/citation-style-language/schema/raw/master/csl-citation.json"}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(Edwards &amp; Holland, 2013)</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Unlike unstructured interviews, semi-structured interviews are normally accompanied with an interview guide which lists some initial predetermined interview questions to cover specific topics in advance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{"citationID":"iEGw8Hqb","properties":{"formattedCitation":"(Bryman, 2012)","plainCitation":"(Bryman, 2012)","noteIndex":0},"citationItems":[{"id":2296,"uris":["http://zotero.org/users/5709166/items/GKGEVL25"],"itemData":{"id":2296,"type":"book","call-number":"H62 .B787 2012","edition":"4th ed","event-place":"Oxford ; New York","ISBN":"978-0-19-958805-3","language":"en","number-of-pages":"766","publisher":"Oxford University Press","publisher-place":"Oxford ; New York","source":"Library of Congress ISBN","title":"Social research methods","author":[{"family":"Bryman","given":"Alan"}],"issued":{"date-parts":[["2012"]]}}}],"schema":"https://github.com/citation-style-language/schema/raw/master/csl-citation.json"}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(Bryman, 2012)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This type of interview not only helps the researcher and interviewees to focus on specific research topics, but also allows them to</w:t>
      </w:r>
      <w:r w:rsidR="0063077F" w:rsidRPr="00F153F6">
        <w:rPr>
          <w:rFonts w:ascii="Times New Roman" w:hAnsi="Times New Roman" w:cs="Times New Roman"/>
          <w:sz w:val="24"/>
          <w:szCs w:val="24"/>
        </w:rPr>
        <w:t xml:space="preserve"> express their ideas with greater freedom and in more detail</w:t>
      </w:r>
      <w:r w:rsidRPr="00F153F6">
        <w:rPr>
          <w:rFonts w:ascii="Times New Roman" w:hAnsi="Times New Roman" w:cs="Times New Roman"/>
          <w:sz w:val="24"/>
          <w:szCs w:val="24"/>
        </w:rPr>
        <w:t xml:space="preserve">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{"citationID":"AxQBD8cy","properties":{"formattedCitation":"(Edwards &amp; Holland, 2013)","plainCitation":"(Edwards &amp; Holland, 2013)","noteIndex":0},"citationItems":[{"id":2241,"uris":["http://zotero.org/users/5709166/items/FN85QYFV"],"itemData":{"id":2241,"type":"book","abstract":"What is Qualitative Interviewing? is an accessible and comprehensive 'what is' and 'how to' methods book. It is distinctive in emphasising the importance of good practice in understanding and undertaking qualitative interviews within the framework of a clear philosophical position. Rosalind Edwards and Janet Holland provide clear and succinct explanations of a range of philosophies and theories of how to know about the social world, and a thorough discussion of how to go about researching it using interviews. A series of short chapters explain and illustrate a range of interview types and practices. Drawing on their own and colleagues' experiences Holland and Edwards provide real research examples as informative illustrations of qualitative interviewing in practice, and the use of a range of creative interview tools. They discuss the use of new technologies as well as tackling enduring issues around asking and listening and power dynamics in research. Written in a clear and accessible style the book concludes with a useful annotated bibliography of key texts and journals in the field. What is Qualitative Interviewing? provides a vital resource for both new and experienced social science researchers across a range of disciplines.","ISBN":"978-1-84966-802-6","language":"en","note":"Google-Books-ID: GdCOAQAAQBAJ","number-of-pages":"145","publisher":"A&amp;C Black","source":"Google Books","title":"What is Qualitative Interviewing?","author":[{"family":"Edwards","given":"Rosalind"},{"family":"Holland","given":"Janet"}],"issued":{"date-parts":[["2013",11,7]]}}}],"schema":"https://github.com/citation-style-language/schema/raw/master/csl-citation.json"}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(Edwards &amp; Holland, 2013)</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However, the preparation of the interview guide needs to be done carefully to make sure that predetermined questions are not prescriptive or leading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{"citationID":"a1pigjb2o92","properties":{"formattedCitation":"(Cohen, 2008)","plainCitation":"(Cohen, 2008)","noteIndex":0},"citationItems":[{"id":2240,"uris":["http://zotero.org/users/5709166/items/ZSZ6LVQ2"],"itemData":{"id":2240,"type":"book","title":"Qualitative Research Guidelines Project","author":[{"family":"Cohen","given":"D"}],"issued":{"date-parts":[["2008"]]}}}],"schema":"https://github.com/citation-style-language/schema/raw/master/csl-citation.json"}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(Cohen, 2008)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p>
    <w:p w14:paraId="4057012D" w14:textId="3E06AF5E"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core advantage of both unstructured and semi-structured interviews is that they are flexible in dealing with qualitative research questions. However, in this research, the knowledge exchange process in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s is not a concrete process, therefore an unstructured interview </w:t>
      </w:r>
      <w:r w:rsidRPr="00F153F6">
        <w:rPr>
          <w:rFonts w:ascii="Times New Roman" w:hAnsi="Times New Roman" w:cs="Times New Roman"/>
          <w:sz w:val="24"/>
          <w:szCs w:val="24"/>
        </w:rPr>
        <w:lastRenderedPageBreak/>
        <w:t xml:space="preserve">process is too informal to ensure that the topics discussed always remain in focus. Semi-structured interviews can guide the interview process better in relation to the research questions and allows discussions to go further to better understand the phenomenon. Therefore, the semi-structured interview technique </w:t>
      </w:r>
      <w:r w:rsidR="0063077F" w:rsidRPr="00F153F6">
        <w:rPr>
          <w:rFonts w:ascii="Times New Roman" w:hAnsi="Times New Roman" w:cs="Times New Roman"/>
          <w:sz w:val="24"/>
          <w:szCs w:val="24"/>
        </w:rPr>
        <w:t>was</w:t>
      </w:r>
      <w:r w:rsidRPr="00F153F6">
        <w:rPr>
          <w:rFonts w:ascii="Times New Roman" w:hAnsi="Times New Roman" w:cs="Times New Roman"/>
          <w:sz w:val="24"/>
          <w:szCs w:val="24"/>
        </w:rPr>
        <w:t xml:space="preserve"> adopted as a data collection method in this research. This research collected 28 valid in-depth interviews, each lasting around 1 hour. The initial interview questions were well prepared based on the theoretical foundations discussed in section 3.4.1. </w:t>
      </w:r>
    </w:p>
    <w:p w14:paraId="64D50239" w14:textId="3C0A8133"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The interview had been intended to preferably take place face-to-face with public health permit (considering the Covid-19 outbreak), but due to pandemic related restrictions, it became impossible to collect face-to-face interview data. Therefore, all interviews had to be conducted online via digital techniques such as Skype, Google Meet, and Teams at participants’ convenience. In addition, there were three different interview guides to help the researcher ask questions related to this research topic: Interview guides for inception stage, middle stage, and completed stage of the project. Such interview guides work to remind researchers about the research topic and were perceived useful for semi-structured interview. They did not work as a structured question checklist but allowed room for many open and follow-up questions depending on different interviewees’ answers. The interview guide covered topics such as: how do they prepare their work with ICT, which ICT do they frequently use and how do they use the ICT for conducting their project work, and how do they find their usage of ICT or effects of ICT However, besides the common questions for all three different stages, there were also distinctive questions designed for particular project stages (See Appendix</w:t>
      </w:r>
      <w:r w:rsidR="008039B7" w:rsidRPr="00F153F6">
        <w:rPr>
          <w:rFonts w:ascii="Times New Roman" w:hAnsi="Times New Roman" w:cs="Times New Roman"/>
          <w:sz w:val="24"/>
          <w:szCs w:val="24"/>
        </w:rPr>
        <w:t xml:space="preserve"> A-</w:t>
      </w:r>
      <w:r w:rsidR="00523FB2" w:rsidRPr="00F153F6">
        <w:rPr>
          <w:rFonts w:ascii="Times New Roman" w:hAnsi="Times New Roman" w:cs="Times New Roman"/>
          <w:sz w:val="24"/>
          <w:szCs w:val="24"/>
        </w:rPr>
        <w:t>B</w:t>
      </w:r>
      <w:r w:rsidRPr="00F153F6">
        <w:rPr>
          <w:rFonts w:ascii="Times New Roman" w:hAnsi="Times New Roman" w:cs="Times New Roman"/>
          <w:sz w:val="24"/>
          <w:szCs w:val="24"/>
        </w:rPr>
        <w:t xml:space="preserve"> for different interview guides).</w:t>
      </w:r>
    </w:p>
    <w:p w14:paraId="5AC32D9B" w14:textId="3A9A66BC"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b/>
          <w:bCs/>
          <w:sz w:val="24"/>
          <w:szCs w:val="24"/>
        </w:rPr>
        <w:t>Observations</w:t>
      </w:r>
      <w:r w:rsidRPr="00F153F6">
        <w:rPr>
          <w:rFonts w:ascii="Times New Roman" w:hAnsi="Times New Roman" w:cs="Times New Roman"/>
          <w:sz w:val="24"/>
          <w:szCs w:val="24"/>
        </w:rPr>
        <w:t xml:space="preserve">: Observation is described as “one of the oldest and most fundamental research methods approaches. This approach involves collecting data using one’s senses, especially looking and listening in a systematic and meaningful way”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{"citationID":"a14kj86vt96","properties":{"formattedCitation":"(Given, 2008, p. 573)","plainCitation":"(Given, 2008, p. 573)","noteIndex":0},"citationItems":[{"id":2239,"uris":["http://zotero.org/users/5709166/items/NCI2UTNE"],"itemData":{"id":2239,"type":"book","abstract":"Qualitative research is designed to explore the human elements of a given topic, while specific qualitative methods examine how individuals see and experience the world. Qualitative approaches are typically used to explore new phenomena and to capture individuals' thoughts, feelings, or interpretations of meaning and process. Such methods are central to research conducted in education, nursing, sociology, anthropology, information studies, and other disciplines in the humanities, social sciences, and health sciences. Qualitative research projects are informed by a wide range of methodologies and theoretical frameworks.The SAGE Encyclopedia of Qualitative Research Methods presents current and complete information as well as ready-to-use techniques, facts, and examples from the field of qualitative research in a very accessible style. In taking an interdisciplinary approach, these two volumes target a broad audience and fill a gap in the existing reference literature for a general guide to the core concepts that inform qualitative research practices. The entries cover every major facet of qualitative methods, including access to research participants, data coding, research ethics, the role of theory in qualitative research, and much more—all without overwhelming the informed reader.Key FeaturesDefines and explains core concepts, describes the techniques involved in the implementation of qualitative methods, and presents an overview of qualitative approaches to research Offers many entries that point to substantive debates among qualitative researchers regarding how concepts are labeled and the implications of such labels for how qualitative research is valuedGuides readers through the complex landscape of the language of qualitative inquiryIncludes contributors from various countries and disciplines that reflect a diverse spectrum of research approaches from more traditional, positivist approaches, through postmodern, constructionist onesPresents some entries written in first-person voice and others in third-person voice to reflect the diversity of approaches that define qualitative workKey ThemesApproaches and MethodologiesArts-Based Research, Ties toComputer SoftwareData AnalysisData CollectionData Types and CharacteristicsDisseminationHistory of Qualitative ResearchParticipantsQuantitative Research, Ties toResearch EthicsRigorTextual Analysis, Ties toTheoretical and Philosophical FrameworksThe SAGE Encyclopedia of Qualitative Research Methods is designed to appeal to undergraduate and graduate students, practitioners, researchers, consultants, and consumers of information across the social sciences, humanities, and health sciences, making it a welcome addition to any academic or public library.","ISBN":"978-1-4129-4163-1","language":"en","note":"Google-Books-ID: IFrb6IPLISEC","number-of-pages":"1073","publisher":"SAGE","source":"Google Books","title":"The Sage Encyclopedia of Qualitative Research Methods: A-L ; Vol. 2, M-Z Index","title-short":"The Sage Encyclopedia of Qualitative Research Methods","author":[{"family":"Given","given":"Lisa M."}],"issued":{"date-parts":[["2008",8,21]]}},"locator":"573"}],"schema":"https://github.com/citation-style-language/schema/raw/master/csl-citation.json"}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(Given, 2008, p. 573)</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This approach requires the researcher to immerse themselves in the setting, </w:t>
      </w:r>
      <w:r w:rsidR="007972FC" w:rsidRPr="00F153F6">
        <w:rPr>
          <w:rFonts w:ascii="Times New Roman" w:hAnsi="Times New Roman" w:cs="Times New Roman"/>
          <w:sz w:val="24"/>
          <w:szCs w:val="24"/>
        </w:rPr>
        <w:t xml:space="preserve">but only observe and collect further data relevant to the research phenomenon </w:t>
      </w:r>
      <w:r w:rsidRPr="00F153F6">
        <w:rPr>
          <w:rFonts w:ascii="Times New Roman" w:hAnsi="Times New Roman" w:cs="Times New Roman"/>
          <w:sz w:val="24"/>
          <w:szCs w:val="24"/>
        </w:rPr>
        <w:t xml:space="preserve">through taking notes or recording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{"citationID":"a22777k79h7","properties":{"formattedCitation":"(Dudovskiy, 2016)","plainCitation":"(Dudovskiy, 2016)","noteIndex":0},"citationItems":[{"id":2238,"uris":["http://zotero.org/users/5709166/items/3HJCEFIG"],"itemData":{"id":2238,"type":"webpage","abstract":"The Ultimate Guide to Writing a Dissertation contains step-by-step guidance derived from the experience of assisting hundreds of students...","title":"The Ultimate Guide to Writing a Dissertation in Business Studies","URL":"https://www.goodreads.com/work/best_book/56441500-the-ultimate-guide-to-writing-a-dissertation-in-business-studies-a-step","author":[{"family":"Dudovskiy","given":"John"}],"accessed":{"date-parts":[["2020",2,16]]},"issued":{"date-parts":[["2016"]]}}}],"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(Dudovskiy, 2016)</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There are two types of observation data collection methods: structured observation, and unstructured observation. Structured observation, also known as systemic observation, is an approach in which the researcher uses specific collection techniques to observe research phenomenon from afar (without directly being involved in the research setting)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{"citationID":"aok8iu37sr","properties":{"formattedCitation":"(Mintzberg, 2019)","plainCitation":"(Mintzberg, 2019)","noteIndex":0},"citationItems":[{"id":2236,"uris":["http://zotero.org/users/5709166/items/F9728PAA"],"itemData":{"id":2236,"type":"chapter","abstract":"First published in 1998, readers of this volume will get a good overview of research into managerial work. They will learn about: what the researchers have studied; what methods have been used and the criticisms of the limitations of individual methods; the different concepts that have been developed; what has been learnt about managerial work and behaviour from these studies over the years; how this field of study has developed; the main criticisms made of the research; suggestions for future research and future developments. Studies of managerial work have a long history: the first major work was by Sune Carlson in Sweden in 1951 and studies have continued to the present day, mainly in the USA and the UK. The early studies sought to find out what managers actually did, as distinct from the generalized theories of the nature of managerial work. They were part of the new interest of social scientists in finding out what actually happened in organizations in opposition to the general theories that prevailed then. Articles cannot give a complete picture of the field studies that have been such a notable feature of this branch of research, because Carlson’s study, like many of the later ones, was published only as a book. However, they provide all the information that students and researchers need to understand the aim, methods and approaches used by researchers so far and a good guide to the varied possibilities for developing this area of study.","container-title":"Managerial Work","ISBN":"978-0-429-67657-4","language":"en","note":"Google-Books-ID: uKqbDwAAQBAJ","publisher":"Routledge","source":"Google Books","title":"Structured observation as a method to study managerial work","author":[{"family":"Mintzberg","given":"Henry"}],"issued":{"date-parts":[["2019",6,4]]}}}],"schema":"https://github.com/citation-style-language/schema/raw/master/csl-citation.json"}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(Mintzberg, 2019)</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The collection techniques need to be well-defined and follow a well-structured procedural manner in advance in order to code correctly when a specific </w:t>
      </w:r>
      <w:r w:rsidRPr="00F153F6">
        <w:rPr>
          <w:rFonts w:ascii="Times New Roman" w:hAnsi="Times New Roman" w:cs="Times New Roman"/>
          <w:sz w:val="24"/>
          <w:szCs w:val="24"/>
        </w:rPr>
        <w:lastRenderedPageBreak/>
        <w:t xml:space="preserve">behaviour occurs. Unstructured observation refers to a casual observation which is conducted in an open, free manner where every relevant behaviour is observed and recorded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{"citationID":"CCx7tYBT","properties":{"formattedCitation":"(Dudovskiy, 2016)","plainCitation":"(Dudovskiy, 2016)","noteIndex":0},"citationItems":[{"id":2238,"uris":["http://zotero.org/users/5709166/items/3HJCEFIG"],"itemData":{"id":2238,"type":"webpage","abstract":"The Ultimate Guide to Writing a Dissertation contains step-by-step guidance derived from the experience of assisting hundreds of students...","title":"The Ultimate Guide to Writing a Dissertation in Business Studies","URL":"https://www.goodreads.com/work/best_book/56441500-the-ultimate-guide-to-writing-a-dissertation-in-business-studies-a-step","author":[{"family":"Dudovskiy","given":"John"}],"accessed":{"date-parts":[["2020",2,16]]},"issued":{"date-parts":[["2016"]]}}}],"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(Dudovskiy, 2016)</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There is no pre-determined collection techniques or pre-defined schedule.</w:t>
      </w:r>
    </w:p>
    <w:p w14:paraId="0CB9788A" w14:textId="217CE4C5"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Observation </w:t>
      </w:r>
      <w:r w:rsidR="007972FC" w:rsidRPr="00F153F6">
        <w:rPr>
          <w:rFonts w:ascii="Times New Roman" w:hAnsi="Times New Roman" w:cs="Times New Roman"/>
          <w:sz w:val="24"/>
          <w:szCs w:val="24"/>
        </w:rPr>
        <w:t>had been also considered as</w:t>
      </w:r>
      <w:r w:rsidRPr="00F153F6">
        <w:rPr>
          <w:rFonts w:ascii="Times New Roman" w:hAnsi="Times New Roman" w:cs="Times New Roman"/>
          <w:sz w:val="24"/>
          <w:szCs w:val="24"/>
        </w:rPr>
        <w:t xml:space="preserve"> an interesting and useful method to apply in this study. Compared to qualitative interview, one important rationale for selecting observation as a data collection method is that the researcher can gather further data through observations from overt or hidden activities which might be helpful to answer research questions not reflected enough by the interviewees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{"citationID":"w0L4dC5l","properties":{"formattedCitation":"(Bryman, 2012)","plainCitation":"(Bryman, 2012)","noteIndex":0},"citationItems":[{"id":2296,"uris":["http://zotero.org/users/5709166/items/GKGEVL25"],"itemData":{"id":2296,"type":"book","call-number":"H62 .B787 2012","edition":"4th ed","event-place":"Oxford ; New York","ISBN":"978-0-19-958805-3","language":"en","number-of-pages":"766","publisher":"Oxford University Press","publisher-place":"Oxford ; New York","source":"Library of Congress ISBN","title":"Social research methods","author":[{"family":"Bryman","given":"Alan"}],"issued":{"date-parts":[["2012"]]}}}],"schema":"https://github.com/citation-style-language/schema/raw/master/csl-citation.json"}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(Bryman, 2012)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In addition, observation allows the researcher to instil an element of comparability from what they have observed into their questioning of different people (participants), which can make the data more reliable. On the other hand, the presence of an observer might influence the behaviour of research participants, which may impact on primary data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{"citationID":"oiOZ2GaK","properties":{"formattedCitation":"(Dudovskiy, 2016)","plainCitation":"(Dudovskiy, 2016)","noteIndex":0},"citationItems":[{"id":2238,"uris":["http://zotero.org/users/5709166/items/3HJCEFIG"],"itemData":{"id":2238,"type":"webpage","abstract":"The Ultimate Guide to Writing a Dissertation contains step-by-step guidance derived from the experience of assisting hundreds of students...","title":"The Ultimate Guide to Writing a Dissertation in Business Studies","URL":"https://www.goodreads.com/work/best_book/56441500-the-ultimate-guide-to-writing-a-dissertation-in-business-studies-a-step","author":[{"family":"Dudovskiy","given":"John"}],"accessed":{"date-parts":[["2020",2,16]]},"issued":{"date-parts":[["2016"]]}}}],"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(Dudovskiy, 2016)</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and so is a potential drawback of the observation method.</w:t>
      </w:r>
    </w:p>
    <w:p w14:paraId="425208D2" w14:textId="2812E822"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application of the observation method for this research would have been interesting. However, considering the Covid-19 outbreak during the data collection period, most countries were experiencing a lockdown period at this time, and physical workplaces of </w:t>
      </w:r>
      <w:r w:rsidR="00EF5252" w:rsidRPr="00F153F6">
        <w:rPr>
          <w:rFonts w:ascii="Times New Roman" w:hAnsi="Times New Roman" w:cs="Times New Roman"/>
          <w:sz w:val="24"/>
          <w:szCs w:val="24"/>
        </w:rPr>
        <w:t>Living Lab</w:t>
      </w:r>
      <w:r w:rsidRPr="00F153F6">
        <w:rPr>
          <w:rFonts w:ascii="Times New Roman" w:hAnsi="Times New Roman" w:cs="Times New Roman"/>
          <w:sz w:val="24"/>
          <w:szCs w:val="24"/>
        </w:rPr>
        <w:t>s in those places had been closed and so there were less physical workplace activities to observe. Therefore, observations to the real workplace activities of target Living Labs had to be postponed until the Living Labs reopen to the public. An alternative observation approach was therefore requested, that being to observe Living Labs through online web-based meetings. However, there the researcher was not given access to observe online meetings/activities during data collection.</w:t>
      </w:r>
    </w:p>
    <w:p w14:paraId="60292D17"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b/>
          <w:bCs/>
          <w:sz w:val="24"/>
          <w:szCs w:val="24"/>
        </w:rPr>
        <w:t>Focus Group</w:t>
      </w:r>
      <w:r w:rsidRPr="00F153F6">
        <w:rPr>
          <w:rFonts w:ascii="Times New Roman" w:hAnsi="Times New Roman" w:cs="Times New Roman"/>
          <w:sz w:val="24"/>
          <w:szCs w:val="24"/>
        </w:rPr>
        <w:t xml:space="preserve">: A focus group is a group interview technique that allows the researcher to involve more than one participant to join the interview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{"citationID":"XXVw0UKB","properties":{"formattedCitation":"(Bryman, 2012)","plainCitation":"(Bryman, 2012)","noteIndex":0},"citationItems":[{"id":2296,"uris":["http://zotero.org/users/5709166/items/GKGEVL25"],"itemData":{"id":2296,"type":"book","call-number":"H62 .B787 2012","edition":"4th ed","event-place":"Oxford ; New York","ISBN":"978-0-19-958805-3","language":"en","number-of-pages":"766","publisher":"Oxford University Press","publisher-place":"Oxford ; New York","source":"Library of Congress ISBN","title":"Social research methods","author":[{"family":"Bryman","given":"Alan"}],"issued":{"date-parts":[["2012"]]}}}],"schema":"https://github.com/citation-style-language/schema/raw/master/csl-citation.json"}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(Bryman, 2012)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This method emphasises a particular and tightly defined topic that needs to be explored and discussed in-depth in during the group interview. Therefore, participants involved in the focus group normally are required to have certain amount of experience related to the topic. The researcher in a focus group normally plays a moderator role to engage participants to answer research questions. Focus group can be used to explore interactions among different participants and their responses to the topic. In qualitative research, one advantage of using a focus group for data collection is that the researcher can learn how participants exchange their views based on one another’s viewpoints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{"citationID":"a2l638vg3ld","properties":{"formattedCitation":"(Romm, 2014)","plainCitation":"(Romm, 2014)","noteIndex":0},"citationItems":[{"id":2235,"uris":["http://zotero.org/users/5709166/items/858NA6RW"],"itemData":{"id":2235,"type":"article-journal","abstract":"In this article I consider some examples of conducting focus groups in South Africa with school teachers in a manner which takes into account indigenous ways of knowing. Indigenous knowing (within various indigenous cultural heritages) can be defined as linked to processes of people collectively constructing their understandings by experiencing their social being in relation to others. I indicate how the conduct of focus groups can be geared towards taking into account as well as strengthening knowing as a relational activity defined in this way. Once facilitators of focus groups appreciate this epistemology they can set up a climate in which people feel part of a research process of relational discussion around issues raised. This requires an effort on the part of facilitators to make explicit to participants the type of orientation to research that is being encouraged via the focus group session. I offer examples of attempts to practice such an approach to facilitation, including examples of feedback obtained from participants regarding their experience of the research process.URN: http://nbn-resolving.de/urn:nbn:de:0114-fqs150120","container-title":"Forum Qualitative Sozialforschung / Forum: Qualitative Social Research","DOI":"10.17169/fqs-16.1.2087","ISSN":"1438-5627","issue":"1","language":"en","license":"Copyright (c) 2014 Norma Ruth Arlene Romm","source":"www.qualitative-research.net","title":"Conducting Focus Groups in Terms of an Appreciation of Indigenous Ways of Knowing: Some Examples from South Africa","title-short":"Conducting Focus Groups in Terms of an Appreciation of Indigenous Ways of Knowing","URL":"http://www.qualitative-research.net/index.php/fqs/article/view/2087","volume":"16","author":[{"family":"Romm","given":"Norma Ruth Arlene"}],"accessed":{"date-parts":[["2020",2,16]]},"issued":{"date-parts":[["2014",11,24]]}}}],"schema":"https://github.com/citation-style-language/schema/raw/master/csl-citation.json"}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(Romm, 2014)</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However, a dominant group member such as a highly opinionated individual may monopolise the discussion and affect the views and responses </w:t>
      </w:r>
      <w:r w:rsidRPr="00F153F6">
        <w:rPr>
          <w:rFonts w:ascii="Times New Roman" w:hAnsi="Times New Roman" w:cs="Times New Roman"/>
          <w:sz w:val="24"/>
          <w:szCs w:val="24"/>
        </w:rPr>
        <w:lastRenderedPageBreak/>
        <w:t xml:space="preserve">others to the topic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{"citationID":"a2bvmi0ck67","properties":{"formattedCitation":"(Langford &amp; McDonagh, 2003)","plainCitation":"(Langford &amp; McDonagh, 2003)","noteIndex":0},"citationItems":[{"id":2234,"uris":["http://zotero.org/users/5709166/items/NESCEYAW"],"itemData":{"id":2234,"type":"book","abstract":"The focus group is widely used to as a tool for increasing the understanding of users and their requirements, and identifying potential solutions for these requirements. Its main value lies in the conveyance of less tangible information that cannot be obtained using more traditional methods. Eliciting user needs beyond the functional is crucial for effective product and system development. This approach offers one way in which such needs may be elicited. Whilst most texts in this area cater for marketing, political and social science research, this book sets out the way focus groups can be applied particularly to ergonomics (human factors) and design-related projects, and compares their use with other methods. Examples from a wide range of subject areas including IT systems, product design and health and safety research are included. The book demystifies the subject and includes practical guidance on setting up and running focus group sessions, to enable and encourage the professional (and novice) to employ these techniques usefully and with confidence. An ideal book for the professional to the undergraduate student. It is written for both ergonomists and designers.","event-place":"London; New York","ISBN":"9780203302743","language":"en","note":"OCLC: 252888487","publisher":"Taylor &amp; Francis","publisher-place":"London; New York","source":"Open WorldCat","title":"Focus groups: supporting effective product development","title-short":"Focus groups","URL":"http://www.crcnetbase.com/isbn/9780203302743","author":[{"family":"Langford","given":"Joseph D"},{"family":"McDonagh","given":"Deana"}],"accessed":{"date-parts":[["2020",2,16]]},"issued":{"date-parts":[["2003"]]}}}],"schema":"https://github.com/citation-style-language/schema/raw/master/csl-citation.json"}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(Langford &amp; McDonagh, 2003)</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In addition, the researcher themself may influence the result of the discussion as the participant’s are led by the researcher, and thereby may provide answers that they feel are expected of them. The bias of the researcher or dominant group members can significantly influence the result of discussion in the wrong direction. For ethical considerations, focus groups also cannot guarantee a confidential environment as the focus group setting lacks of anonymity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{"citationID":"a1j4h1l33u1","properties":{"formattedCitation":"(Frankfort-Nachmias &amp; Nachmias, 2008)","plainCitation":"(Frankfort-Nachmias &amp; Nachmias, 2008)","noteIndex":0},"citationItems":[{"id":2233,"uris":["http://zotero.org/users/5709166/items/89RXSFPV"],"itemData":{"id":2233,"type":"book","abstract":"This book provides a comprehensive, non-technical introduction to the principal research methods employed in social science. It offers a carefully integrated treatment of its components; research theory, design, data collection and data analysis; and explores the progression from the conceptual and theoretical building blocks of the research process to data analysis and computer applications. Throughout, the authors draw on examples from both classic social science research studies and current social issues to provide students with an historical basis for appreciating how social science research applies to today's concerns.","event-place":"New York","ISBN":"978-0-7167-5519-7","language":"Text in English.","note":"OCLC: 191758154","publisher":"Worth Publishers","publisher-place":"New York","source":"Open WorldCat","title":"Research methods in the social sciences","author":[{"family":"Frankfort-Nachmias","given":"Chava"},{"family":"Nachmias","given":"David"}],"issued":{"date-parts":[["2008"]]}}}],"schema":"https://github.com/citation-style-language/schema/raw/master/csl-citation.json"}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(Frankfort-Nachmias &amp; Nachmias, 2008)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w:t>
      </w:r>
    </w:p>
    <w:p w14:paraId="26B3AC2A" w14:textId="42A8F176"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Although focus groups constitute an interesting method this research, however, did not adopt this approach to collect data. This is because it is difficult to organise all relevant stakeholders together to discuss this research topic, since </w:t>
      </w:r>
      <w:r w:rsidR="00BF50A2" w:rsidRPr="00F153F6">
        <w:rPr>
          <w:rFonts w:ascii="Times New Roman" w:hAnsi="Times New Roman" w:cs="Times New Roman"/>
          <w:sz w:val="24"/>
          <w:szCs w:val="24"/>
        </w:rPr>
        <w:t xml:space="preserve">Living Lab </w:t>
      </w:r>
      <w:r w:rsidRPr="00F153F6">
        <w:rPr>
          <w:rFonts w:ascii="Times New Roman" w:hAnsi="Times New Roman" w:cs="Times New Roman"/>
          <w:sz w:val="24"/>
          <w:szCs w:val="24"/>
        </w:rPr>
        <w:t>project normally need stakeholders to collaborate cross distance. In addition, the study focus here is on how Living Lab stakeholders use ICT to exchange their knowledge, however, the interaction between different stakeholders in focus groups cannot provide many insights into this research topic. Lastly, interviews are assumed to provide sufficient data for this study. Considering the ethical issues, focus groups were not adopted for data collection in this research.</w:t>
      </w:r>
    </w:p>
    <w:p w14:paraId="55E094CF" w14:textId="5023DCAC" w:rsidR="002C1A2F" w:rsidRPr="00F153F6" w:rsidRDefault="002C1A2F" w:rsidP="002D1400">
      <w:pPr>
        <w:pStyle w:val="Heading4"/>
        <w:ind w:left="720" w:firstLine="720"/>
        <w:rPr>
          <w:rFonts w:asciiTheme="majorBidi" w:hAnsiTheme="majorBidi"/>
          <w:b/>
          <w:sz w:val="32"/>
          <w:szCs w:val="32"/>
        </w:rPr>
      </w:pPr>
      <w:bookmarkStart w:id="312" w:name="OLE_LINK211"/>
      <w:bookmarkStart w:id="313" w:name="OLE_LINK212"/>
      <w:r w:rsidRPr="00F153F6">
        <w:rPr>
          <w:rFonts w:asciiTheme="majorBidi" w:hAnsiTheme="majorBidi"/>
          <w:color w:val="auto"/>
          <w:sz w:val="28"/>
          <w:szCs w:val="28"/>
        </w:rPr>
        <w:t>3.4.</w:t>
      </w:r>
      <w:r w:rsidR="003F6426" w:rsidRPr="00F153F6">
        <w:rPr>
          <w:rFonts w:asciiTheme="majorBidi" w:hAnsiTheme="majorBidi"/>
          <w:color w:val="auto"/>
          <w:sz w:val="28"/>
          <w:szCs w:val="28"/>
        </w:rPr>
        <w:t>2.3</w:t>
      </w:r>
      <w:r w:rsidRPr="00F153F6">
        <w:rPr>
          <w:rFonts w:asciiTheme="majorBidi" w:hAnsiTheme="majorBidi"/>
          <w:color w:val="auto"/>
          <w:sz w:val="28"/>
          <w:szCs w:val="28"/>
        </w:rPr>
        <w:t xml:space="preserve"> Sampling Criteria</w:t>
      </w:r>
    </w:p>
    <w:p w14:paraId="23B9A2F7"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order to select cases that are representative for studying the context of European Living Lab, an inclusive criterion is designed </w:t>
      </w:r>
      <w:bookmarkEnd w:id="312"/>
      <w:bookmarkEnd w:id="313"/>
      <w:r w:rsidRPr="00F153F6">
        <w:rPr>
          <w:rFonts w:ascii="Times New Roman" w:hAnsi="Times New Roman" w:cs="Times New Roman"/>
          <w:sz w:val="24"/>
          <w:szCs w:val="24"/>
        </w:rPr>
        <w:t xml:space="preserve">as follows: </w:t>
      </w:r>
    </w:p>
    <w:p w14:paraId="23ADA870" w14:textId="77777777"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Firstly, selected cases need to be projects with Living Lab aspects and located in Europe. Since this research defines the concept of Living Lab as an approach, projects can adapt their Living Lab methodology to fit their own needs: they may use Living Lab either by strictly following a formal Living Lab methodology or having side use of Living Lab approach. Therefore, any projects that have Living Lab aspects can be representative in the context of Living Labs. The location where the project was initiated and organised should be based in Europe, which means only Europe-based Living Lab projects are selected in order to represent cases in the context of European Living Labs.</w:t>
      </w:r>
    </w:p>
    <w:p w14:paraId="582387D5" w14:textId="5A892EE0"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Secondly, selected cases need to be initiated by Living Lab members qualified by ENoLL. ENoLL is recognised as the largest formalised network of Living Labs in Europe and worldwide, registered in the European Union, and aligning with European strategy (Dutilleul et al., 2010; European Commission, 2015; Ruijsink &amp; Smith, 2016). Through a strict assessment process of enrolment based on the Living Labs selection criteria </w:t>
      </w:r>
      <w:r w:rsidR="005E4052" w:rsidRPr="00F153F6">
        <w:rPr>
          <w:rFonts w:ascii="Times New Roman" w:hAnsi="Times New Roman" w:cs="Times New Roman"/>
          <w:sz w:val="24"/>
          <w:szCs w:val="24"/>
        </w:rPr>
        <w:fldChar w:fldCharType="begin"/>
      </w:r>
      <w:r w:rsidR="005E4052" w:rsidRPr="00F153F6">
        <w:rPr>
          <w:rFonts w:ascii="Times New Roman" w:hAnsi="Times New Roman" w:cs="Times New Roman"/>
          <w:sz w:val="24"/>
          <w:szCs w:val="24"/>
        </w:rPr>
        <w:instrText xml:space="preserve"> ADDIN ZOTERO_ITEM CSL_CITATION {"citationID":"8ueOeOWA","properties":{"formattedCitation":"(ENoLL, 2022)","plainCitation":"(ENoLL, 2022)","noteIndex":0},"citationItems":[{"id":10400,"uris":["http://zotero.org/users/5709166/items/2PSWKVIW"],"itemData":{"id":10400,"type":"book","collection-number":"16th","collection-title":"Wave 2022","publisher":"European Network of Living Labs","title":"ENoLL Membership Application Guidelines","URL":"https://enoll.org/wp-content/uploads/2021/12/application-guidelines-wave-2022.pdf","author":[{"family":"ENoLL","given":""}],"accessed":{"date-parts":[["2022",11,18]]},"issued":{"date-parts":[["2022"]]}}}],"schema":"https://github.com/citation-style-language/schema/raw/master/csl-citation.json"} </w:instrText>
      </w:r>
      <w:r w:rsidR="005E4052" w:rsidRPr="00F153F6">
        <w:rPr>
          <w:rFonts w:ascii="Times New Roman" w:hAnsi="Times New Roman" w:cs="Times New Roman"/>
          <w:sz w:val="24"/>
          <w:szCs w:val="24"/>
        </w:rPr>
        <w:fldChar w:fldCharType="separate"/>
      </w:r>
      <w:r w:rsidR="005E4052" w:rsidRPr="00F153F6">
        <w:rPr>
          <w:rFonts w:ascii="Times New Roman" w:hAnsi="Times New Roman" w:cs="Times New Roman"/>
          <w:sz w:val="24"/>
          <w:szCs w:val="24"/>
        </w:rPr>
        <w:t>(ENoLL, 2022)</w:t>
      </w:r>
      <w:r w:rsidR="005E4052"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r w:rsidR="007972FC" w:rsidRPr="00F153F6">
        <w:rPr>
          <w:rFonts w:ascii="Times New Roman" w:hAnsi="Times New Roman" w:cs="Times New Roman"/>
          <w:sz w:val="24"/>
          <w:szCs w:val="24"/>
        </w:rPr>
        <w:t>L</w:t>
      </w:r>
      <w:r w:rsidRPr="00F153F6">
        <w:rPr>
          <w:rFonts w:ascii="Times New Roman" w:hAnsi="Times New Roman" w:cs="Times New Roman"/>
          <w:sz w:val="24"/>
          <w:szCs w:val="24"/>
        </w:rPr>
        <w:t xml:space="preserve">iving </w:t>
      </w:r>
      <w:r w:rsidR="007972FC" w:rsidRPr="00F153F6">
        <w:rPr>
          <w:rFonts w:ascii="Times New Roman" w:hAnsi="Times New Roman" w:cs="Times New Roman"/>
          <w:sz w:val="24"/>
          <w:szCs w:val="24"/>
        </w:rPr>
        <w:t>L</w:t>
      </w:r>
      <w:r w:rsidRPr="00F153F6">
        <w:rPr>
          <w:rFonts w:ascii="Times New Roman" w:hAnsi="Times New Roman" w:cs="Times New Roman"/>
          <w:sz w:val="24"/>
          <w:szCs w:val="24"/>
        </w:rPr>
        <w:t xml:space="preserve">abs qualified by ENoLL are more likely to initiate Living Lab-based projects in </w:t>
      </w:r>
      <w:r w:rsidR="005E4052" w:rsidRPr="00F153F6">
        <w:rPr>
          <w:rFonts w:ascii="Times New Roman" w:hAnsi="Times New Roman" w:cs="Times New Roman"/>
          <w:sz w:val="24"/>
          <w:szCs w:val="24"/>
        </w:rPr>
        <w:t>reality</w:t>
      </w:r>
      <w:r w:rsidRPr="00F153F6">
        <w:rPr>
          <w:rFonts w:ascii="Times New Roman" w:hAnsi="Times New Roman" w:cs="Times New Roman"/>
          <w:sz w:val="24"/>
          <w:szCs w:val="24"/>
        </w:rPr>
        <w:t xml:space="preserve"> (ENoLL, 2016). As registered in European </w:t>
      </w:r>
      <w:r w:rsidR="007972FC" w:rsidRPr="00F153F6">
        <w:rPr>
          <w:rFonts w:ascii="Times New Roman" w:hAnsi="Times New Roman" w:cs="Times New Roman"/>
          <w:sz w:val="24"/>
          <w:szCs w:val="24"/>
        </w:rPr>
        <w:t>Union, ENoLL</w:t>
      </w:r>
      <w:r w:rsidRPr="00F153F6">
        <w:rPr>
          <w:rFonts w:ascii="Times New Roman" w:hAnsi="Times New Roman" w:cs="Times New Roman"/>
          <w:sz w:val="24"/>
          <w:szCs w:val="24"/>
        </w:rPr>
        <w:t xml:space="preserve"> has qualified many Living Lab </w:t>
      </w:r>
      <w:r w:rsidRPr="00F153F6">
        <w:rPr>
          <w:rFonts w:ascii="Times New Roman" w:hAnsi="Times New Roman" w:cs="Times New Roman"/>
          <w:sz w:val="24"/>
          <w:szCs w:val="24"/>
        </w:rPr>
        <w:lastRenderedPageBreak/>
        <w:t>projects including those funded by European 8th framework programme - Horizon 2020</w:t>
      </w:r>
      <w:r w:rsidR="005E4052" w:rsidRPr="00F153F6">
        <w:rPr>
          <w:rFonts w:ascii="Times New Roman" w:hAnsi="Times New Roman" w:cs="Times New Roman"/>
          <w:sz w:val="24"/>
          <w:szCs w:val="24"/>
        </w:rPr>
        <w:t>.</w:t>
      </w:r>
      <w:r w:rsidRPr="00F153F6">
        <w:rPr>
          <w:rFonts w:ascii="Times New Roman" w:hAnsi="Times New Roman" w:cs="Times New Roman"/>
          <w:sz w:val="24"/>
          <w:szCs w:val="24"/>
        </w:rPr>
        <w:t xml:space="preserve"> These projects are organised by specific </w:t>
      </w:r>
      <w:r w:rsidR="00BF50A2" w:rsidRPr="00F153F6">
        <w:rPr>
          <w:rFonts w:ascii="Times New Roman" w:hAnsi="Times New Roman" w:cs="Times New Roman"/>
          <w:sz w:val="24"/>
          <w:szCs w:val="24"/>
        </w:rPr>
        <w:t xml:space="preserve">Living Labs </w:t>
      </w:r>
      <w:r w:rsidRPr="00F153F6">
        <w:rPr>
          <w:rFonts w:ascii="Times New Roman" w:hAnsi="Times New Roman" w:cs="Times New Roman"/>
          <w:sz w:val="24"/>
          <w:szCs w:val="24"/>
        </w:rPr>
        <w:t xml:space="preserve">teamed up with various collaborative organisations. Therefore, these projects are also considered as suitable cases for this research to study the context of European Living Labs. </w:t>
      </w:r>
    </w:p>
    <w:p w14:paraId="32F3621F" w14:textId="6B730E17" w:rsidR="003F6426"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Thirdly, selected cases need to align with some sort of European policy or contribute to address some European objectives. Living Labs created in Europe originally were expected to enhance European innovation and contribute to European economic growth</w:t>
      </w:r>
      <w:r w:rsidR="005E4052" w:rsidRPr="00F153F6">
        <w:rPr>
          <w:rFonts w:ascii="Times New Roman" w:hAnsi="Times New Roman" w:cs="Times New Roman"/>
          <w:sz w:val="24"/>
          <w:szCs w:val="24"/>
        </w:rPr>
        <w:t xml:space="preserve"> </w:t>
      </w:r>
      <w:r w:rsidR="005E4052" w:rsidRPr="00F153F6">
        <w:rPr>
          <w:rFonts w:ascii="Times New Roman" w:hAnsi="Times New Roman" w:cs="Times New Roman"/>
          <w:sz w:val="24"/>
          <w:szCs w:val="24"/>
        </w:rPr>
        <w:fldChar w:fldCharType="begin"/>
      </w:r>
      <w:r w:rsidR="005E4052" w:rsidRPr="00F153F6">
        <w:rPr>
          <w:rFonts w:ascii="Times New Roman" w:hAnsi="Times New Roman" w:cs="Times New Roman"/>
          <w:sz w:val="24"/>
          <w:szCs w:val="24"/>
        </w:rPr>
        <w:instrText xml:space="preserve"> ADDIN ZOTERO_ITEM CSL_CITATION {"citationID":"evJePRPd","properties":{"formattedCitation":"(Leminen &amp; Westerlund, 2019; The Helsinki Manifesto, 2006)","plainCitation":"(Leminen &amp; Westerlund, 2019; The Helsinki Manifesto, 2006)","noteIndex":0},"citationItems":[{"id":132,"uris":["http://zotero.org/users/5709166/items/8UFFAUKR"],"itemData":{"id":132,"type":"article-journal","abstract":"This study explores the emergence of the living labs movement based on a literature review and interviews with experts acquainted with early living labs. The study contributes to the growing literature on innovation through living labs by addressing a research gap on why and how this movement is evolving. So doing, the study discusses the emergence of living labs from the perspectives of: (i) early living lab pioneers; (ii) early living lab activities in Europe, especially at Nokia Corporation; (iii) EU funding that supported the creation of living labs; (iv) national living lab networks; and (v) the multinational European Network of Living Labs (ENoLL). Moreover, upon highlighting major events in the emergence of living labs, the study identifies three consecutive phases of the global living lab movement: (i) toward a new paradigm; (ii) learning from experience; and (iii) professional living labs.","container-title":"Creativity and Innovation Management","DOI":"10.1111/caim.12310","ISSN":"1467-8691","issue":"2","language":"en","note":"_eprint: https://onlinelibrary.wiley.com/doi/pdf/10.1111/caim.12310","page":"250-264","source":"Wiley Online Library","title":"Living labs: From scattered initiatives to a global movement","title-short":"Living labs","volume":"28","author":[{"family":"Leminen","given":"Seppo"},{"family":"Westerlund","given":"Mika"}],"issued":{"date-parts":[["2019"]]}}},{"id":127,"uris":["http://zotero.org/users/5709166/items/FTARWZJ9"],"itemData":{"id":127,"type":"paper-conference","title":"We have to move fast, before it is too late","URL":"http://elivinglab.org/files/Helsinki_Manifesto_201106.pdf","author":[{"family":"The Helsinki Manifesto","given":""}],"accessed":{"date-parts":[["2020",9,22]]},"issued":{"date-parts":[["2006"]]}}}],"schema":"https://github.com/citation-style-language/schema/raw/master/csl-citation.json"} </w:instrText>
      </w:r>
      <w:r w:rsidR="005E4052" w:rsidRPr="00F153F6">
        <w:rPr>
          <w:rFonts w:ascii="Times New Roman" w:hAnsi="Times New Roman" w:cs="Times New Roman"/>
          <w:sz w:val="24"/>
          <w:szCs w:val="24"/>
        </w:rPr>
        <w:fldChar w:fldCharType="separate"/>
      </w:r>
      <w:r w:rsidR="005E4052" w:rsidRPr="00F153F6">
        <w:rPr>
          <w:rFonts w:ascii="Times New Roman" w:hAnsi="Times New Roman" w:cs="Times New Roman"/>
          <w:sz w:val="24"/>
          <w:szCs w:val="24"/>
        </w:rPr>
        <w:t>(Leminen &amp; Westerlund, 2019; The Helsinki Manifesto, 2006)</w:t>
      </w:r>
      <w:r w:rsidR="005E4052" w:rsidRPr="00F153F6">
        <w:rPr>
          <w:rFonts w:ascii="Times New Roman" w:hAnsi="Times New Roman" w:cs="Times New Roman"/>
          <w:sz w:val="24"/>
          <w:szCs w:val="24"/>
        </w:rPr>
        <w:fldChar w:fldCharType="end"/>
      </w:r>
      <w:r w:rsidRPr="00F153F6">
        <w:rPr>
          <w:rFonts w:ascii="Times New Roman" w:hAnsi="Times New Roman" w:cs="Times New Roman"/>
          <w:sz w:val="24"/>
          <w:szCs w:val="24"/>
        </w:rPr>
        <w:t>. Nowadays,</w:t>
      </w:r>
      <w:r w:rsidRPr="00F153F6" w:rsidDel="00C1097F">
        <w:rPr>
          <w:rFonts w:ascii="Times New Roman" w:hAnsi="Times New Roman" w:cs="Times New Roman"/>
          <w:sz w:val="24"/>
          <w:szCs w:val="24"/>
        </w:rPr>
        <w:t xml:space="preserve"> </w:t>
      </w:r>
      <w:r w:rsidRPr="00F153F6">
        <w:rPr>
          <w:rFonts w:ascii="Times New Roman" w:hAnsi="Times New Roman" w:cs="Times New Roman"/>
          <w:sz w:val="24"/>
          <w:szCs w:val="24"/>
        </w:rPr>
        <w:t>these expectations remain and have been further developed to fit with various European policies and objectives, which are reflected as a general aim or specific objectives in the majority of European Living Labs. For example, the majority of Living Lab projects have clearly stated that they have a focus on involving various partners working together to co-create towards innovation, thereby addressing a crucial EU objective for open innovation – “Open innovation, open science and open to the world are the three main policy goals for EU research and innovation”</w:t>
      </w:r>
      <w:r w:rsidR="005E4052" w:rsidRPr="00F153F6">
        <w:rPr>
          <w:rFonts w:ascii="Times New Roman" w:hAnsi="Times New Roman" w:cs="Times New Roman"/>
          <w:sz w:val="24"/>
          <w:szCs w:val="24"/>
        </w:rPr>
        <w:t xml:space="preserve"> </w:t>
      </w:r>
      <w:r w:rsidR="005E4052" w:rsidRPr="00F153F6">
        <w:rPr>
          <w:rFonts w:ascii="Times New Roman" w:hAnsi="Times New Roman" w:cs="Times New Roman"/>
          <w:sz w:val="24"/>
          <w:szCs w:val="24"/>
        </w:rPr>
        <w:fldChar w:fldCharType="begin"/>
      </w:r>
      <w:r w:rsidR="005E4052" w:rsidRPr="00F153F6">
        <w:rPr>
          <w:rFonts w:ascii="Times New Roman" w:hAnsi="Times New Roman" w:cs="Times New Roman"/>
          <w:sz w:val="24"/>
          <w:szCs w:val="24"/>
        </w:rPr>
        <w:instrText xml:space="preserve"> ADDIN ZOTERO_ITEM CSL_CITATION {"citationID":"GW5Qrv9S","properties":{"formattedCitation":"(European Union, 2016 Official Website)","plainCitation":"(European Union, 2016 Official Website)","noteIndex":0},"citationItems":[{"id":121,"uris":["http://zotero.org/users/5709166/items/JUFZDDZK"],"itemData":{"id":121,"type":"webpage","abstract":"Open innovation, open science and open to the world are the 3 main policy goals for EU research and innovation.","container-title":"European Commission - European Commission","genre":"Text","language":"en","title":"Goals of research and innovation policy","URL":"https://ec.europa.eu/info/research-and-innovation/strategy/goals-research-and-innovation-policy_en","author":[{"family":"European Union","given":""}],"accessed":{"date-parts":[["2020",10,6]]},"issued":{"date-parts":[["2016"]]}},"label":"page","suffix":"Official Website"}],"schema":"https://github.com/citation-style-language/schema/raw/master/csl-citation.json"} </w:instrText>
      </w:r>
      <w:r w:rsidR="005E4052" w:rsidRPr="00F153F6">
        <w:rPr>
          <w:rFonts w:ascii="Times New Roman" w:hAnsi="Times New Roman" w:cs="Times New Roman"/>
          <w:sz w:val="24"/>
          <w:szCs w:val="24"/>
        </w:rPr>
        <w:fldChar w:fldCharType="separate"/>
      </w:r>
      <w:r w:rsidR="005E4052" w:rsidRPr="00F153F6">
        <w:rPr>
          <w:rFonts w:ascii="Times New Roman" w:hAnsi="Times New Roman" w:cs="Times New Roman"/>
          <w:sz w:val="24"/>
          <w:szCs w:val="24"/>
        </w:rPr>
        <w:t>(European Union, 2016 Official Website)</w:t>
      </w:r>
      <w:r w:rsidR="005E4052"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ENoLL has advocated this policy since its establishment </w:t>
      </w:r>
      <w:r w:rsidR="005E4052" w:rsidRPr="00F153F6">
        <w:rPr>
          <w:rFonts w:ascii="Times New Roman" w:hAnsi="Times New Roman" w:cs="Times New Roman"/>
          <w:sz w:val="24"/>
          <w:szCs w:val="24"/>
        </w:rPr>
        <w:fldChar w:fldCharType="begin"/>
      </w:r>
      <w:r w:rsidR="005E4052" w:rsidRPr="00F153F6">
        <w:rPr>
          <w:rFonts w:ascii="Times New Roman" w:hAnsi="Times New Roman" w:cs="Times New Roman"/>
          <w:sz w:val="24"/>
          <w:szCs w:val="24"/>
        </w:rPr>
        <w:instrText xml:space="preserve"> ADDIN ZOTERO_ITEM CSL_CITATION {"citationID":"IIwjlLhz","properties":{"formattedCitation":"(The Helsinki Manifesto, 2006)","plainCitation":"(The Helsinki Manifesto, 2006)","noteIndex":0},"citationItems":[{"id":127,"uris":["http://zotero.org/users/5709166/items/FTARWZJ9"],"itemData":{"id":127,"type":"paper-conference","title":"We have to move fast, before it is too late","URL":"http://elivinglab.org/files/Helsinki_Manifesto_201106.pdf","author":[{"family":"The Helsinki Manifesto","given":""}],"accessed":{"date-parts":[["2020",9,22]]},"issued":{"date-parts":[["2006"]]}}}],"schema":"https://github.com/citation-style-language/schema/raw/master/csl-citation.json"} </w:instrText>
      </w:r>
      <w:r w:rsidR="005E4052" w:rsidRPr="00F153F6">
        <w:rPr>
          <w:rFonts w:ascii="Times New Roman" w:hAnsi="Times New Roman" w:cs="Times New Roman"/>
          <w:sz w:val="24"/>
          <w:szCs w:val="24"/>
        </w:rPr>
        <w:fldChar w:fldCharType="separate"/>
      </w:r>
      <w:r w:rsidR="005E4052" w:rsidRPr="00F153F6">
        <w:rPr>
          <w:rFonts w:ascii="Times New Roman" w:hAnsi="Times New Roman" w:cs="Times New Roman"/>
          <w:sz w:val="24"/>
          <w:szCs w:val="24"/>
        </w:rPr>
        <w:t>(The Helsinki Manifesto, 2006)</w:t>
      </w:r>
      <w:r w:rsidR="005E4052" w:rsidRPr="00F153F6">
        <w:rPr>
          <w:rFonts w:ascii="Times New Roman" w:hAnsi="Times New Roman" w:cs="Times New Roman"/>
          <w:sz w:val="24"/>
          <w:szCs w:val="24"/>
        </w:rPr>
        <w:fldChar w:fldCharType="end"/>
      </w:r>
      <w:r w:rsidRPr="00F153F6">
        <w:rPr>
          <w:rFonts w:ascii="Times New Roman" w:hAnsi="Times New Roman" w:cs="Times New Roman"/>
          <w:sz w:val="24"/>
          <w:szCs w:val="24"/>
        </w:rPr>
        <w:t>, and over the years through deep collaboration with the European Commission, ENoLL has now guided and developed Living Labs towards a tool that breaks innovation barriers in the context of European innovation partnerships</w:t>
      </w:r>
      <w:r w:rsidR="005E4052" w:rsidRPr="00F153F6">
        <w:rPr>
          <w:rFonts w:ascii="Times New Roman" w:hAnsi="Times New Roman" w:cs="Times New Roman"/>
          <w:sz w:val="24"/>
          <w:szCs w:val="24"/>
        </w:rPr>
        <w:t xml:space="preserve"> </w:t>
      </w:r>
      <w:r w:rsidR="005E4052" w:rsidRPr="00F153F6">
        <w:rPr>
          <w:rFonts w:ascii="Times New Roman" w:hAnsi="Times New Roman" w:cs="Times New Roman"/>
          <w:sz w:val="24"/>
          <w:szCs w:val="24"/>
        </w:rPr>
        <w:fldChar w:fldCharType="begin"/>
      </w:r>
      <w:r w:rsidR="005E4052" w:rsidRPr="00F153F6">
        <w:rPr>
          <w:rFonts w:ascii="Times New Roman" w:hAnsi="Times New Roman" w:cs="Times New Roman"/>
          <w:sz w:val="24"/>
          <w:szCs w:val="24"/>
        </w:rPr>
        <w:instrText xml:space="preserve"> ADDIN ZOTERO_ITEM CSL_CITATION {"citationID":"G3Q5TME5","properties":{"formattedCitation":"(Aversano, 2016)","plainCitation":"(Aversano, 2016)","noteIndex":0},"citationItems":[{"id":123,"uris":["http://zotero.org/users/5709166/items/BV7BI9GE"],"itemData":{"id":123,"type":"webpage","abstract":"ENoLL is an enthusiastic and active partner of the Open Innovation 2.0 community Forum encompassing innovation experts, policy-makers, academics and citizens. This is the result of an ongoing dialogue with DG CONNECT's Open Innovation Strategy and Policy Group (OISPG) that believes in Living labs as creators of attractive innovation ecosystems following the quadruple helix innovation model","container-title":"Shaping Europe’s digital future - European Commission","genre":"Text","language":"en","title":"The European Network of Living Labs (ENoLL) explained","URL":"https://ec.europa.eu/digital-single-market/en/news/european-network-living-labs-enoll-explained","author":[{"family":"Aversano","given":"Paolo"}],"accessed":{"date-parts":[["2020",10,4]]},"issued":{"date-parts":[["2016",12,14]]}}}],"schema":"https://github.com/citation-style-language/schema/raw/master/csl-citation.json"} </w:instrText>
      </w:r>
      <w:r w:rsidR="005E4052" w:rsidRPr="00F153F6">
        <w:rPr>
          <w:rFonts w:ascii="Times New Roman" w:hAnsi="Times New Roman" w:cs="Times New Roman"/>
          <w:sz w:val="24"/>
          <w:szCs w:val="24"/>
        </w:rPr>
        <w:fldChar w:fldCharType="separate"/>
      </w:r>
      <w:r w:rsidR="005E4052" w:rsidRPr="00F153F6">
        <w:rPr>
          <w:rFonts w:ascii="Times New Roman" w:hAnsi="Times New Roman" w:cs="Times New Roman"/>
          <w:sz w:val="24"/>
          <w:szCs w:val="24"/>
        </w:rPr>
        <w:t>(Aversano, 2016)</w:t>
      </w:r>
      <w:r w:rsidR="005E4052"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In addition, there are some EU-funded Living Lab projects that focus on how scientific results are communicated and perceived by citizens, which addresses other EU objectives such as “Taking stock and re-examining the role of science communication” </w:t>
      </w:r>
      <w:r w:rsidR="005E4052" w:rsidRPr="00F153F6">
        <w:rPr>
          <w:rFonts w:ascii="Times New Roman" w:hAnsi="Times New Roman" w:cs="Times New Roman"/>
          <w:sz w:val="24"/>
          <w:szCs w:val="24"/>
        </w:rPr>
        <w:fldChar w:fldCharType="begin"/>
      </w:r>
      <w:r w:rsidR="00901E4A" w:rsidRPr="00F153F6">
        <w:rPr>
          <w:rFonts w:ascii="Times New Roman" w:hAnsi="Times New Roman" w:cs="Times New Roman"/>
          <w:sz w:val="24"/>
          <w:szCs w:val="24"/>
        </w:rPr>
        <w:instrText xml:space="preserve"> ADDIN ZOTERO_ITEM CSL_CITATION {"citationID":"J8uafP5l","properties":{"formattedCitation":"(European Commission, 2017 Website)","plainCitation":"(European Commission, 2017 Website)","noteIndex":0},"citationItems":[{"id":122,"uris":["http://zotero.org/users/5709166/items/VXEUELNH"],"itemData":{"id":122,"type":"webpage","abstract":"SwafS-19-2018-2019-2020","container-title":"CORDIS | European Commission","language":"en","title":"Taking stock and re-examining the role of science communication | Programme | H2020","URL":"https://cordis.europa.eu/programme/id/H2020_SwafS-19-2018-2019","author":[{"family":"European Commission","given":""}],"accessed":{"date-parts":[["2020",10,5]]},"issued":{"date-parts":[["2017"]]}},"label":"page","suffix":"Website"}],"schema":"https://github.com/citation-style-language/schema/raw/master/csl-citation.json"} </w:instrText>
      </w:r>
      <w:r w:rsidR="005E4052" w:rsidRPr="00F153F6">
        <w:rPr>
          <w:rFonts w:ascii="Times New Roman" w:hAnsi="Times New Roman" w:cs="Times New Roman"/>
          <w:sz w:val="24"/>
          <w:szCs w:val="24"/>
        </w:rPr>
        <w:fldChar w:fldCharType="separate"/>
      </w:r>
      <w:r w:rsidR="00901E4A" w:rsidRPr="00F153F6">
        <w:rPr>
          <w:rFonts w:ascii="Times New Roman" w:hAnsi="Times New Roman" w:cs="Times New Roman"/>
          <w:sz w:val="24"/>
          <w:szCs w:val="24"/>
        </w:rPr>
        <w:t>(European Commission, 2017 Website)</w:t>
      </w:r>
      <w:r w:rsidR="005E4052" w:rsidRPr="00F153F6">
        <w:rPr>
          <w:rFonts w:ascii="Times New Roman" w:hAnsi="Times New Roman" w:cs="Times New Roman"/>
          <w:sz w:val="24"/>
          <w:szCs w:val="24"/>
        </w:rPr>
        <w:fldChar w:fldCharType="end"/>
      </w:r>
      <w:r w:rsidR="00901E4A" w:rsidRPr="00F153F6">
        <w:rPr>
          <w:rFonts w:ascii="Times New Roman" w:hAnsi="Times New Roman" w:cs="Times New Roman"/>
          <w:sz w:val="24"/>
          <w:szCs w:val="24"/>
        </w:rPr>
        <w:t xml:space="preserve">. </w:t>
      </w:r>
      <w:r w:rsidRPr="00F153F6">
        <w:rPr>
          <w:rFonts w:ascii="Times New Roman" w:hAnsi="Times New Roman" w:cs="Times New Roman"/>
          <w:sz w:val="24"/>
          <w:szCs w:val="24"/>
        </w:rPr>
        <w:t xml:space="preserve">Aligning with EU policies or objectives is an important European dimension for a European-based project. Therefore, it is crucial that the selected European Living Labs projects should also have such European dimension so that they can be representative cases in the context of European Living Labs. </w:t>
      </w:r>
    </w:p>
    <w:p w14:paraId="341A9B3A" w14:textId="36EC144B" w:rsidR="003F6426" w:rsidRPr="00F153F6" w:rsidRDefault="003F6426" w:rsidP="003F6426">
      <w:pPr>
        <w:pStyle w:val="Heading4"/>
        <w:ind w:left="720" w:firstLine="720"/>
        <w:rPr>
          <w:rFonts w:ascii="Times New Roman" w:hAnsi="Times New Roman" w:cs="Times New Roman"/>
          <w:sz w:val="24"/>
          <w:szCs w:val="24"/>
        </w:rPr>
      </w:pPr>
      <w:r w:rsidRPr="00F153F6">
        <w:rPr>
          <w:rFonts w:ascii="Times New Roman" w:hAnsi="Times New Roman" w:cs="Times New Roman"/>
          <w:color w:val="000000" w:themeColor="text1"/>
          <w:sz w:val="28"/>
          <w:szCs w:val="28"/>
        </w:rPr>
        <w:t>3.4.2.4 Overview of the Data Collection Results</w:t>
      </w:r>
    </w:p>
    <w:p w14:paraId="37F084AA" w14:textId="6E057AA1" w:rsidR="003F6426" w:rsidRPr="00F153F6" w:rsidRDefault="003F6426" w:rsidP="003F6426">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Overall, this research has collected data from </w:t>
      </w:r>
      <w:r w:rsidR="003C18C2" w:rsidRPr="00F153F6">
        <w:rPr>
          <w:rFonts w:ascii="Times New Roman" w:hAnsi="Times New Roman" w:cs="Times New Roman"/>
          <w:sz w:val="24"/>
          <w:szCs w:val="24"/>
        </w:rPr>
        <w:t xml:space="preserve">16 </w:t>
      </w:r>
      <w:r w:rsidRPr="00F153F6">
        <w:rPr>
          <w:rFonts w:ascii="Times New Roman" w:hAnsi="Times New Roman" w:cs="Times New Roman"/>
          <w:sz w:val="24"/>
          <w:szCs w:val="24"/>
        </w:rPr>
        <w:t>European Living Labs projects (4 in inception stage, 4 in middle stage, and 8 in completed stage) and 28 interviews with different types of stakeholders, based on the sample selection criteria. Table 3.1 shows the collected project information and data collection information.</w:t>
      </w:r>
    </w:p>
    <w:p w14:paraId="5D24B195" w14:textId="77777777" w:rsidR="00F4591E" w:rsidRPr="00F153F6" w:rsidRDefault="00F4591E" w:rsidP="003F6426">
      <w:pPr>
        <w:spacing w:line="360" w:lineRule="auto"/>
        <w:jc w:val="both"/>
        <w:rPr>
          <w:rFonts w:ascii="Times New Roman" w:hAnsi="Times New Roman" w:cs="Times New Roman"/>
          <w:sz w:val="24"/>
          <w:szCs w:val="24"/>
        </w:rPr>
        <w:sectPr w:rsidR="00F4591E" w:rsidRPr="00F153F6" w:rsidSect="0015201A">
          <w:footerReference w:type="default" r:id="rId20"/>
          <w:pgSz w:w="11906" w:h="16838"/>
          <w:pgMar w:top="1440" w:right="1440" w:bottom="1440" w:left="1440" w:header="708" w:footer="708" w:gutter="0"/>
          <w:cols w:space="708"/>
          <w:titlePg/>
          <w:docGrid w:linePitch="360"/>
        </w:sectPr>
      </w:pPr>
    </w:p>
    <w:p w14:paraId="754C5176" w14:textId="2FDAED7C" w:rsidR="00193C37" w:rsidRPr="00F153F6" w:rsidRDefault="00193C37" w:rsidP="003F6426">
      <w:pPr>
        <w:spacing w:line="360" w:lineRule="auto"/>
        <w:jc w:val="both"/>
        <w:rPr>
          <w:rFonts w:ascii="Times New Roman" w:hAnsi="Times New Roman" w:cs="Times New Roman"/>
        </w:rPr>
      </w:pPr>
      <w:r w:rsidRPr="00F153F6">
        <w:rPr>
          <w:rFonts w:ascii="Times New Roman" w:hAnsi="Times New Roman" w:cs="Times New Roman"/>
        </w:rPr>
        <w:lastRenderedPageBreak/>
        <w:t xml:space="preserve">Table </w:t>
      </w:r>
      <w:r w:rsidR="00970E32" w:rsidRPr="00F153F6">
        <w:rPr>
          <w:rFonts w:ascii="Times New Roman" w:hAnsi="Times New Roman" w:cs="Times New Roman"/>
        </w:rPr>
        <w:t>3.</w:t>
      </w:r>
      <w:r w:rsidRPr="00F153F6">
        <w:rPr>
          <w:rFonts w:ascii="Times New Roman" w:hAnsi="Times New Roman" w:cs="Times New Roman"/>
        </w:rPr>
        <w:t>1 Collected Project and Data Information</w:t>
      </w:r>
    </w:p>
    <w:tbl>
      <w:tblPr>
        <w:tblStyle w:val="TableGrid"/>
        <w:tblW w:w="14039" w:type="dxa"/>
        <w:jc w:val="center"/>
        <w:tblLook w:val="04A0" w:firstRow="1" w:lastRow="0" w:firstColumn="1" w:lastColumn="0" w:noHBand="0" w:noVBand="1"/>
      </w:tblPr>
      <w:tblGrid>
        <w:gridCol w:w="1260"/>
        <w:gridCol w:w="557"/>
        <w:gridCol w:w="4132"/>
        <w:gridCol w:w="1559"/>
        <w:gridCol w:w="3717"/>
        <w:gridCol w:w="2814"/>
      </w:tblGrid>
      <w:tr w:rsidR="00F4591E" w:rsidRPr="00F153F6" w14:paraId="4A1527CE" w14:textId="004B8043" w:rsidTr="00F4591E">
        <w:trPr>
          <w:jc w:val="center"/>
        </w:trPr>
        <w:tc>
          <w:tcPr>
            <w:tcW w:w="1260" w:type="dxa"/>
          </w:tcPr>
          <w:p w14:paraId="58E25388" w14:textId="4E7CB598"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Stage</w:t>
            </w:r>
          </w:p>
        </w:tc>
        <w:tc>
          <w:tcPr>
            <w:tcW w:w="557" w:type="dxa"/>
          </w:tcPr>
          <w:p w14:paraId="7DAB7653" w14:textId="62BBE9E9"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ID</w:t>
            </w:r>
          </w:p>
        </w:tc>
        <w:tc>
          <w:tcPr>
            <w:tcW w:w="4132" w:type="dxa"/>
          </w:tcPr>
          <w:p w14:paraId="35E739E6" w14:textId="67F30467"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Project Topic</w:t>
            </w:r>
          </w:p>
        </w:tc>
        <w:tc>
          <w:tcPr>
            <w:tcW w:w="1559" w:type="dxa"/>
          </w:tcPr>
          <w:p w14:paraId="02A50E31" w14:textId="2698BAB5"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Project Category</w:t>
            </w:r>
          </w:p>
        </w:tc>
        <w:tc>
          <w:tcPr>
            <w:tcW w:w="3717" w:type="dxa"/>
          </w:tcPr>
          <w:p w14:paraId="111E14EB" w14:textId="291BF604"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Involved Organisation Types</w:t>
            </w:r>
          </w:p>
        </w:tc>
        <w:tc>
          <w:tcPr>
            <w:tcW w:w="2814" w:type="dxa"/>
          </w:tcPr>
          <w:p w14:paraId="6B843C64" w14:textId="0DC3B85E"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Data Type</w:t>
            </w:r>
          </w:p>
        </w:tc>
      </w:tr>
      <w:tr w:rsidR="00F4591E" w:rsidRPr="00F153F6" w14:paraId="01B59933" w14:textId="4B0DAF0E" w:rsidTr="00F4591E">
        <w:trPr>
          <w:jc w:val="center"/>
        </w:trPr>
        <w:tc>
          <w:tcPr>
            <w:tcW w:w="1260" w:type="dxa"/>
            <w:vMerge w:val="restart"/>
          </w:tcPr>
          <w:p w14:paraId="28A4EFAA" w14:textId="37E00C8F" w:rsidR="002D1400" w:rsidRPr="00F153F6" w:rsidRDefault="002D1400" w:rsidP="003F6426">
            <w:pPr>
              <w:spacing w:line="360" w:lineRule="auto"/>
              <w:rPr>
                <w:rFonts w:ascii="Times New Roman" w:hAnsi="Times New Roman" w:cs="Times New Roman"/>
                <w:sz w:val="20"/>
                <w:szCs w:val="20"/>
              </w:rPr>
            </w:pPr>
            <w:bookmarkStart w:id="314" w:name="_Hlk128644082"/>
            <w:r w:rsidRPr="00F153F6">
              <w:rPr>
                <w:rFonts w:ascii="Times New Roman" w:hAnsi="Times New Roman" w:cs="Times New Roman"/>
                <w:sz w:val="20"/>
                <w:szCs w:val="20"/>
              </w:rPr>
              <w:t>Inception Stage (A)</w:t>
            </w:r>
          </w:p>
        </w:tc>
        <w:tc>
          <w:tcPr>
            <w:tcW w:w="557" w:type="dxa"/>
          </w:tcPr>
          <w:p w14:paraId="5A8B20D3" w14:textId="2316C853"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A1</w:t>
            </w:r>
          </w:p>
        </w:tc>
        <w:tc>
          <w:tcPr>
            <w:tcW w:w="4132" w:type="dxa"/>
          </w:tcPr>
          <w:p w14:paraId="26773737" w14:textId="3BAC54D7" w:rsidR="002D1400" w:rsidRPr="00F153F6" w:rsidRDefault="003C6802"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T</w:t>
            </w:r>
            <w:r w:rsidR="002D1400" w:rsidRPr="00F153F6">
              <w:rPr>
                <w:rFonts w:ascii="Times New Roman" w:hAnsi="Times New Roman" w:cs="Times New Roman"/>
                <w:sz w:val="20"/>
                <w:szCs w:val="20"/>
              </w:rPr>
              <w:t>ransport ecosystem</w:t>
            </w:r>
          </w:p>
        </w:tc>
        <w:tc>
          <w:tcPr>
            <w:tcW w:w="1559" w:type="dxa"/>
          </w:tcPr>
          <w:p w14:paraId="468DF66C" w14:textId="69AFFCC2" w:rsidR="002D1400" w:rsidRPr="00F153F6" w:rsidRDefault="002D1400" w:rsidP="003F6426">
            <w:pPr>
              <w:spacing w:line="360" w:lineRule="auto"/>
              <w:rPr>
                <w:rFonts w:ascii="Times New Roman" w:hAnsi="Times New Roman" w:cs="Times New Roman"/>
                <w:sz w:val="20"/>
                <w:szCs w:val="20"/>
                <w:lang w:val="en-US" w:eastAsia="zh-CN"/>
              </w:rPr>
            </w:pPr>
            <w:r w:rsidRPr="00F153F6">
              <w:rPr>
                <w:rFonts w:ascii="Times New Roman" w:hAnsi="Times New Roman" w:cs="Times New Roman" w:hint="eastAsia"/>
                <w:sz w:val="20"/>
                <w:szCs w:val="20"/>
                <w:lang w:eastAsia="zh-CN"/>
              </w:rPr>
              <w:t>S</w:t>
            </w:r>
            <w:r w:rsidRPr="00F153F6">
              <w:rPr>
                <w:rFonts w:ascii="Times New Roman" w:hAnsi="Times New Roman" w:cs="Times New Roman"/>
                <w:sz w:val="20"/>
                <w:szCs w:val="20"/>
                <w:lang w:val="en-US" w:eastAsia="zh-CN"/>
              </w:rPr>
              <w:t>mart City</w:t>
            </w:r>
          </w:p>
        </w:tc>
        <w:tc>
          <w:tcPr>
            <w:tcW w:w="3717" w:type="dxa"/>
          </w:tcPr>
          <w:p w14:paraId="4F3364FA" w14:textId="2BB713EB" w:rsidR="002D1400" w:rsidRPr="00F153F6" w:rsidRDefault="002D1400" w:rsidP="003F6426">
            <w:pPr>
              <w:spacing w:line="360" w:lineRule="auto"/>
              <w:jc w:val="left"/>
              <w:rPr>
                <w:rFonts w:ascii="Times New Roman" w:hAnsi="Times New Roman" w:cs="Times New Roman"/>
                <w:sz w:val="20"/>
                <w:szCs w:val="20"/>
              </w:rPr>
            </w:pPr>
            <w:r w:rsidRPr="00F153F6">
              <w:rPr>
                <w:rFonts w:ascii="Times New Roman" w:hAnsi="Times New Roman" w:cs="Times New Roman"/>
                <w:sz w:val="20"/>
                <w:szCs w:val="20"/>
              </w:rPr>
              <w:t>Research Institute; Government; Industrial Firms; Citizen Community</w:t>
            </w:r>
          </w:p>
        </w:tc>
        <w:tc>
          <w:tcPr>
            <w:tcW w:w="2814" w:type="dxa"/>
          </w:tcPr>
          <w:p w14:paraId="67019582" w14:textId="3186AB8D" w:rsidR="002D1400" w:rsidRPr="00F153F6" w:rsidRDefault="002D1400" w:rsidP="002D1400">
            <w:pPr>
              <w:spacing w:line="360" w:lineRule="auto"/>
              <w:rPr>
                <w:rFonts w:ascii="Times New Roman" w:hAnsi="Times New Roman" w:cs="Times New Roman"/>
                <w:sz w:val="20"/>
                <w:szCs w:val="20"/>
              </w:rPr>
            </w:pPr>
            <w:r w:rsidRPr="00F153F6">
              <w:rPr>
                <w:rFonts w:ascii="Times New Roman" w:hAnsi="Times New Roman" w:cs="Times New Roman"/>
                <w:sz w:val="20"/>
                <w:szCs w:val="20"/>
              </w:rPr>
              <w:t>Interview, Website Info., Published Project Document</w:t>
            </w:r>
          </w:p>
        </w:tc>
      </w:tr>
      <w:bookmarkEnd w:id="314"/>
      <w:tr w:rsidR="00F4591E" w:rsidRPr="00F153F6" w14:paraId="0946A33E" w14:textId="42D18BDF" w:rsidTr="00F4591E">
        <w:trPr>
          <w:jc w:val="center"/>
        </w:trPr>
        <w:tc>
          <w:tcPr>
            <w:tcW w:w="1260" w:type="dxa"/>
            <w:vMerge/>
          </w:tcPr>
          <w:p w14:paraId="2EC2ECDB" w14:textId="77777777" w:rsidR="002D1400" w:rsidRPr="00F153F6" w:rsidRDefault="002D1400" w:rsidP="003F6426">
            <w:pPr>
              <w:spacing w:line="360" w:lineRule="auto"/>
              <w:rPr>
                <w:rFonts w:ascii="Times New Roman" w:hAnsi="Times New Roman" w:cs="Times New Roman"/>
                <w:sz w:val="20"/>
                <w:szCs w:val="20"/>
              </w:rPr>
            </w:pPr>
          </w:p>
        </w:tc>
        <w:tc>
          <w:tcPr>
            <w:tcW w:w="557" w:type="dxa"/>
          </w:tcPr>
          <w:p w14:paraId="0705514D" w14:textId="5DEAC19C"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A2</w:t>
            </w:r>
          </w:p>
        </w:tc>
        <w:tc>
          <w:tcPr>
            <w:tcW w:w="4132" w:type="dxa"/>
          </w:tcPr>
          <w:p w14:paraId="720CA2E1" w14:textId="4031D915" w:rsidR="002D1400" w:rsidRPr="00F153F6" w:rsidRDefault="00B33C28"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D</w:t>
            </w:r>
            <w:r w:rsidR="002D1400" w:rsidRPr="00F153F6">
              <w:rPr>
                <w:rFonts w:ascii="Times New Roman" w:hAnsi="Times New Roman" w:cs="Times New Roman"/>
                <w:sz w:val="20"/>
                <w:szCs w:val="20"/>
              </w:rPr>
              <w:t xml:space="preserve">igital technologies </w:t>
            </w:r>
            <w:r w:rsidRPr="00F153F6">
              <w:rPr>
                <w:rFonts w:ascii="Times New Roman" w:hAnsi="Times New Roman" w:cs="Times New Roman"/>
                <w:sz w:val="20"/>
                <w:szCs w:val="20"/>
              </w:rPr>
              <w:t>and agricultural transition</w:t>
            </w:r>
          </w:p>
        </w:tc>
        <w:tc>
          <w:tcPr>
            <w:tcW w:w="1559" w:type="dxa"/>
          </w:tcPr>
          <w:p w14:paraId="69D17C82" w14:textId="780DB08E"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 xml:space="preserve">Agriculture </w:t>
            </w:r>
          </w:p>
        </w:tc>
        <w:tc>
          <w:tcPr>
            <w:tcW w:w="3717" w:type="dxa"/>
          </w:tcPr>
          <w:p w14:paraId="24A28149" w14:textId="0D37A4B1"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Research Institute; Government; Industrial Firms; Citizen Community</w:t>
            </w:r>
          </w:p>
        </w:tc>
        <w:tc>
          <w:tcPr>
            <w:tcW w:w="2814" w:type="dxa"/>
          </w:tcPr>
          <w:p w14:paraId="7BEFB636" w14:textId="0D9340C2"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Interview, Website Info., Published Project Document</w:t>
            </w:r>
          </w:p>
        </w:tc>
      </w:tr>
      <w:tr w:rsidR="00F4591E" w:rsidRPr="00F153F6" w14:paraId="53A37837" w14:textId="362E2B68" w:rsidTr="00F4591E">
        <w:trPr>
          <w:jc w:val="center"/>
        </w:trPr>
        <w:tc>
          <w:tcPr>
            <w:tcW w:w="1260" w:type="dxa"/>
            <w:vMerge/>
          </w:tcPr>
          <w:p w14:paraId="75F12D34" w14:textId="77777777" w:rsidR="002D1400" w:rsidRPr="00F153F6" w:rsidRDefault="002D1400" w:rsidP="003F6426">
            <w:pPr>
              <w:spacing w:line="360" w:lineRule="auto"/>
              <w:rPr>
                <w:rFonts w:ascii="Times New Roman" w:hAnsi="Times New Roman" w:cs="Times New Roman"/>
                <w:sz w:val="20"/>
                <w:szCs w:val="20"/>
              </w:rPr>
            </w:pPr>
            <w:bookmarkStart w:id="315" w:name="_Hlk128644640"/>
          </w:p>
        </w:tc>
        <w:tc>
          <w:tcPr>
            <w:tcW w:w="557" w:type="dxa"/>
          </w:tcPr>
          <w:p w14:paraId="4060201F" w14:textId="68D2FECC"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A3</w:t>
            </w:r>
          </w:p>
        </w:tc>
        <w:tc>
          <w:tcPr>
            <w:tcW w:w="4132" w:type="dxa"/>
          </w:tcPr>
          <w:p w14:paraId="42BD2565" w14:textId="397DF5E5"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AI</w:t>
            </w:r>
            <w:r w:rsidR="003C6802" w:rsidRPr="00F153F6">
              <w:rPr>
                <w:rFonts w:ascii="Times New Roman" w:hAnsi="Times New Roman" w:cs="Times New Roman"/>
                <w:sz w:val="20"/>
                <w:szCs w:val="20"/>
              </w:rPr>
              <w:t xml:space="preserve">, </w:t>
            </w:r>
            <w:r w:rsidRPr="00F153F6">
              <w:rPr>
                <w:rFonts w:ascii="Times New Roman" w:hAnsi="Times New Roman" w:cs="Times New Roman"/>
                <w:sz w:val="20"/>
                <w:szCs w:val="20"/>
              </w:rPr>
              <w:t>Europe's cities</w:t>
            </w:r>
            <w:r w:rsidR="003C6802" w:rsidRPr="00F153F6">
              <w:rPr>
                <w:rFonts w:ascii="Times New Roman" w:hAnsi="Times New Roman" w:cs="Times New Roman"/>
                <w:sz w:val="20"/>
                <w:szCs w:val="20"/>
              </w:rPr>
              <w:t>, and Sustainability</w:t>
            </w:r>
            <w:r w:rsidRPr="00F153F6">
              <w:rPr>
                <w:rFonts w:ascii="Times New Roman" w:hAnsi="Times New Roman" w:cs="Times New Roman"/>
                <w:sz w:val="20"/>
                <w:szCs w:val="20"/>
              </w:rPr>
              <w:t xml:space="preserve"> </w:t>
            </w:r>
          </w:p>
        </w:tc>
        <w:tc>
          <w:tcPr>
            <w:tcW w:w="1559" w:type="dxa"/>
          </w:tcPr>
          <w:p w14:paraId="6D506F40" w14:textId="78BF9240"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Smart City</w:t>
            </w:r>
          </w:p>
        </w:tc>
        <w:tc>
          <w:tcPr>
            <w:tcW w:w="3717" w:type="dxa"/>
          </w:tcPr>
          <w:p w14:paraId="41C8E91B" w14:textId="0B59A686" w:rsidR="002D1400" w:rsidRPr="00F153F6" w:rsidRDefault="002D1400" w:rsidP="003F6426">
            <w:pPr>
              <w:spacing w:line="360" w:lineRule="auto"/>
              <w:rPr>
                <w:rFonts w:ascii="Times New Roman" w:hAnsi="Times New Roman" w:cs="Times New Roman"/>
                <w:sz w:val="20"/>
                <w:szCs w:val="20"/>
              </w:rPr>
            </w:pPr>
            <w:bookmarkStart w:id="316" w:name="OLE_LINK307"/>
            <w:bookmarkStart w:id="317" w:name="OLE_LINK308"/>
            <w:r w:rsidRPr="00F153F6">
              <w:rPr>
                <w:rFonts w:ascii="Times New Roman" w:hAnsi="Times New Roman" w:cs="Times New Roman"/>
                <w:sz w:val="20"/>
                <w:szCs w:val="20"/>
              </w:rPr>
              <w:t>Research Institute; Government; Industrial Firms; Citizen Community</w:t>
            </w:r>
            <w:bookmarkEnd w:id="316"/>
            <w:bookmarkEnd w:id="317"/>
          </w:p>
        </w:tc>
        <w:tc>
          <w:tcPr>
            <w:tcW w:w="2814" w:type="dxa"/>
          </w:tcPr>
          <w:p w14:paraId="2443FCF0" w14:textId="6C637EDD"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Interview, Website Info., Published Project Document, Internal Project Logs</w:t>
            </w:r>
          </w:p>
        </w:tc>
      </w:tr>
      <w:bookmarkEnd w:id="315"/>
      <w:tr w:rsidR="00F4591E" w:rsidRPr="00F153F6" w14:paraId="1E4CA03E" w14:textId="5F4B59F4" w:rsidTr="00F4591E">
        <w:trPr>
          <w:jc w:val="center"/>
        </w:trPr>
        <w:tc>
          <w:tcPr>
            <w:tcW w:w="1260" w:type="dxa"/>
            <w:vMerge/>
          </w:tcPr>
          <w:p w14:paraId="4147B3CA" w14:textId="77777777" w:rsidR="002D1400" w:rsidRPr="00F153F6" w:rsidRDefault="002D1400" w:rsidP="003F6426">
            <w:pPr>
              <w:spacing w:line="360" w:lineRule="auto"/>
              <w:rPr>
                <w:rFonts w:ascii="Times New Roman" w:hAnsi="Times New Roman" w:cs="Times New Roman"/>
                <w:sz w:val="20"/>
                <w:szCs w:val="20"/>
              </w:rPr>
            </w:pPr>
          </w:p>
        </w:tc>
        <w:tc>
          <w:tcPr>
            <w:tcW w:w="557" w:type="dxa"/>
          </w:tcPr>
          <w:p w14:paraId="76C9361B" w14:textId="04474394"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A4</w:t>
            </w:r>
          </w:p>
        </w:tc>
        <w:tc>
          <w:tcPr>
            <w:tcW w:w="4132" w:type="dxa"/>
          </w:tcPr>
          <w:p w14:paraId="202D8EF7" w14:textId="18A060DA"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Labour Market Professionals and Education</w:t>
            </w:r>
          </w:p>
        </w:tc>
        <w:tc>
          <w:tcPr>
            <w:tcW w:w="1559" w:type="dxa"/>
          </w:tcPr>
          <w:p w14:paraId="0ED2559A" w14:textId="154AE32D"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Education</w:t>
            </w:r>
          </w:p>
        </w:tc>
        <w:tc>
          <w:tcPr>
            <w:tcW w:w="3717" w:type="dxa"/>
          </w:tcPr>
          <w:p w14:paraId="362AAD71" w14:textId="3158FF0F"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EU; NPOs; Student Community; Industrial Professionals</w:t>
            </w:r>
          </w:p>
        </w:tc>
        <w:tc>
          <w:tcPr>
            <w:tcW w:w="2814" w:type="dxa"/>
          </w:tcPr>
          <w:p w14:paraId="68C6CC84" w14:textId="5BEB6779"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Interview, Website Info., Published Project Document, Internal Project Logs</w:t>
            </w:r>
          </w:p>
        </w:tc>
      </w:tr>
      <w:tr w:rsidR="00F4591E" w:rsidRPr="00F153F6" w14:paraId="0E164E36" w14:textId="2DA0CCDB" w:rsidTr="00F4591E">
        <w:trPr>
          <w:jc w:val="center"/>
        </w:trPr>
        <w:tc>
          <w:tcPr>
            <w:tcW w:w="1260" w:type="dxa"/>
            <w:vMerge w:val="restart"/>
          </w:tcPr>
          <w:p w14:paraId="7CAC3C57" w14:textId="33827E94"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Middle Stage (B)</w:t>
            </w:r>
          </w:p>
        </w:tc>
        <w:tc>
          <w:tcPr>
            <w:tcW w:w="557" w:type="dxa"/>
          </w:tcPr>
          <w:p w14:paraId="7693E34B" w14:textId="193F2372"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B1</w:t>
            </w:r>
          </w:p>
        </w:tc>
        <w:tc>
          <w:tcPr>
            <w:tcW w:w="4132" w:type="dxa"/>
          </w:tcPr>
          <w:p w14:paraId="2283A0AB" w14:textId="734622D6"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 xml:space="preserve">Air Quality </w:t>
            </w:r>
            <w:r w:rsidR="003C6802" w:rsidRPr="00F153F6">
              <w:rPr>
                <w:rFonts w:ascii="Times New Roman" w:hAnsi="Times New Roman" w:cs="Times New Roman"/>
                <w:sz w:val="20"/>
                <w:szCs w:val="20"/>
              </w:rPr>
              <w:t xml:space="preserve">and Battery </w:t>
            </w:r>
          </w:p>
        </w:tc>
        <w:tc>
          <w:tcPr>
            <w:tcW w:w="1559" w:type="dxa"/>
          </w:tcPr>
          <w:p w14:paraId="2EB793AB" w14:textId="5CD9096A"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Air Quality</w:t>
            </w:r>
          </w:p>
        </w:tc>
        <w:tc>
          <w:tcPr>
            <w:tcW w:w="3717" w:type="dxa"/>
          </w:tcPr>
          <w:p w14:paraId="53A8CEE7" w14:textId="0D3FBB54"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Public Event Organiser; Research Institute; Industrial Firms</w:t>
            </w:r>
          </w:p>
        </w:tc>
        <w:tc>
          <w:tcPr>
            <w:tcW w:w="2814" w:type="dxa"/>
          </w:tcPr>
          <w:p w14:paraId="0CDFAC6D" w14:textId="59C9F6C7"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Interview, Website Info., Published Project Document,</w:t>
            </w:r>
          </w:p>
        </w:tc>
      </w:tr>
      <w:tr w:rsidR="00F4591E" w:rsidRPr="00F153F6" w14:paraId="0B74C11F" w14:textId="7BE69448" w:rsidTr="00F4591E">
        <w:trPr>
          <w:jc w:val="center"/>
        </w:trPr>
        <w:tc>
          <w:tcPr>
            <w:tcW w:w="1260" w:type="dxa"/>
            <w:vMerge/>
          </w:tcPr>
          <w:p w14:paraId="08C31C60" w14:textId="77777777" w:rsidR="002D1400" w:rsidRPr="00F153F6" w:rsidRDefault="002D1400" w:rsidP="003F6426">
            <w:pPr>
              <w:spacing w:line="360" w:lineRule="auto"/>
              <w:rPr>
                <w:rFonts w:ascii="Times New Roman" w:hAnsi="Times New Roman" w:cs="Times New Roman"/>
                <w:sz w:val="20"/>
                <w:szCs w:val="20"/>
              </w:rPr>
            </w:pPr>
          </w:p>
        </w:tc>
        <w:tc>
          <w:tcPr>
            <w:tcW w:w="557" w:type="dxa"/>
          </w:tcPr>
          <w:p w14:paraId="40244F8A" w14:textId="6EC0AC7D"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B2</w:t>
            </w:r>
          </w:p>
        </w:tc>
        <w:tc>
          <w:tcPr>
            <w:tcW w:w="4132" w:type="dxa"/>
          </w:tcPr>
          <w:p w14:paraId="4C0C319B" w14:textId="5D22A929" w:rsidR="002D1400" w:rsidRPr="00F153F6" w:rsidRDefault="003C6802"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Jobs, Workspaces and Digital Platforms</w:t>
            </w:r>
          </w:p>
        </w:tc>
        <w:tc>
          <w:tcPr>
            <w:tcW w:w="1559" w:type="dxa"/>
          </w:tcPr>
          <w:p w14:paraId="0AD7E44C" w14:textId="25F688F5"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Employment</w:t>
            </w:r>
          </w:p>
        </w:tc>
        <w:tc>
          <w:tcPr>
            <w:tcW w:w="3717" w:type="dxa"/>
          </w:tcPr>
          <w:p w14:paraId="175DFB0C" w14:textId="6A3EA22F" w:rsidR="002D1400" w:rsidRPr="00F153F6" w:rsidRDefault="002D1400" w:rsidP="003F6426">
            <w:pPr>
              <w:spacing w:line="360" w:lineRule="auto"/>
              <w:rPr>
                <w:rFonts w:ascii="Times New Roman" w:hAnsi="Times New Roman" w:cs="Times New Roman"/>
                <w:sz w:val="20"/>
                <w:szCs w:val="20"/>
              </w:rPr>
            </w:pPr>
            <w:bookmarkStart w:id="318" w:name="OLE_LINK309"/>
            <w:bookmarkStart w:id="319" w:name="OLE_LINK310"/>
            <w:bookmarkStart w:id="320" w:name="OLE_LINK311"/>
            <w:r w:rsidRPr="00F153F6">
              <w:rPr>
                <w:rFonts w:ascii="Times New Roman" w:hAnsi="Times New Roman" w:cs="Times New Roman"/>
                <w:sz w:val="20"/>
                <w:szCs w:val="20"/>
              </w:rPr>
              <w:t>Research Institute; Industrial Firms; Citizen Community</w:t>
            </w:r>
            <w:bookmarkEnd w:id="318"/>
            <w:bookmarkEnd w:id="319"/>
            <w:bookmarkEnd w:id="320"/>
          </w:p>
        </w:tc>
        <w:tc>
          <w:tcPr>
            <w:tcW w:w="2814" w:type="dxa"/>
          </w:tcPr>
          <w:p w14:paraId="57D38152" w14:textId="0AF8EF42"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Interview, Website Info., Published Project Document,</w:t>
            </w:r>
          </w:p>
        </w:tc>
      </w:tr>
      <w:tr w:rsidR="00F4591E" w:rsidRPr="00F153F6" w14:paraId="453E00B4" w14:textId="681507AB" w:rsidTr="00F4591E">
        <w:trPr>
          <w:jc w:val="center"/>
        </w:trPr>
        <w:tc>
          <w:tcPr>
            <w:tcW w:w="1260" w:type="dxa"/>
            <w:vMerge/>
          </w:tcPr>
          <w:p w14:paraId="192179DC" w14:textId="77777777" w:rsidR="002D1400" w:rsidRPr="00F153F6" w:rsidRDefault="002D1400" w:rsidP="003F6426">
            <w:pPr>
              <w:spacing w:line="360" w:lineRule="auto"/>
              <w:rPr>
                <w:rFonts w:ascii="Times New Roman" w:hAnsi="Times New Roman" w:cs="Times New Roman"/>
                <w:sz w:val="20"/>
                <w:szCs w:val="20"/>
              </w:rPr>
            </w:pPr>
            <w:bookmarkStart w:id="321" w:name="_Hlk128646560"/>
          </w:p>
        </w:tc>
        <w:tc>
          <w:tcPr>
            <w:tcW w:w="557" w:type="dxa"/>
          </w:tcPr>
          <w:p w14:paraId="344CBE38" w14:textId="2F12E8DC"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B3</w:t>
            </w:r>
          </w:p>
        </w:tc>
        <w:tc>
          <w:tcPr>
            <w:tcW w:w="4132" w:type="dxa"/>
          </w:tcPr>
          <w:p w14:paraId="7F2A4740" w14:textId="44BFD787" w:rsidR="002D1400" w:rsidRPr="00F153F6" w:rsidRDefault="003C6802"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 xml:space="preserve">Smart Mobility Solutions for Mobility Companies </w:t>
            </w:r>
          </w:p>
        </w:tc>
        <w:tc>
          <w:tcPr>
            <w:tcW w:w="1559" w:type="dxa"/>
          </w:tcPr>
          <w:p w14:paraId="13FC6B72" w14:textId="3082AB22"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Smart Mobility</w:t>
            </w:r>
          </w:p>
        </w:tc>
        <w:tc>
          <w:tcPr>
            <w:tcW w:w="3717" w:type="dxa"/>
          </w:tcPr>
          <w:p w14:paraId="55B2BE5E" w14:textId="18E77A07"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Research Institute; Industrial Firms; Citizen Community; EU</w:t>
            </w:r>
          </w:p>
        </w:tc>
        <w:tc>
          <w:tcPr>
            <w:tcW w:w="2814" w:type="dxa"/>
          </w:tcPr>
          <w:p w14:paraId="09D42602" w14:textId="28A6C9A9"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Interview, Website Info., Published Project Document, Internal Project Logs</w:t>
            </w:r>
          </w:p>
        </w:tc>
      </w:tr>
      <w:bookmarkEnd w:id="321"/>
      <w:tr w:rsidR="00F4591E" w:rsidRPr="00F153F6" w14:paraId="4E36FD42" w14:textId="2AC2CA02" w:rsidTr="00F4591E">
        <w:trPr>
          <w:jc w:val="center"/>
        </w:trPr>
        <w:tc>
          <w:tcPr>
            <w:tcW w:w="1260" w:type="dxa"/>
            <w:vMerge/>
          </w:tcPr>
          <w:p w14:paraId="1C77D3CC" w14:textId="77777777" w:rsidR="002D1400" w:rsidRPr="00F153F6" w:rsidRDefault="002D1400" w:rsidP="003F6426">
            <w:pPr>
              <w:spacing w:line="360" w:lineRule="auto"/>
              <w:rPr>
                <w:rFonts w:ascii="Times New Roman" w:hAnsi="Times New Roman" w:cs="Times New Roman"/>
                <w:sz w:val="20"/>
                <w:szCs w:val="20"/>
              </w:rPr>
            </w:pPr>
          </w:p>
        </w:tc>
        <w:tc>
          <w:tcPr>
            <w:tcW w:w="557" w:type="dxa"/>
          </w:tcPr>
          <w:p w14:paraId="3C050769" w14:textId="241C31E4"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B4</w:t>
            </w:r>
          </w:p>
        </w:tc>
        <w:tc>
          <w:tcPr>
            <w:tcW w:w="4132" w:type="dxa"/>
          </w:tcPr>
          <w:p w14:paraId="27FA19DE" w14:textId="5CA1AA05" w:rsidR="002D1400" w:rsidRPr="00F153F6" w:rsidRDefault="003C6802"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S</w:t>
            </w:r>
            <w:r w:rsidR="002D1400" w:rsidRPr="00F153F6">
              <w:rPr>
                <w:rFonts w:ascii="Times New Roman" w:hAnsi="Times New Roman" w:cs="Times New Roman"/>
                <w:sz w:val="20"/>
                <w:szCs w:val="20"/>
              </w:rPr>
              <w:t xml:space="preserve">mart solutions </w:t>
            </w:r>
            <w:r w:rsidRPr="00F153F6">
              <w:rPr>
                <w:rFonts w:ascii="Times New Roman" w:hAnsi="Times New Roman" w:cs="Times New Roman"/>
                <w:sz w:val="20"/>
                <w:szCs w:val="20"/>
              </w:rPr>
              <w:t>and</w:t>
            </w:r>
            <w:r w:rsidR="002D1400" w:rsidRPr="00F153F6">
              <w:rPr>
                <w:rFonts w:ascii="Times New Roman" w:hAnsi="Times New Roman" w:cs="Times New Roman"/>
                <w:sz w:val="20"/>
                <w:szCs w:val="20"/>
              </w:rPr>
              <w:t xml:space="preserve"> carbon neutrality</w:t>
            </w:r>
          </w:p>
        </w:tc>
        <w:tc>
          <w:tcPr>
            <w:tcW w:w="1559" w:type="dxa"/>
          </w:tcPr>
          <w:p w14:paraId="40BF2181" w14:textId="0BEBFD76"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Smart City</w:t>
            </w:r>
          </w:p>
        </w:tc>
        <w:tc>
          <w:tcPr>
            <w:tcW w:w="3717" w:type="dxa"/>
          </w:tcPr>
          <w:p w14:paraId="7F75331E" w14:textId="3C2E71F3"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Research Institute; Industrial Firms; Government; Citizen Community</w:t>
            </w:r>
          </w:p>
        </w:tc>
        <w:tc>
          <w:tcPr>
            <w:tcW w:w="2814" w:type="dxa"/>
          </w:tcPr>
          <w:p w14:paraId="0DCC79CF" w14:textId="0C0A8765"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Interview, Website Info., Published Project Document,</w:t>
            </w:r>
          </w:p>
        </w:tc>
      </w:tr>
      <w:tr w:rsidR="00F4591E" w:rsidRPr="00F153F6" w14:paraId="3EE23D5C" w14:textId="7869ADD2" w:rsidTr="00F4591E">
        <w:trPr>
          <w:jc w:val="center"/>
        </w:trPr>
        <w:tc>
          <w:tcPr>
            <w:tcW w:w="1260" w:type="dxa"/>
            <w:vMerge w:val="restart"/>
          </w:tcPr>
          <w:p w14:paraId="747F8877" w14:textId="090B46CD"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Completed Stage (C)</w:t>
            </w:r>
          </w:p>
        </w:tc>
        <w:tc>
          <w:tcPr>
            <w:tcW w:w="557" w:type="dxa"/>
          </w:tcPr>
          <w:p w14:paraId="5BA33710" w14:textId="29CA1C5B"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C1</w:t>
            </w:r>
          </w:p>
        </w:tc>
        <w:tc>
          <w:tcPr>
            <w:tcW w:w="4132" w:type="dxa"/>
          </w:tcPr>
          <w:p w14:paraId="1F844824" w14:textId="364B4533" w:rsidR="002D1400" w:rsidRPr="00F153F6" w:rsidRDefault="003C6802"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S</w:t>
            </w:r>
            <w:r w:rsidR="002D1400" w:rsidRPr="00F153F6">
              <w:rPr>
                <w:rFonts w:ascii="Times New Roman" w:hAnsi="Times New Roman" w:cs="Times New Roman"/>
                <w:sz w:val="20"/>
                <w:szCs w:val="20"/>
              </w:rPr>
              <w:t xml:space="preserve">moking </w:t>
            </w:r>
            <w:r w:rsidRPr="00F153F6">
              <w:rPr>
                <w:rFonts w:ascii="Times New Roman" w:hAnsi="Times New Roman" w:cs="Times New Roman"/>
                <w:sz w:val="20"/>
                <w:szCs w:val="20"/>
              </w:rPr>
              <w:t>C</w:t>
            </w:r>
            <w:r w:rsidR="002D1400" w:rsidRPr="00F153F6">
              <w:rPr>
                <w:rFonts w:ascii="Times New Roman" w:hAnsi="Times New Roman" w:cs="Times New Roman"/>
                <w:sz w:val="20"/>
                <w:szCs w:val="20"/>
              </w:rPr>
              <w:t>essation</w:t>
            </w:r>
          </w:p>
        </w:tc>
        <w:tc>
          <w:tcPr>
            <w:tcW w:w="1559" w:type="dxa"/>
          </w:tcPr>
          <w:p w14:paraId="30D05310" w14:textId="69FAB52E"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Healthcare</w:t>
            </w:r>
          </w:p>
        </w:tc>
        <w:tc>
          <w:tcPr>
            <w:tcW w:w="3717" w:type="dxa"/>
          </w:tcPr>
          <w:p w14:paraId="430F5950" w14:textId="14BF218D"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Policymaker; Hospitals; Research Institute; Citizen Community</w:t>
            </w:r>
          </w:p>
        </w:tc>
        <w:tc>
          <w:tcPr>
            <w:tcW w:w="2814" w:type="dxa"/>
          </w:tcPr>
          <w:p w14:paraId="093E5744" w14:textId="2D2F5632"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Interview, Website Info., Published Project Document,</w:t>
            </w:r>
          </w:p>
        </w:tc>
      </w:tr>
      <w:tr w:rsidR="00F4591E" w:rsidRPr="00F153F6" w14:paraId="564273DD" w14:textId="37A6767D" w:rsidTr="00F4591E">
        <w:trPr>
          <w:jc w:val="center"/>
        </w:trPr>
        <w:tc>
          <w:tcPr>
            <w:tcW w:w="1260" w:type="dxa"/>
            <w:vMerge/>
          </w:tcPr>
          <w:p w14:paraId="7C7AE5CA" w14:textId="77777777" w:rsidR="002D1400" w:rsidRPr="00F153F6" w:rsidRDefault="002D1400" w:rsidP="003F6426">
            <w:pPr>
              <w:spacing w:line="360" w:lineRule="auto"/>
              <w:rPr>
                <w:rFonts w:ascii="Times New Roman" w:hAnsi="Times New Roman" w:cs="Times New Roman"/>
                <w:sz w:val="20"/>
                <w:szCs w:val="20"/>
              </w:rPr>
            </w:pPr>
          </w:p>
        </w:tc>
        <w:tc>
          <w:tcPr>
            <w:tcW w:w="557" w:type="dxa"/>
          </w:tcPr>
          <w:p w14:paraId="11CE7371" w14:textId="4784CB6C"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C2</w:t>
            </w:r>
          </w:p>
        </w:tc>
        <w:tc>
          <w:tcPr>
            <w:tcW w:w="4132" w:type="dxa"/>
          </w:tcPr>
          <w:p w14:paraId="382F6FAC" w14:textId="61FBFF57" w:rsidR="002D1400" w:rsidRPr="00F153F6" w:rsidRDefault="003C6802"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U</w:t>
            </w:r>
            <w:r w:rsidR="002D1400" w:rsidRPr="00F153F6">
              <w:rPr>
                <w:rFonts w:ascii="Times New Roman" w:hAnsi="Times New Roman" w:cs="Times New Roman"/>
                <w:sz w:val="20"/>
                <w:szCs w:val="20"/>
              </w:rPr>
              <w:t xml:space="preserve">nwanted sound </w:t>
            </w:r>
            <w:r w:rsidRPr="00F153F6">
              <w:rPr>
                <w:rFonts w:ascii="Times New Roman" w:hAnsi="Times New Roman" w:cs="Times New Roman"/>
                <w:sz w:val="20"/>
                <w:szCs w:val="20"/>
              </w:rPr>
              <w:t>and</w:t>
            </w:r>
            <w:r w:rsidR="002D1400" w:rsidRPr="00F153F6">
              <w:rPr>
                <w:rFonts w:ascii="Times New Roman" w:hAnsi="Times New Roman" w:cs="Times New Roman"/>
                <w:sz w:val="20"/>
                <w:szCs w:val="20"/>
              </w:rPr>
              <w:t xml:space="preserve"> city noise</w:t>
            </w:r>
          </w:p>
        </w:tc>
        <w:tc>
          <w:tcPr>
            <w:tcW w:w="1559" w:type="dxa"/>
          </w:tcPr>
          <w:p w14:paraId="0EDBE71D" w14:textId="77EF2474"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 xml:space="preserve">Environment </w:t>
            </w:r>
          </w:p>
        </w:tc>
        <w:tc>
          <w:tcPr>
            <w:tcW w:w="3717" w:type="dxa"/>
          </w:tcPr>
          <w:p w14:paraId="253DFDE8" w14:textId="55A293F9" w:rsidR="002D1400" w:rsidRPr="00F153F6" w:rsidRDefault="002D1400" w:rsidP="003F6426">
            <w:pPr>
              <w:spacing w:line="360" w:lineRule="auto"/>
              <w:rPr>
                <w:rFonts w:ascii="Times New Roman" w:hAnsi="Times New Roman" w:cs="Times New Roman"/>
                <w:sz w:val="20"/>
                <w:szCs w:val="20"/>
              </w:rPr>
            </w:pPr>
            <w:bookmarkStart w:id="322" w:name="OLE_LINK316"/>
            <w:bookmarkStart w:id="323" w:name="OLE_LINK317"/>
            <w:r w:rsidRPr="00F153F6">
              <w:rPr>
                <w:rFonts w:ascii="Times New Roman" w:hAnsi="Times New Roman" w:cs="Times New Roman"/>
                <w:sz w:val="20"/>
                <w:szCs w:val="20"/>
              </w:rPr>
              <w:t>Research Institute; Industrial Firms; Citizen Community; EU</w:t>
            </w:r>
            <w:bookmarkEnd w:id="322"/>
            <w:bookmarkEnd w:id="323"/>
          </w:p>
        </w:tc>
        <w:tc>
          <w:tcPr>
            <w:tcW w:w="2814" w:type="dxa"/>
          </w:tcPr>
          <w:p w14:paraId="081C6863" w14:textId="74FF785D"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Interview, Website Info., Published Project Document,</w:t>
            </w:r>
          </w:p>
        </w:tc>
      </w:tr>
      <w:tr w:rsidR="00F4591E" w:rsidRPr="00F153F6" w14:paraId="2128DC6F" w14:textId="44DD62AD" w:rsidTr="00F4591E">
        <w:trPr>
          <w:jc w:val="center"/>
        </w:trPr>
        <w:tc>
          <w:tcPr>
            <w:tcW w:w="1260" w:type="dxa"/>
            <w:vMerge/>
          </w:tcPr>
          <w:p w14:paraId="7D619991" w14:textId="77777777" w:rsidR="002D1400" w:rsidRPr="00F153F6" w:rsidRDefault="002D1400" w:rsidP="003F6426">
            <w:pPr>
              <w:spacing w:line="360" w:lineRule="auto"/>
              <w:rPr>
                <w:rFonts w:ascii="Times New Roman" w:hAnsi="Times New Roman" w:cs="Times New Roman"/>
                <w:sz w:val="20"/>
                <w:szCs w:val="20"/>
              </w:rPr>
            </w:pPr>
          </w:p>
        </w:tc>
        <w:tc>
          <w:tcPr>
            <w:tcW w:w="557" w:type="dxa"/>
          </w:tcPr>
          <w:p w14:paraId="244D5709" w14:textId="6BF73CD8"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C3</w:t>
            </w:r>
          </w:p>
        </w:tc>
        <w:tc>
          <w:tcPr>
            <w:tcW w:w="4132" w:type="dxa"/>
          </w:tcPr>
          <w:p w14:paraId="4610C02C" w14:textId="64A00415" w:rsidR="002D1400" w:rsidRPr="00F153F6" w:rsidRDefault="003C6802"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C</w:t>
            </w:r>
            <w:r w:rsidR="002D1400" w:rsidRPr="00F153F6">
              <w:rPr>
                <w:rFonts w:ascii="Times New Roman" w:hAnsi="Times New Roman" w:cs="Times New Roman"/>
                <w:sz w:val="20"/>
                <w:szCs w:val="20"/>
              </w:rPr>
              <w:t>itizen awareness on the quality of the urban environment</w:t>
            </w:r>
          </w:p>
        </w:tc>
        <w:tc>
          <w:tcPr>
            <w:tcW w:w="1559" w:type="dxa"/>
          </w:tcPr>
          <w:p w14:paraId="0BA931E7" w14:textId="30341612"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Environment</w:t>
            </w:r>
          </w:p>
        </w:tc>
        <w:tc>
          <w:tcPr>
            <w:tcW w:w="3717" w:type="dxa"/>
          </w:tcPr>
          <w:p w14:paraId="74EC1D31" w14:textId="54554589" w:rsidR="002D1400" w:rsidRPr="00F153F6" w:rsidRDefault="002D1400" w:rsidP="003F6426">
            <w:pPr>
              <w:spacing w:line="360" w:lineRule="auto"/>
              <w:rPr>
                <w:rFonts w:ascii="Times New Roman" w:hAnsi="Times New Roman" w:cs="Times New Roman"/>
                <w:sz w:val="20"/>
                <w:szCs w:val="20"/>
              </w:rPr>
            </w:pPr>
            <w:bookmarkStart w:id="324" w:name="OLE_LINK318"/>
            <w:bookmarkStart w:id="325" w:name="OLE_LINK319"/>
            <w:r w:rsidRPr="00F153F6">
              <w:rPr>
                <w:rFonts w:ascii="Times New Roman" w:hAnsi="Times New Roman" w:cs="Times New Roman"/>
                <w:sz w:val="20"/>
                <w:szCs w:val="20"/>
              </w:rPr>
              <w:t>Research Institute; Industrial Firms; Citizen Community;</w:t>
            </w:r>
            <w:bookmarkEnd w:id="324"/>
            <w:bookmarkEnd w:id="325"/>
            <w:r w:rsidRPr="00F153F6">
              <w:rPr>
                <w:rFonts w:ascii="Times New Roman" w:hAnsi="Times New Roman" w:cs="Times New Roman"/>
                <w:sz w:val="20"/>
                <w:szCs w:val="20"/>
              </w:rPr>
              <w:t xml:space="preserve"> European Commission</w:t>
            </w:r>
          </w:p>
        </w:tc>
        <w:tc>
          <w:tcPr>
            <w:tcW w:w="2814" w:type="dxa"/>
          </w:tcPr>
          <w:p w14:paraId="7C1F4FF9" w14:textId="71AE9D28"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Interview, Website Info., Published Project Document,</w:t>
            </w:r>
          </w:p>
        </w:tc>
      </w:tr>
      <w:tr w:rsidR="00F4591E" w:rsidRPr="00F153F6" w14:paraId="4B536D4E" w14:textId="584C0E73" w:rsidTr="00F4591E">
        <w:trPr>
          <w:jc w:val="center"/>
        </w:trPr>
        <w:tc>
          <w:tcPr>
            <w:tcW w:w="1260" w:type="dxa"/>
            <w:vMerge/>
          </w:tcPr>
          <w:p w14:paraId="0E018DBD" w14:textId="77777777" w:rsidR="002D1400" w:rsidRPr="00F153F6" w:rsidRDefault="002D1400" w:rsidP="003F6426">
            <w:pPr>
              <w:spacing w:line="360" w:lineRule="auto"/>
              <w:rPr>
                <w:rFonts w:ascii="Times New Roman" w:hAnsi="Times New Roman" w:cs="Times New Roman"/>
                <w:sz w:val="20"/>
                <w:szCs w:val="20"/>
              </w:rPr>
            </w:pPr>
          </w:p>
        </w:tc>
        <w:tc>
          <w:tcPr>
            <w:tcW w:w="557" w:type="dxa"/>
          </w:tcPr>
          <w:p w14:paraId="6CA73D7C" w14:textId="46A99E1C"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C4</w:t>
            </w:r>
          </w:p>
        </w:tc>
        <w:tc>
          <w:tcPr>
            <w:tcW w:w="4132" w:type="dxa"/>
          </w:tcPr>
          <w:p w14:paraId="66EEB63B" w14:textId="7B06335A" w:rsidR="002D1400" w:rsidRPr="00F153F6" w:rsidRDefault="003C6802"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I</w:t>
            </w:r>
            <w:r w:rsidR="002D1400" w:rsidRPr="00F153F6">
              <w:rPr>
                <w:rFonts w:ascii="Times New Roman" w:hAnsi="Times New Roman" w:cs="Times New Roman"/>
                <w:sz w:val="20"/>
                <w:szCs w:val="20"/>
              </w:rPr>
              <w:t>nnovative information system on air quality</w:t>
            </w:r>
          </w:p>
        </w:tc>
        <w:tc>
          <w:tcPr>
            <w:tcW w:w="1559" w:type="dxa"/>
          </w:tcPr>
          <w:p w14:paraId="6ED1DCC2" w14:textId="4D931B17"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Air Quality</w:t>
            </w:r>
          </w:p>
        </w:tc>
        <w:tc>
          <w:tcPr>
            <w:tcW w:w="3717" w:type="dxa"/>
          </w:tcPr>
          <w:p w14:paraId="040EEAD4" w14:textId="1F5BCF8C"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Research Institute; Industrial Firms; Government; Citizen Community</w:t>
            </w:r>
          </w:p>
        </w:tc>
        <w:tc>
          <w:tcPr>
            <w:tcW w:w="2814" w:type="dxa"/>
          </w:tcPr>
          <w:p w14:paraId="78D32984" w14:textId="5F4F04AA"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Interview, Website Info.</w:t>
            </w:r>
          </w:p>
        </w:tc>
      </w:tr>
      <w:tr w:rsidR="00F4591E" w:rsidRPr="00F153F6" w14:paraId="644319B8" w14:textId="57ECA1B1" w:rsidTr="00F4591E">
        <w:trPr>
          <w:jc w:val="center"/>
        </w:trPr>
        <w:tc>
          <w:tcPr>
            <w:tcW w:w="1260" w:type="dxa"/>
            <w:vMerge/>
          </w:tcPr>
          <w:p w14:paraId="47B2435E" w14:textId="77777777" w:rsidR="002D1400" w:rsidRPr="00F153F6" w:rsidRDefault="002D1400" w:rsidP="003F6426">
            <w:pPr>
              <w:spacing w:line="360" w:lineRule="auto"/>
              <w:rPr>
                <w:rFonts w:ascii="Times New Roman" w:hAnsi="Times New Roman" w:cs="Times New Roman"/>
                <w:sz w:val="20"/>
                <w:szCs w:val="20"/>
              </w:rPr>
            </w:pPr>
          </w:p>
        </w:tc>
        <w:tc>
          <w:tcPr>
            <w:tcW w:w="557" w:type="dxa"/>
          </w:tcPr>
          <w:p w14:paraId="1CCF3947" w14:textId="111B74C5"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C5</w:t>
            </w:r>
          </w:p>
        </w:tc>
        <w:tc>
          <w:tcPr>
            <w:tcW w:w="4132" w:type="dxa"/>
          </w:tcPr>
          <w:p w14:paraId="54D5213F" w14:textId="54964C99"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 xml:space="preserve">Get home safely </w:t>
            </w:r>
            <w:r w:rsidR="003C6802" w:rsidRPr="00F153F6">
              <w:rPr>
                <w:rFonts w:ascii="Times New Roman" w:hAnsi="Times New Roman" w:cs="Times New Roman"/>
                <w:sz w:val="20"/>
                <w:szCs w:val="20"/>
              </w:rPr>
              <w:t>and Smart Lights</w:t>
            </w:r>
          </w:p>
        </w:tc>
        <w:tc>
          <w:tcPr>
            <w:tcW w:w="1559" w:type="dxa"/>
          </w:tcPr>
          <w:p w14:paraId="0F696088" w14:textId="00AFA4DF"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Smart City</w:t>
            </w:r>
          </w:p>
        </w:tc>
        <w:tc>
          <w:tcPr>
            <w:tcW w:w="3717" w:type="dxa"/>
          </w:tcPr>
          <w:p w14:paraId="58A8F16F" w14:textId="1B22C13C" w:rsidR="002D1400" w:rsidRPr="00F153F6" w:rsidRDefault="002D1400" w:rsidP="003F6426">
            <w:pPr>
              <w:spacing w:line="360" w:lineRule="auto"/>
              <w:rPr>
                <w:rFonts w:ascii="Times New Roman" w:hAnsi="Times New Roman" w:cs="Times New Roman"/>
                <w:sz w:val="20"/>
                <w:szCs w:val="20"/>
              </w:rPr>
            </w:pPr>
            <w:bookmarkStart w:id="326" w:name="OLE_LINK324"/>
            <w:bookmarkStart w:id="327" w:name="OLE_LINK325"/>
            <w:r w:rsidRPr="00F153F6">
              <w:rPr>
                <w:rFonts w:ascii="Times New Roman" w:hAnsi="Times New Roman" w:cs="Times New Roman"/>
                <w:sz w:val="20"/>
                <w:szCs w:val="20"/>
              </w:rPr>
              <w:t>Research Institute; Industrial Firms; Government; Citizen Community</w:t>
            </w:r>
            <w:bookmarkEnd w:id="326"/>
            <w:bookmarkEnd w:id="327"/>
          </w:p>
        </w:tc>
        <w:tc>
          <w:tcPr>
            <w:tcW w:w="2814" w:type="dxa"/>
          </w:tcPr>
          <w:p w14:paraId="2C03DD24" w14:textId="10F97227"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Interview, Website Info., Published Project Document,</w:t>
            </w:r>
          </w:p>
        </w:tc>
      </w:tr>
      <w:tr w:rsidR="00F4591E" w:rsidRPr="00F153F6" w14:paraId="2F0D9D61" w14:textId="2B477FC0" w:rsidTr="00F4591E">
        <w:trPr>
          <w:jc w:val="center"/>
        </w:trPr>
        <w:tc>
          <w:tcPr>
            <w:tcW w:w="1260" w:type="dxa"/>
            <w:vMerge/>
          </w:tcPr>
          <w:p w14:paraId="70258FE3" w14:textId="77777777" w:rsidR="002D1400" w:rsidRPr="00F153F6" w:rsidRDefault="002D1400" w:rsidP="003F6426">
            <w:pPr>
              <w:spacing w:line="360" w:lineRule="auto"/>
              <w:rPr>
                <w:rFonts w:ascii="Times New Roman" w:hAnsi="Times New Roman" w:cs="Times New Roman"/>
                <w:sz w:val="20"/>
                <w:szCs w:val="20"/>
              </w:rPr>
            </w:pPr>
            <w:bookmarkStart w:id="328" w:name="_Hlk128647451"/>
          </w:p>
        </w:tc>
        <w:tc>
          <w:tcPr>
            <w:tcW w:w="557" w:type="dxa"/>
          </w:tcPr>
          <w:p w14:paraId="6C0DDA98" w14:textId="7F57A648"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C6</w:t>
            </w:r>
          </w:p>
        </w:tc>
        <w:tc>
          <w:tcPr>
            <w:tcW w:w="4132" w:type="dxa"/>
          </w:tcPr>
          <w:p w14:paraId="6A87DF0B" w14:textId="5B3E2990" w:rsidR="002D1400" w:rsidRPr="00F153F6" w:rsidRDefault="003C6802"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U</w:t>
            </w:r>
            <w:r w:rsidR="002D1400" w:rsidRPr="00F153F6">
              <w:rPr>
                <w:rFonts w:ascii="Times New Roman" w:hAnsi="Times New Roman" w:cs="Times New Roman"/>
                <w:sz w:val="20"/>
                <w:szCs w:val="20"/>
              </w:rPr>
              <w:t xml:space="preserve">rban commons to </w:t>
            </w:r>
            <w:r w:rsidRPr="00F153F6">
              <w:rPr>
                <w:rFonts w:ascii="Times New Roman" w:hAnsi="Times New Roman" w:cs="Times New Roman"/>
                <w:sz w:val="20"/>
                <w:szCs w:val="20"/>
              </w:rPr>
              <w:t>C</w:t>
            </w:r>
            <w:r w:rsidR="002D1400" w:rsidRPr="00F153F6">
              <w:rPr>
                <w:rFonts w:ascii="Times New Roman" w:hAnsi="Times New Roman" w:cs="Times New Roman"/>
                <w:sz w:val="20"/>
                <w:szCs w:val="20"/>
              </w:rPr>
              <w:t xml:space="preserve">ounteract poverty </w:t>
            </w:r>
          </w:p>
        </w:tc>
        <w:tc>
          <w:tcPr>
            <w:tcW w:w="1559" w:type="dxa"/>
          </w:tcPr>
          <w:p w14:paraId="7984A380" w14:textId="0BDDFC00"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Smart City</w:t>
            </w:r>
          </w:p>
        </w:tc>
        <w:tc>
          <w:tcPr>
            <w:tcW w:w="3717" w:type="dxa"/>
          </w:tcPr>
          <w:p w14:paraId="70816506" w14:textId="59949539"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Research Institute; Industrial Firms; Government; Citizen Community</w:t>
            </w:r>
          </w:p>
        </w:tc>
        <w:tc>
          <w:tcPr>
            <w:tcW w:w="2814" w:type="dxa"/>
          </w:tcPr>
          <w:p w14:paraId="70FCC223" w14:textId="401203E0"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Interview, Website Info., Published Project Document,</w:t>
            </w:r>
          </w:p>
        </w:tc>
      </w:tr>
      <w:bookmarkEnd w:id="328"/>
      <w:tr w:rsidR="00F4591E" w:rsidRPr="00F153F6" w14:paraId="6FCC9CE6" w14:textId="2BB0AD4E" w:rsidTr="00F4591E">
        <w:trPr>
          <w:jc w:val="center"/>
        </w:trPr>
        <w:tc>
          <w:tcPr>
            <w:tcW w:w="1260" w:type="dxa"/>
            <w:vMerge/>
          </w:tcPr>
          <w:p w14:paraId="4BF2C014" w14:textId="77777777" w:rsidR="002D1400" w:rsidRPr="00F153F6" w:rsidRDefault="002D1400" w:rsidP="003F6426">
            <w:pPr>
              <w:spacing w:line="360" w:lineRule="auto"/>
              <w:rPr>
                <w:rFonts w:ascii="Times New Roman" w:hAnsi="Times New Roman" w:cs="Times New Roman"/>
                <w:sz w:val="20"/>
                <w:szCs w:val="20"/>
              </w:rPr>
            </w:pPr>
          </w:p>
        </w:tc>
        <w:tc>
          <w:tcPr>
            <w:tcW w:w="557" w:type="dxa"/>
          </w:tcPr>
          <w:p w14:paraId="3ABFA073" w14:textId="06878E42"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C7</w:t>
            </w:r>
          </w:p>
        </w:tc>
        <w:tc>
          <w:tcPr>
            <w:tcW w:w="4132" w:type="dxa"/>
          </w:tcPr>
          <w:p w14:paraId="647B25CE" w14:textId="2803C3E5"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 xml:space="preserve">Smart advanced services </w:t>
            </w:r>
            <w:r w:rsidR="003C6802" w:rsidRPr="00F153F6">
              <w:rPr>
                <w:rFonts w:ascii="Times New Roman" w:hAnsi="Times New Roman" w:cs="Times New Roman"/>
                <w:sz w:val="20"/>
                <w:szCs w:val="20"/>
              </w:rPr>
              <w:t>and</w:t>
            </w:r>
            <w:r w:rsidRPr="00F153F6">
              <w:rPr>
                <w:rFonts w:ascii="Times New Roman" w:hAnsi="Times New Roman" w:cs="Times New Roman"/>
                <w:sz w:val="20"/>
                <w:szCs w:val="20"/>
              </w:rPr>
              <w:t xml:space="preserve"> digital transformation </w:t>
            </w:r>
          </w:p>
        </w:tc>
        <w:tc>
          <w:tcPr>
            <w:tcW w:w="1559" w:type="dxa"/>
          </w:tcPr>
          <w:p w14:paraId="63663B5B" w14:textId="5CFF6737"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Service Transformation</w:t>
            </w:r>
          </w:p>
        </w:tc>
        <w:tc>
          <w:tcPr>
            <w:tcW w:w="3717" w:type="dxa"/>
          </w:tcPr>
          <w:p w14:paraId="640004FF" w14:textId="688F9822" w:rsidR="002D1400" w:rsidRPr="00F153F6" w:rsidRDefault="002D1400" w:rsidP="003F6426">
            <w:pPr>
              <w:spacing w:line="360" w:lineRule="auto"/>
              <w:rPr>
                <w:rFonts w:ascii="Times New Roman" w:hAnsi="Times New Roman" w:cs="Times New Roman"/>
                <w:sz w:val="20"/>
                <w:szCs w:val="20"/>
              </w:rPr>
            </w:pPr>
            <w:bookmarkStart w:id="329" w:name="OLE_LINK332"/>
            <w:bookmarkStart w:id="330" w:name="OLE_LINK333"/>
            <w:r w:rsidRPr="00F153F6">
              <w:rPr>
                <w:rFonts w:ascii="Times New Roman" w:hAnsi="Times New Roman" w:cs="Times New Roman"/>
                <w:sz w:val="20"/>
                <w:szCs w:val="20"/>
              </w:rPr>
              <w:t>Research Institute; Public Agency; Industrial Firms; Citizen Community</w:t>
            </w:r>
            <w:bookmarkEnd w:id="329"/>
            <w:bookmarkEnd w:id="330"/>
          </w:p>
        </w:tc>
        <w:tc>
          <w:tcPr>
            <w:tcW w:w="2814" w:type="dxa"/>
          </w:tcPr>
          <w:p w14:paraId="33F55517" w14:textId="5959D61A"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Interview, Website Info.</w:t>
            </w:r>
          </w:p>
        </w:tc>
      </w:tr>
      <w:tr w:rsidR="00F4591E" w:rsidRPr="00F153F6" w14:paraId="76D8DE4D" w14:textId="65CE1F55" w:rsidTr="00F4591E">
        <w:trPr>
          <w:jc w:val="center"/>
        </w:trPr>
        <w:tc>
          <w:tcPr>
            <w:tcW w:w="1260" w:type="dxa"/>
            <w:vMerge/>
          </w:tcPr>
          <w:p w14:paraId="0A3DCA84" w14:textId="77777777" w:rsidR="002D1400" w:rsidRPr="00F153F6" w:rsidRDefault="002D1400" w:rsidP="003F6426">
            <w:pPr>
              <w:spacing w:line="360" w:lineRule="auto"/>
              <w:rPr>
                <w:rFonts w:ascii="Times New Roman" w:hAnsi="Times New Roman" w:cs="Times New Roman"/>
                <w:sz w:val="20"/>
                <w:szCs w:val="20"/>
              </w:rPr>
            </w:pPr>
            <w:bookmarkStart w:id="331" w:name="_Hlk128647508"/>
          </w:p>
        </w:tc>
        <w:tc>
          <w:tcPr>
            <w:tcW w:w="557" w:type="dxa"/>
          </w:tcPr>
          <w:p w14:paraId="7F8EE657" w14:textId="7382E6FD"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C8</w:t>
            </w:r>
          </w:p>
        </w:tc>
        <w:tc>
          <w:tcPr>
            <w:tcW w:w="4132" w:type="dxa"/>
          </w:tcPr>
          <w:p w14:paraId="2827A73F" w14:textId="137BF610" w:rsidR="002D1400" w:rsidRPr="00F153F6" w:rsidRDefault="003C6802"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Collaborative Solutions for U</w:t>
            </w:r>
            <w:r w:rsidR="002D1400" w:rsidRPr="00F153F6">
              <w:rPr>
                <w:rFonts w:ascii="Times New Roman" w:hAnsi="Times New Roman" w:cs="Times New Roman"/>
                <w:sz w:val="20"/>
                <w:szCs w:val="20"/>
              </w:rPr>
              <w:t xml:space="preserve">rbanisation challenges </w:t>
            </w:r>
          </w:p>
        </w:tc>
        <w:tc>
          <w:tcPr>
            <w:tcW w:w="1559" w:type="dxa"/>
          </w:tcPr>
          <w:p w14:paraId="1447D74F" w14:textId="1C86DAFE"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Smart Cities</w:t>
            </w:r>
          </w:p>
        </w:tc>
        <w:tc>
          <w:tcPr>
            <w:tcW w:w="3717" w:type="dxa"/>
          </w:tcPr>
          <w:p w14:paraId="231BA6C0" w14:textId="013660A6"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Research Institute; Industrial Firms; Government; Citizen Community</w:t>
            </w:r>
          </w:p>
        </w:tc>
        <w:tc>
          <w:tcPr>
            <w:tcW w:w="2814" w:type="dxa"/>
          </w:tcPr>
          <w:p w14:paraId="2F94E0C3" w14:textId="370C9FB2" w:rsidR="002D1400" w:rsidRPr="00F153F6" w:rsidRDefault="002D1400" w:rsidP="003F6426">
            <w:pPr>
              <w:spacing w:line="360" w:lineRule="auto"/>
              <w:rPr>
                <w:rFonts w:ascii="Times New Roman" w:hAnsi="Times New Roman" w:cs="Times New Roman"/>
                <w:sz w:val="20"/>
                <w:szCs w:val="20"/>
              </w:rPr>
            </w:pPr>
            <w:r w:rsidRPr="00F153F6">
              <w:rPr>
                <w:rFonts w:ascii="Times New Roman" w:hAnsi="Times New Roman" w:cs="Times New Roman"/>
                <w:sz w:val="20"/>
                <w:szCs w:val="20"/>
              </w:rPr>
              <w:t>Interview, Website Info., Published Project Document,</w:t>
            </w:r>
          </w:p>
        </w:tc>
      </w:tr>
      <w:bookmarkEnd w:id="331"/>
    </w:tbl>
    <w:p w14:paraId="490E92AF" w14:textId="77777777" w:rsidR="00F4591E" w:rsidRPr="00F153F6" w:rsidRDefault="00F4591E" w:rsidP="003F6426">
      <w:pPr>
        <w:spacing w:line="360" w:lineRule="auto"/>
        <w:jc w:val="both"/>
        <w:rPr>
          <w:rFonts w:ascii="Times New Roman" w:hAnsi="Times New Roman" w:cs="Times New Roman"/>
          <w:sz w:val="24"/>
          <w:szCs w:val="24"/>
        </w:rPr>
        <w:sectPr w:rsidR="00F4591E" w:rsidRPr="00F153F6" w:rsidSect="00F4591E">
          <w:pgSz w:w="16838" w:h="11906" w:orient="landscape"/>
          <w:pgMar w:top="1440" w:right="1440" w:bottom="1440" w:left="1440" w:header="708" w:footer="708" w:gutter="0"/>
          <w:cols w:space="708"/>
          <w:titlePg/>
          <w:docGrid w:linePitch="360"/>
        </w:sectPr>
      </w:pPr>
    </w:p>
    <w:p w14:paraId="4B1A987E" w14:textId="3282C051" w:rsidR="002C1A2F" w:rsidRPr="00F153F6" w:rsidRDefault="002C1A2F" w:rsidP="00C03E68">
      <w:pPr>
        <w:pStyle w:val="Heading3"/>
        <w:spacing w:line="360" w:lineRule="auto"/>
        <w:ind w:firstLine="720"/>
        <w:jc w:val="both"/>
        <w:rPr>
          <w:rFonts w:ascii="Times New Roman" w:hAnsi="Times New Roman" w:cs="Times New Roman"/>
          <w:b/>
          <w:color w:val="auto"/>
          <w:sz w:val="28"/>
          <w:szCs w:val="28"/>
        </w:rPr>
      </w:pPr>
      <w:bookmarkStart w:id="332" w:name="_Toc118371125"/>
      <w:bookmarkStart w:id="333" w:name="_Toc133252149"/>
      <w:r w:rsidRPr="00F153F6">
        <w:rPr>
          <w:rFonts w:ascii="Times New Roman" w:hAnsi="Times New Roman" w:cs="Times New Roman"/>
          <w:b/>
          <w:color w:val="auto"/>
          <w:sz w:val="28"/>
          <w:szCs w:val="28"/>
        </w:rPr>
        <w:lastRenderedPageBreak/>
        <w:t>3.4.</w:t>
      </w:r>
      <w:r w:rsidR="003F6426" w:rsidRPr="00F153F6">
        <w:rPr>
          <w:rFonts w:ascii="Times New Roman" w:hAnsi="Times New Roman" w:cs="Times New Roman"/>
          <w:b/>
          <w:color w:val="auto"/>
          <w:sz w:val="28"/>
          <w:szCs w:val="28"/>
        </w:rPr>
        <w:t>3</w:t>
      </w:r>
      <w:r w:rsidRPr="00F153F6">
        <w:rPr>
          <w:rFonts w:ascii="Times New Roman" w:hAnsi="Times New Roman" w:cs="Times New Roman"/>
          <w:b/>
          <w:color w:val="auto"/>
          <w:sz w:val="28"/>
          <w:szCs w:val="28"/>
        </w:rPr>
        <w:t xml:space="preserve"> Data Analysis</w:t>
      </w:r>
      <w:bookmarkEnd w:id="332"/>
      <w:bookmarkEnd w:id="333"/>
    </w:p>
    <w:p w14:paraId="5658FA5B" w14:textId="3D0F04F3"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As this research applies the Glaserian Grounded Theory strategy, the data analysis follows constant comparison analysis suggested by Glaser and Strauss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{"citationID":"1NiMLDNx","properties":{"formattedCitation":"(1967)","plainCitation":"(1967)","noteIndex":0},"citationItems":[{"id":993,"uris":["http://zotero.org/users/5709166/items/DSF8R6HJ"],"itemData":{"id":993,"type":"book","edition":"4. paperback printing","event-place":"New Brunswick","ISBN":"978-0-202-30260-7","language":"en","note":"OCLC: 553535517","number-of-pages":"271","publisher":"Aldine","publisher-place":"New Brunswick","source":"Gemeinsamer Bibliotheksverbund ISBN","title":"The discovery of grounded theory: strategies for qualitative research","title-short":"The discovery of grounded theory","author":[{"family":"Glaser","given":"Barney G."},{"family":"Strauss","given":"Anselm L."}],"issued":{"date-parts":[["1967"]]}},"suppress-author":true}],"schema":"https://github.com/citation-style-language/schema/raw/master/csl-citation.json"}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(1967)</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Glaserian Grounded Theory suggests that the researcher collects and analyses data simultaneously, developing codes as data emerges and integrating this data into categories in order to generate a theory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{"citationID":"a5un5kkp1b","properties":{"formattedCitation":"(Saunders et al., 2015)","plainCitation":"(Saunders et al., 2015)","noteIndex":0},"citationItems":[{"id":2294,"uris":["http://zotero.org/users/5709166/items/GH5XKWAI"],"itemData":{"id":2294,"type":"book","call-number":"HD30.4 .S28 2015","edition":"Seventh edition","event-place":"New York","ISBN":"978-1-292-01662-7","language":"en","publisher":"Pearson Education","publisher-place":"New York","source":"Library of Congress ISBN","title":"Research methods for business students","author":[{"family":"Saunders","given":"M. N. K."},{"family":"Lewis","given":"Philip"},{"family":"Thornhill","given":"Adrian"}],"issued":{"date-parts":[["2015"]]}}}],"schema":"https://github.com/citation-style-language/schema/raw/master/csl-citation.json"}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(Saunders et al., 2015)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For data from interviews, analysis </w:t>
      </w:r>
      <w:r w:rsidR="00C057EB" w:rsidRPr="00F153F6">
        <w:rPr>
          <w:rFonts w:ascii="Times New Roman" w:hAnsi="Times New Roman" w:cs="Times New Roman"/>
          <w:sz w:val="24"/>
          <w:szCs w:val="24"/>
        </w:rPr>
        <w:t xml:space="preserve">has </w:t>
      </w:r>
      <w:r w:rsidRPr="00F153F6">
        <w:rPr>
          <w:rFonts w:ascii="Times New Roman" w:hAnsi="Times New Roman" w:cs="Times New Roman"/>
          <w:sz w:val="24"/>
          <w:szCs w:val="24"/>
        </w:rPr>
        <w:t>start</w:t>
      </w:r>
      <w:r w:rsidR="00C057EB" w:rsidRPr="00F153F6">
        <w:rPr>
          <w:rFonts w:ascii="Times New Roman" w:hAnsi="Times New Roman" w:cs="Times New Roman"/>
          <w:sz w:val="24"/>
          <w:szCs w:val="24"/>
        </w:rPr>
        <w:t>ed</w:t>
      </w:r>
      <w:r w:rsidRPr="00F153F6">
        <w:rPr>
          <w:rFonts w:ascii="Times New Roman" w:hAnsi="Times New Roman" w:cs="Times New Roman"/>
          <w:sz w:val="24"/>
          <w:szCs w:val="24"/>
        </w:rPr>
        <w:t xml:space="preserve"> after the interview, </w:t>
      </w:r>
      <w:r w:rsidR="00C057EB" w:rsidRPr="00F153F6">
        <w:rPr>
          <w:rFonts w:ascii="Times New Roman" w:hAnsi="Times New Roman" w:cs="Times New Roman"/>
          <w:sz w:val="24"/>
          <w:szCs w:val="24"/>
        </w:rPr>
        <w:t>whereas analysis</w:t>
      </w:r>
      <w:r w:rsidRPr="00F153F6">
        <w:rPr>
          <w:rFonts w:ascii="Times New Roman" w:hAnsi="Times New Roman" w:cs="Times New Roman"/>
          <w:sz w:val="24"/>
          <w:szCs w:val="24"/>
        </w:rPr>
        <w:t xml:space="preserve"> on data from documents </w:t>
      </w:r>
      <w:r w:rsidR="00C057EB" w:rsidRPr="00F153F6">
        <w:rPr>
          <w:rFonts w:ascii="Times New Roman" w:hAnsi="Times New Roman" w:cs="Times New Roman"/>
          <w:sz w:val="24"/>
          <w:szCs w:val="24"/>
        </w:rPr>
        <w:t>has begun</w:t>
      </w:r>
      <w:r w:rsidRPr="00F153F6">
        <w:rPr>
          <w:rFonts w:ascii="Times New Roman" w:hAnsi="Times New Roman" w:cs="Times New Roman"/>
          <w:sz w:val="24"/>
          <w:szCs w:val="24"/>
        </w:rPr>
        <w:t xml:space="preserve"> immediately upon gaining access. </w:t>
      </w:r>
    </w:p>
    <w:p w14:paraId="2E895412" w14:textId="31EF7D80"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Coding is a process that subdivide raw data to codes and assign the codes into categories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{"citationID":"a1m3vlqjhnq","properties":{"formattedCitation":"(Basit, 2003)","plainCitation":"(Basit, 2003)","noteIndex":0},"citationItems":[{"id":2261,"uris":["http://zotero.org/users/5709166/items/WMXYTQJK"],"itemData":{"id":2261,"type":"article-journal","abstract":"Data analysis is the most difficult and most crucial aspect of qualitative research. Coding is one of the significant steps taken during analysis to organize and make sense of textual data. This paper examines the use of manual and electronic methods to code data in two rather different projects in which the data were collected mainly by in-depth interviewing. The author looks at both the methods in the light of her own experience and concludes that the choice will be dependent on the size of the project, the funds and time available, and the inclination and expertise of the researcher.","container-title":"Educational Research","DOI":"10.1080/0013188032000133548","ISSN":"0013-1881","issue":"2","page":"143-154","source":"Taylor and Francis+NEJM","title":"Manual or electronic? The role of coding in qualitative data analysis","title-short":"Manual or electronic?","volume":"45","author":[{"family":"Basit","given":"Tehmina"}],"issued":{"date-parts":[["2003",6,1]]}}}],"schema":"https://github.com/citation-style-language/schema/raw/master/csl-citation.json"}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(Basit, 2003)</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This is an important process in data analysis, which needs the researcher to fracture data, conceptualise data and integrate them into a theory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{"citationID":"a2n5bajonlm","properties":{"formattedCitation":"(Strauss &amp; Corbin, 1998)","plainCitation":"(Strauss &amp; Corbin, 1998)","noteIndex":0},"citationItems":[{"id":2273,"uris":["http://zotero.org/users/5709166/items/3Q6XYZBU"],"itemData":{"id":2273,"type":"book","call-number":"HA29 .S823 1998","edition":"2nd ed","event-place":"Thousand Oaks","ISBN":"978-0-8039-5939-2","language":"en","number-of-pages":"312","publisher":"Sage Publications","publisher-place":"Thousand Oaks","source":"Library of Congress ISBN","title":"Basics of qualitative research: techniques and procedures for developing grounded theory","title-short":"Basics of qualitative research","author":[{"family":"Strauss","given":"Anselm L."},{"family":"Corbin","given":"Juliet M."}],"issued":{"date-parts":[["1998"]]}}}],"schema":"https://github.com/citation-style-language/schema/raw/master/csl-citation.json"}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(Strauss &amp; Corbin, 1998)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Raw data in this way can be analysed, distilled and interpreted towards a standardised theory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{"citationID":"07wK4dWZ","properties":{"formattedCitation":"(Basit, 2003)","plainCitation":"(Basit, 2003)","noteIndex":0},"citationItems":[{"id":2261,"uris":["http://zotero.org/users/5709166/items/WMXYTQJK"],"itemData":{"id":2261,"type":"article-journal","abstract":"Data analysis is the most difficult and most crucial aspect of qualitative research. Coding is one of the significant steps taken during analysis to organize and make sense of textual data. This paper examines the use of manual and electronic methods to code data in two rather different projects in which the data were collected mainly by in-depth interviewing. The author looks at both the methods in the light of her own experience and concludes that the choice will be dependent on the size of the project, the funds and time available, and the inclination and expertise of the researcher.","container-title":"Educational Research","DOI":"10.1080/0013188032000133548","ISSN":"0013-1881","issue":"2","page":"143-154","source":"Taylor and Francis+NEJM","title":"Manual or electronic? The role of coding in qualitative data analysis","title-short":"Manual or electronic?","volume":"45","author":[{"family":"Basit","given":"Tehmina"}],"issued":{"date-parts":[["2003",6,1]]}}}],"schema":"https://github.com/citation-style-language/schema/raw/master/csl-citation.json"}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(Basit, 2003)</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This process allows the researcher to notice and analyse the phenomenon in order to provide an explanation </w:t>
      </w:r>
      <w:r w:rsidRPr="00F153F6">
        <w:rPr>
          <w:rFonts w:ascii="Times New Roman" w:hAnsi="Times New Roman" w:cs="Times New Roman"/>
          <w:sz w:val="24"/>
          <w:szCs w:val="24"/>
        </w:rPr>
        <w:fldChar w:fldCharType="begin"/>
      </w:r>
      <w:r w:rsidR="00B73834" w:rsidRPr="00F153F6">
        <w:rPr>
          <w:rFonts w:ascii="Times New Roman" w:hAnsi="Times New Roman" w:cs="Times New Roman"/>
          <w:sz w:val="24"/>
          <w:szCs w:val="24"/>
        </w:rPr>
        <w:instrText xml:space="preserve"> ADDIN ZOTERO_ITEM CSL_CITATION {"citationID":"aid76v71ot","properties":{"formattedCitation":"(J. L. Seidel &amp; Kelle, 1995)","plainCitation":"(J. L. Seidel &amp; Kelle, 1995)","dontUpdate":true,"noteIndex":0},"citationItems":[{"id":2260,"uris":["http://zotero.org/users/5709166/items/HQQTQC6Y"],"itemData":{"id":2260,"type":"paper-conference","abstract":"Now it was early afternoon. Gorman had met him as requested, at the Mexican Water trading post. They'd made the bone-jarring drive back into Chichinbito Canyon country. Rather quickly Officer Gorman had proved he was the sort of man who as Leaphorn's grandmother would have said counted the grass and didn't see the grazing. Gorman was sitting now in Leaphorn's car, waiting (uneasily, Leaphorn hoped) for Leaphorn to finish whatever the hell Leaphorn was doing. What Leaphorn was doing was looking past the grass at the grazing . . . (from Tony Hillerman's detective novel Skinwalkers)","source":"Semantic Scholar","title":"Different Functions of Coding in the Analysis of Textual Data","author":[{"family":"Seidel","given":"John L."},{"family":"Kelle","given":"Udo"}],"issued":{"date-parts":[["1995"]]}}}],"schema":"https://github.com/citation-style-language/schema/raw/master/csl-citation.json"}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(Seidel &amp; Kelle, 1995)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r w:rsidR="00C057EB" w:rsidRPr="00F153F6">
        <w:rPr>
          <w:rFonts w:ascii="Times New Roman" w:hAnsi="Times New Roman" w:cs="Times New Roman"/>
          <w:sz w:val="24"/>
          <w:szCs w:val="24"/>
        </w:rPr>
        <w:t>As indicated in previous sections, there are three coding procedures in Glaserian version of Grounded Theory: open coding, selective coding, and theoretical coding. Figure 3.1</w:t>
      </w:r>
      <w:r w:rsidR="00F85531" w:rsidRPr="00F153F6">
        <w:rPr>
          <w:rFonts w:ascii="Times New Roman" w:hAnsi="Times New Roman" w:cs="Times New Roman"/>
          <w:sz w:val="24"/>
          <w:szCs w:val="24"/>
        </w:rPr>
        <w:t>-3.2</w:t>
      </w:r>
      <w:r w:rsidR="00C057EB" w:rsidRPr="00F153F6">
        <w:rPr>
          <w:rFonts w:ascii="Times New Roman" w:hAnsi="Times New Roman" w:cs="Times New Roman"/>
          <w:sz w:val="24"/>
          <w:szCs w:val="24"/>
        </w:rPr>
        <w:t xml:space="preserve"> shows a screenshot of how an interview transcript </w:t>
      </w:r>
      <w:r w:rsidR="0069722C">
        <w:rPr>
          <w:rFonts w:ascii="Times New Roman" w:hAnsi="Times New Roman" w:cs="Times New Roman"/>
          <w:sz w:val="24"/>
          <w:szCs w:val="24"/>
        </w:rPr>
        <w:t>and a website document are</w:t>
      </w:r>
      <w:r w:rsidR="00C057EB" w:rsidRPr="00F153F6">
        <w:rPr>
          <w:rFonts w:ascii="Times New Roman" w:hAnsi="Times New Roman" w:cs="Times New Roman"/>
          <w:sz w:val="24"/>
          <w:szCs w:val="24"/>
        </w:rPr>
        <w:t xml:space="preserve"> coded in open codes with memos. Table 3.</w:t>
      </w:r>
      <w:r w:rsidR="00B0470B" w:rsidRPr="00F153F6">
        <w:rPr>
          <w:rFonts w:ascii="Times New Roman" w:hAnsi="Times New Roman" w:cs="Times New Roman"/>
          <w:sz w:val="24"/>
          <w:szCs w:val="24"/>
        </w:rPr>
        <w:t>2</w:t>
      </w:r>
      <w:r w:rsidR="00C057EB" w:rsidRPr="00F153F6">
        <w:rPr>
          <w:rFonts w:ascii="Times New Roman" w:hAnsi="Times New Roman" w:cs="Times New Roman"/>
          <w:sz w:val="24"/>
          <w:szCs w:val="24"/>
        </w:rPr>
        <w:t xml:space="preserve"> shows a scaling up process of analysis from open coding to theoretical coding: how codes are grouped into concepts and finally towards categories.</w:t>
      </w:r>
    </w:p>
    <w:p w14:paraId="37EC0A27" w14:textId="77777777" w:rsidR="00F4591E" w:rsidRPr="00F153F6" w:rsidRDefault="00F4591E" w:rsidP="004424B4">
      <w:pPr>
        <w:spacing w:line="360" w:lineRule="auto"/>
        <w:jc w:val="both"/>
        <w:rPr>
          <w:rFonts w:ascii="Times New Roman" w:hAnsi="Times New Roman" w:cs="Times New Roman"/>
          <w:sz w:val="24"/>
          <w:szCs w:val="24"/>
        </w:rPr>
      </w:pPr>
    </w:p>
    <w:p w14:paraId="602944E4" w14:textId="77777777" w:rsidR="00D345CD" w:rsidRPr="00F153F6" w:rsidRDefault="000F52FB" w:rsidP="00D345CD">
      <w:pPr>
        <w:keepNext/>
        <w:spacing w:line="360" w:lineRule="auto"/>
        <w:jc w:val="center"/>
        <w:rPr>
          <w:sz w:val="24"/>
          <w:szCs w:val="24"/>
        </w:rPr>
      </w:pPr>
      <w:r w:rsidRPr="00F153F6">
        <w:rPr>
          <w:noProof/>
          <w:sz w:val="24"/>
          <w:szCs w:val="24"/>
        </w:rPr>
        <w:lastRenderedPageBreak/>
        <w:drawing>
          <wp:inline distT="0" distB="0" distL="0" distR="0" wp14:anchorId="03134A5B" wp14:editId="730779AC">
            <wp:extent cx="3286125" cy="3375686"/>
            <wp:effectExtent l="19050" t="19050" r="9525" b="15240"/>
            <wp:docPr id="20" name="Picture 20"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pplication&#10;&#10;Description automatically generated with medium confidence"/>
                    <pic:cNvPicPr/>
                  </pic:nvPicPr>
                  <pic:blipFill>
                    <a:blip r:embed="rId21"/>
                    <a:stretch>
                      <a:fillRect/>
                    </a:stretch>
                  </pic:blipFill>
                  <pic:spPr>
                    <a:xfrm>
                      <a:off x="0" y="0"/>
                      <a:ext cx="3314441" cy="3404773"/>
                    </a:xfrm>
                    <a:prstGeom prst="rect">
                      <a:avLst/>
                    </a:prstGeom>
                    <a:ln w="12700">
                      <a:solidFill>
                        <a:schemeClr val="tx1"/>
                      </a:solidFill>
                    </a:ln>
                  </pic:spPr>
                </pic:pic>
              </a:graphicData>
            </a:graphic>
          </wp:inline>
        </w:drawing>
      </w:r>
    </w:p>
    <w:p w14:paraId="3E2862F5" w14:textId="4338A427" w:rsidR="00C057EB" w:rsidRPr="00F153F6" w:rsidRDefault="00D345CD" w:rsidP="00D345CD">
      <w:pPr>
        <w:pStyle w:val="Caption"/>
        <w:jc w:val="center"/>
        <w:rPr>
          <w:rFonts w:ascii="Times New Roman" w:hAnsi="Times New Roman" w:cs="Times New Roman"/>
          <w:i w:val="0"/>
          <w:iCs w:val="0"/>
          <w:color w:val="auto"/>
          <w:sz w:val="22"/>
          <w:szCs w:val="22"/>
        </w:rPr>
      </w:pPr>
      <w:bookmarkStart w:id="334" w:name="_Toc119448460"/>
      <w:r w:rsidRPr="00F153F6">
        <w:rPr>
          <w:rFonts w:ascii="Times New Roman" w:hAnsi="Times New Roman" w:cs="Times New Roman"/>
          <w:i w:val="0"/>
          <w:iCs w:val="0"/>
          <w:color w:val="auto"/>
          <w:sz w:val="22"/>
          <w:szCs w:val="22"/>
        </w:rPr>
        <w:t xml:space="preserve">Figure 3.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Figure_3. \* ARABIC </w:instrText>
      </w:r>
      <w:r w:rsidRPr="00F153F6">
        <w:rPr>
          <w:rFonts w:ascii="Times New Roman" w:hAnsi="Times New Roman" w:cs="Times New Roman"/>
          <w:i w:val="0"/>
          <w:iCs w:val="0"/>
          <w:color w:val="auto"/>
          <w:sz w:val="22"/>
          <w:szCs w:val="22"/>
        </w:rPr>
        <w:fldChar w:fldCharType="separate"/>
      </w:r>
      <w:r w:rsidR="00845905" w:rsidRPr="00F153F6">
        <w:rPr>
          <w:rFonts w:ascii="Times New Roman" w:hAnsi="Times New Roman" w:cs="Times New Roman"/>
          <w:i w:val="0"/>
          <w:iCs w:val="0"/>
          <w:noProof/>
          <w:color w:val="auto"/>
          <w:sz w:val="22"/>
          <w:szCs w:val="22"/>
        </w:rPr>
        <w:t>1</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Screenshot of an open coding process of an interview transcript</w:t>
      </w:r>
      <w:bookmarkEnd w:id="334"/>
    </w:p>
    <w:p w14:paraId="577650CA" w14:textId="77777777" w:rsidR="00F85531" w:rsidRPr="00F153F6" w:rsidRDefault="00F85531" w:rsidP="004424B4">
      <w:pPr>
        <w:spacing w:line="360" w:lineRule="auto"/>
        <w:jc w:val="center"/>
        <w:rPr>
          <w:rFonts w:ascii="Times New Roman" w:hAnsi="Times New Roman" w:cs="Times New Roman"/>
          <w:sz w:val="24"/>
          <w:szCs w:val="24"/>
        </w:rPr>
      </w:pPr>
    </w:p>
    <w:p w14:paraId="0C82CACC" w14:textId="63E0FCE0" w:rsidR="00D345CD" w:rsidRPr="00F153F6" w:rsidRDefault="0069722C" w:rsidP="00D345CD">
      <w:pPr>
        <w:keepNext/>
        <w:spacing w:line="360" w:lineRule="auto"/>
        <w:jc w:val="center"/>
        <w:rPr>
          <w:sz w:val="24"/>
          <w:szCs w:val="24"/>
        </w:rPr>
      </w:pPr>
      <w:r>
        <w:rPr>
          <w:noProof/>
        </w:rPr>
        <w:drawing>
          <wp:inline distT="0" distB="0" distL="0" distR="0" wp14:anchorId="4951FB09" wp14:editId="183A3A2A">
            <wp:extent cx="5731510" cy="3571875"/>
            <wp:effectExtent l="19050" t="19050" r="21590" b="28575"/>
            <wp:docPr id="231890983"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90983" name="Picture 1" descr="A picture containing text, screenshot, font, number&#10;&#10;Description automatically generated"/>
                    <pic:cNvPicPr/>
                  </pic:nvPicPr>
                  <pic:blipFill>
                    <a:blip r:embed="rId22"/>
                    <a:stretch>
                      <a:fillRect/>
                    </a:stretch>
                  </pic:blipFill>
                  <pic:spPr>
                    <a:xfrm>
                      <a:off x="0" y="0"/>
                      <a:ext cx="5731510" cy="3571875"/>
                    </a:xfrm>
                    <a:prstGeom prst="rect">
                      <a:avLst/>
                    </a:prstGeom>
                    <a:ln>
                      <a:solidFill>
                        <a:schemeClr val="tx1"/>
                      </a:solidFill>
                    </a:ln>
                  </pic:spPr>
                </pic:pic>
              </a:graphicData>
            </a:graphic>
          </wp:inline>
        </w:drawing>
      </w:r>
    </w:p>
    <w:p w14:paraId="6ABB9423" w14:textId="79A2AAAB" w:rsidR="000F52FB" w:rsidRPr="00F153F6" w:rsidRDefault="00D345CD" w:rsidP="00D345CD">
      <w:pPr>
        <w:pStyle w:val="Caption"/>
        <w:jc w:val="center"/>
        <w:rPr>
          <w:rFonts w:ascii="Times New Roman" w:hAnsi="Times New Roman" w:cs="Times New Roman"/>
          <w:i w:val="0"/>
          <w:iCs w:val="0"/>
          <w:color w:val="auto"/>
          <w:sz w:val="22"/>
          <w:szCs w:val="22"/>
        </w:rPr>
      </w:pPr>
      <w:bookmarkStart w:id="335" w:name="_Toc119448461"/>
      <w:r w:rsidRPr="00F153F6">
        <w:rPr>
          <w:rFonts w:ascii="Times New Roman" w:hAnsi="Times New Roman" w:cs="Times New Roman"/>
          <w:i w:val="0"/>
          <w:iCs w:val="0"/>
          <w:color w:val="auto"/>
          <w:sz w:val="22"/>
          <w:szCs w:val="22"/>
        </w:rPr>
        <w:t xml:space="preserve">Figure 3.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Figure_3. \* ARABIC </w:instrText>
      </w:r>
      <w:r w:rsidRPr="00F153F6">
        <w:rPr>
          <w:rFonts w:ascii="Times New Roman" w:hAnsi="Times New Roman" w:cs="Times New Roman"/>
          <w:i w:val="0"/>
          <w:iCs w:val="0"/>
          <w:color w:val="auto"/>
          <w:sz w:val="22"/>
          <w:szCs w:val="22"/>
        </w:rPr>
        <w:fldChar w:fldCharType="separate"/>
      </w:r>
      <w:r w:rsidR="00845905" w:rsidRPr="00F153F6">
        <w:rPr>
          <w:rFonts w:ascii="Times New Roman" w:hAnsi="Times New Roman" w:cs="Times New Roman"/>
          <w:i w:val="0"/>
          <w:iCs w:val="0"/>
          <w:noProof/>
          <w:color w:val="auto"/>
          <w:sz w:val="22"/>
          <w:szCs w:val="22"/>
        </w:rPr>
        <w:t>2</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Screenshot of an open coding process of document information (website)</w:t>
      </w:r>
      <w:bookmarkEnd w:id="335"/>
    </w:p>
    <w:p w14:paraId="5746FF68" w14:textId="77777777" w:rsidR="004B42EA" w:rsidRPr="00F153F6" w:rsidRDefault="004B42EA" w:rsidP="004424B4">
      <w:pPr>
        <w:spacing w:line="360" w:lineRule="auto"/>
        <w:jc w:val="center"/>
        <w:rPr>
          <w:rFonts w:ascii="Times New Roman" w:hAnsi="Times New Roman" w:cs="Times New Roman"/>
          <w:sz w:val="24"/>
          <w:szCs w:val="24"/>
        </w:rPr>
        <w:sectPr w:rsidR="004B42EA" w:rsidRPr="00F153F6" w:rsidSect="0015201A">
          <w:pgSz w:w="11906" w:h="16838"/>
          <w:pgMar w:top="1440" w:right="1440" w:bottom="1440" w:left="1440" w:header="708" w:footer="708" w:gutter="0"/>
          <w:cols w:space="708"/>
          <w:titlePg/>
          <w:docGrid w:linePitch="360"/>
        </w:sectPr>
      </w:pPr>
    </w:p>
    <w:p w14:paraId="3DC16871" w14:textId="57210BD7" w:rsidR="00D345CD" w:rsidRPr="00F153F6" w:rsidRDefault="00D345CD" w:rsidP="00D345CD">
      <w:pPr>
        <w:pStyle w:val="Caption"/>
        <w:keepNext/>
        <w:rPr>
          <w:rFonts w:ascii="Times New Roman" w:hAnsi="Times New Roman" w:cs="Times New Roman"/>
          <w:i w:val="0"/>
          <w:iCs w:val="0"/>
          <w:color w:val="auto"/>
          <w:sz w:val="22"/>
          <w:szCs w:val="22"/>
        </w:rPr>
      </w:pPr>
      <w:bookmarkStart w:id="336" w:name="_Toc119448012"/>
      <w:r w:rsidRPr="00F153F6">
        <w:rPr>
          <w:rFonts w:ascii="Times New Roman" w:hAnsi="Times New Roman" w:cs="Times New Roman"/>
          <w:i w:val="0"/>
          <w:iCs w:val="0"/>
          <w:color w:val="auto"/>
          <w:sz w:val="22"/>
          <w:szCs w:val="22"/>
        </w:rPr>
        <w:lastRenderedPageBreak/>
        <w:t xml:space="preserve">Table 3. </w:t>
      </w:r>
      <w:r w:rsidR="00B0470B" w:rsidRPr="00F153F6">
        <w:rPr>
          <w:rFonts w:ascii="Times New Roman" w:hAnsi="Times New Roman" w:cs="Times New Roman"/>
          <w:i w:val="0"/>
          <w:iCs w:val="0"/>
          <w:color w:val="auto"/>
          <w:sz w:val="22"/>
          <w:szCs w:val="22"/>
        </w:rPr>
        <w:t>2</w:t>
      </w:r>
      <w:r w:rsidRPr="00F153F6">
        <w:rPr>
          <w:rFonts w:ascii="Times New Roman" w:hAnsi="Times New Roman" w:cs="Times New Roman"/>
          <w:i w:val="0"/>
          <w:iCs w:val="0"/>
          <w:color w:val="auto"/>
          <w:sz w:val="22"/>
          <w:szCs w:val="22"/>
        </w:rPr>
        <w:t xml:space="preserve"> Scaling up process of coding (Partial of inception stage analysis)</w:t>
      </w:r>
      <w:bookmarkEnd w:id="336"/>
    </w:p>
    <w:tbl>
      <w:tblPr>
        <w:tblStyle w:val="TableGrid"/>
        <w:tblW w:w="0" w:type="auto"/>
        <w:tblLook w:val="04A0" w:firstRow="1" w:lastRow="0" w:firstColumn="1" w:lastColumn="0" w:noHBand="0" w:noVBand="1"/>
      </w:tblPr>
      <w:tblGrid>
        <w:gridCol w:w="1413"/>
        <w:gridCol w:w="1701"/>
        <w:gridCol w:w="1701"/>
        <w:gridCol w:w="4536"/>
        <w:gridCol w:w="4536"/>
      </w:tblGrid>
      <w:tr w:rsidR="007335B8" w:rsidRPr="00F153F6" w14:paraId="277D4792" w14:textId="75026BB5" w:rsidTr="001862E7">
        <w:trPr>
          <w:trHeight w:val="508"/>
        </w:trPr>
        <w:tc>
          <w:tcPr>
            <w:tcW w:w="1413" w:type="dxa"/>
          </w:tcPr>
          <w:p w14:paraId="2F4366C2" w14:textId="7BDFA384" w:rsidR="00EC44B5" w:rsidRPr="00F153F6" w:rsidRDefault="00EC44B5" w:rsidP="004424B4">
            <w:pPr>
              <w:spacing w:line="360" w:lineRule="auto"/>
              <w:jc w:val="center"/>
              <w:rPr>
                <w:rFonts w:ascii="Times New Roman" w:hAnsi="Times New Roman" w:cs="Times New Roman"/>
                <w:b/>
                <w:bCs/>
              </w:rPr>
            </w:pPr>
            <w:r w:rsidRPr="00F153F6">
              <w:rPr>
                <w:rFonts w:ascii="Times New Roman" w:hAnsi="Times New Roman" w:cs="Times New Roman"/>
                <w:b/>
                <w:bCs/>
              </w:rPr>
              <w:t>Category</w:t>
            </w:r>
          </w:p>
        </w:tc>
        <w:tc>
          <w:tcPr>
            <w:tcW w:w="1701" w:type="dxa"/>
          </w:tcPr>
          <w:p w14:paraId="47C9F48C" w14:textId="56A2EBA1" w:rsidR="007335B8" w:rsidRPr="00F153F6" w:rsidRDefault="00EC44B5" w:rsidP="00F4591E">
            <w:pPr>
              <w:spacing w:line="360" w:lineRule="auto"/>
              <w:jc w:val="center"/>
              <w:rPr>
                <w:rFonts w:ascii="Times New Roman" w:hAnsi="Times New Roman" w:cs="Times New Roman"/>
                <w:b/>
                <w:bCs/>
              </w:rPr>
            </w:pPr>
            <w:r w:rsidRPr="00F153F6">
              <w:rPr>
                <w:rFonts w:ascii="Times New Roman" w:hAnsi="Times New Roman" w:cs="Times New Roman"/>
                <w:b/>
                <w:bCs/>
              </w:rPr>
              <w:t>Sub-Category</w:t>
            </w:r>
          </w:p>
        </w:tc>
        <w:tc>
          <w:tcPr>
            <w:tcW w:w="1701" w:type="dxa"/>
          </w:tcPr>
          <w:p w14:paraId="29B7710F" w14:textId="3CBDC107" w:rsidR="007335B8" w:rsidRPr="00F153F6" w:rsidRDefault="00EC44B5" w:rsidP="00F4591E">
            <w:pPr>
              <w:spacing w:line="360" w:lineRule="auto"/>
              <w:jc w:val="center"/>
              <w:rPr>
                <w:rFonts w:ascii="Times New Roman" w:hAnsi="Times New Roman" w:cs="Times New Roman"/>
                <w:b/>
                <w:bCs/>
              </w:rPr>
            </w:pPr>
            <w:r w:rsidRPr="00F153F6">
              <w:rPr>
                <w:rFonts w:ascii="Times New Roman" w:hAnsi="Times New Roman" w:cs="Times New Roman"/>
                <w:b/>
                <w:bCs/>
              </w:rPr>
              <w:t>Concepts</w:t>
            </w:r>
          </w:p>
        </w:tc>
        <w:tc>
          <w:tcPr>
            <w:tcW w:w="4536" w:type="dxa"/>
          </w:tcPr>
          <w:p w14:paraId="7D7909E3" w14:textId="1A915F69" w:rsidR="00EC44B5" w:rsidRPr="00F153F6" w:rsidRDefault="00EC44B5" w:rsidP="004424B4">
            <w:pPr>
              <w:spacing w:line="360" w:lineRule="auto"/>
              <w:jc w:val="center"/>
              <w:rPr>
                <w:rFonts w:ascii="Times New Roman" w:hAnsi="Times New Roman" w:cs="Times New Roman"/>
                <w:b/>
                <w:bCs/>
              </w:rPr>
            </w:pPr>
            <w:r w:rsidRPr="00F153F6">
              <w:rPr>
                <w:rFonts w:ascii="Times New Roman" w:hAnsi="Times New Roman" w:cs="Times New Roman"/>
                <w:b/>
                <w:bCs/>
              </w:rPr>
              <w:t>Open Codes</w:t>
            </w:r>
          </w:p>
        </w:tc>
        <w:tc>
          <w:tcPr>
            <w:tcW w:w="4536" w:type="dxa"/>
          </w:tcPr>
          <w:p w14:paraId="78EAF091" w14:textId="3F8A6D1C" w:rsidR="00EC44B5" w:rsidRPr="00F153F6" w:rsidRDefault="00EC44B5" w:rsidP="004424B4">
            <w:pPr>
              <w:spacing w:line="360" w:lineRule="auto"/>
              <w:jc w:val="center"/>
              <w:rPr>
                <w:rFonts w:ascii="Times New Roman" w:hAnsi="Times New Roman" w:cs="Times New Roman"/>
                <w:b/>
                <w:bCs/>
              </w:rPr>
            </w:pPr>
            <w:r w:rsidRPr="00F153F6">
              <w:rPr>
                <w:rFonts w:ascii="Times New Roman" w:hAnsi="Times New Roman" w:cs="Times New Roman"/>
                <w:b/>
                <w:bCs/>
              </w:rPr>
              <w:t>Analytical Summary (Memos)</w:t>
            </w:r>
          </w:p>
        </w:tc>
      </w:tr>
      <w:tr w:rsidR="00EC44B5" w:rsidRPr="00F153F6" w14:paraId="071E424E" w14:textId="681BE794" w:rsidTr="001862E7">
        <w:tc>
          <w:tcPr>
            <w:tcW w:w="1413" w:type="dxa"/>
            <w:vMerge w:val="restart"/>
          </w:tcPr>
          <w:p w14:paraId="0C2F7A7E" w14:textId="287365F5" w:rsidR="00EC44B5" w:rsidRPr="00F153F6" w:rsidRDefault="00EC44B5" w:rsidP="004424B4">
            <w:pPr>
              <w:spacing w:line="360" w:lineRule="auto"/>
              <w:jc w:val="center"/>
              <w:rPr>
                <w:rFonts w:ascii="Times New Roman" w:hAnsi="Times New Roman" w:cs="Times New Roman"/>
              </w:rPr>
            </w:pPr>
            <w:r w:rsidRPr="00F153F6">
              <w:rPr>
                <w:rFonts w:ascii="Times New Roman" w:hAnsi="Times New Roman" w:cs="Times New Roman"/>
              </w:rPr>
              <w:t>Conditional Knowledge</w:t>
            </w:r>
            <w:r w:rsidR="007335B8" w:rsidRPr="00F153F6">
              <w:rPr>
                <w:rFonts w:ascii="Times New Roman" w:hAnsi="Times New Roman" w:cs="Times New Roman"/>
              </w:rPr>
              <w:t>-</w:t>
            </w:r>
            <w:r w:rsidRPr="00F153F6">
              <w:rPr>
                <w:rFonts w:ascii="Times New Roman" w:hAnsi="Times New Roman" w:cs="Times New Roman"/>
              </w:rPr>
              <w:t>ability</w:t>
            </w:r>
          </w:p>
        </w:tc>
        <w:tc>
          <w:tcPr>
            <w:tcW w:w="1701" w:type="dxa"/>
            <w:vMerge w:val="restart"/>
          </w:tcPr>
          <w:p w14:paraId="7A70EB8C" w14:textId="77777777" w:rsidR="00EC44B5" w:rsidRPr="00F153F6" w:rsidRDefault="00EC44B5" w:rsidP="004424B4">
            <w:pPr>
              <w:spacing w:line="360" w:lineRule="auto"/>
              <w:jc w:val="center"/>
              <w:rPr>
                <w:rFonts w:ascii="Times New Roman" w:hAnsi="Times New Roman" w:cs="Times New Roman"/>
              </w:rPr>
            </w:pPr>
            <w:r w:rsidRPr="00F153F6">
              <w:rPr>
                <w:rFonts w:ascii="Times New Roman" w:hAnsi="Times New Roman" w:cs="Times New Roman"/>
              </w:rPr>
              <w:t>Inter-connecting</w:t>
            </w:r>
          </w:p>
          <w:p w14:paraId="563B7048" w14:textId="77777777" w:rsidR="009353B2" w:rsidRPr="00F153F6" w:rsidRDefault="009353B2" w:rsidP="004424B4">
            <w:pPr>
              <w:spacing w:line="360" w:lineRule="auto"/>
              <w:jc w:val="center"/>
              <w:rPr>
                <w:rFonts w:ascii="Times New Roman" w:hAnsi="Times New Roman" w:cs="Times New Roman"/>
              </w:rPr>
            </w:pPr>
          </w:p>
          <w:p w14:paraId="147AEE12" w14:textId="77D6191B" w:rsidR="009353B2" w:rsidRPr="00F153F6" w:rsidRDefault="009353B2" w:rsidP="004424B4">
            <w:pPr>
              <w:spacing w:line="360" w:lineRule="auto"/>
              <w:jc w:val="center"/>
              <w:rPr>
                <w:rFonts w:ascii="Times New Roman" w:hAnsi="Times New Roman" w:cs="Times New Roman"/>
              </w:rPr>
            </w:pPr>
            <w:r w:rsidRPr="00F153F6">
              <w:rPr>
                <w:rFonts w:ascii="Times New Roman" w:hAnsi="Times New Roman" w:cs="Times New Roman"/>
              </w:rPr>
              <w:t>People shapes inter-connections with each other by knowing how to cultivate different relationships with different people</w:t>
            </w:r>
          </w:p>
        </w:tc>
        <w:tc>
          <w:tcPr>
            <w:tcW w:w="1701" w:type="dxa"/>
            <w:vMerge w:val="restart"/>
          </w:tcPr>
          <w:p w14:paraId="4B0BE827" w14:textId="4EB7171E" w:rsidR="00EC44B5" w:rsidRPr="00F153F6" w:rsidRDefault="00EC44B5" w:rsidP="004424B4">
            <w:pPr>
              <w:spacing w:line="360" w:lineRule="auto"/>
              <w:jc w:val="center"/>
              <w:rPr>
                <w:rFonts w:ascii="Times New Roman" w:hAnsi="Times New Roman" w:cs="Times New Roman"/>
              </w:rPr>
            </w:pPr>
            <w:r w:rsidRPr="00F153F6">
              <w:rPr>
                <w:rFonts w:ascii="Times New Roman" w:hAnsi="Times New Roman" w:cs="Times New Roman"/>
              </w:rPr>
              <w:t>Cultivating Partnership</w:t>
            </w:r>
          </w:p>
        </w:tc>
        <w:tc>
          <w:tcPr>
            <w:tcW w:w="4536" w:type="dxa"/>
          </w:tcPr>
          <w:p w14:paraId="22D6022D" w14:textId="375B4164" w:rsidR="00EC44B5" w:rsidRPr="00F153F6" w:rsidRDefault="00EC44B5" w:rsidP="004424B4">
            <w:pPr>
              <w:spacing w:line="360" w:lineRule="auto"/>
              <w:jc w:val="center"/>
              <w:rPr>
                <w:rFonts w:ascii="Times New Roman" w:hAnsi="Times New Roman" w:cs="Times New Roman"/>
              </w:rPr>
            </w:pPr>
            <w:r w:rsidRPr="00F153F6">
              <w:rPr>
                <w:rFonts w:ascii="Times New Roman" w:hAnsi="Times New Roman" w:cs="Times New Roman"/>
              </w:rPr>
              <w:t>Attract technical partners to get involved</w:t>
            </w:r>
            <w:r w:rsidR="001862E7">
              <w:rPr>
                <w:rFonts w:ascii="Times New Roman" w:hAnsi="Times New Roman" w:cs="Times New Roman"/>
              </w:rPr>
              <w:t xml:space="preserve"> </w:t>
            </w:r>
            <w:r w:rsidRPr="00F153F6">
              <w:rPr>
                <w:rFonts w:ascii="Times New Roman" w:hAnsi="Times New Roman" w:cs="Times New Roman"/>
              </w:rPr>
              <w:t>(</w:t>
            </w:r>
            <w:r w:rsidR="001862E7">
              <w:rPr>
                <w:rFonts w:ascii="Times New Roman" w:hAnsi="Times New Roman" w:cs="Times New Roman"/>
              </w:rPr>
              <w:t>A</w:t>
            </w:r>
            <w:r w:rsidRPr="00F153F6">
              <w:rPr>
                <w:rFonts w:ascii="Times New Roman" w:hAnsi="Times New Roman" w:cs="Times New Roman"/>
              </w:rPr>
              <w:t>12)</w:t>
            </w:r>
          </w:p>
        </w:tc>
        <w:tc>
          <w:tcPr>
            <w:tcW w:w="4536" w:type="dxa"/>
            <w:vMerge w:val="restart"/>
          </w:tcPr>
          <w:p w14:paraId="7BAB0A3C" w14:textId="25A0B5AD" w:rsidR="00EC44B5" w:rsidRPr="00F153F6" w:rsidRDefault="00EC44B5" w:rsidP="00F4591E">
            <w:pPr>
              <w:pStyle w:val="ListParagraph"/>
              <w:numPr>
                <w:ilvl w:val="0"/>
                <w:numId w:val="12"/>
              </w:numPr>
              <w:spacing w:line="360" w:lineRule="auto"/>
              <w:rPr>
                <w:rFonts w:ascii="Times New Roman" w:hAnsi="Times New Roman" w:cs="Times New Roman"/>
              </w:rPr>
            </w:pPr>
            <w:r w:rsidRPr="00F153F6">
              <w:rPr>
                <w:rFonts w:ascii="Times New Roman" w:hAnsi="Times New Roman" w:cs="Times New Roman"/>
              </w:rPr>
              <w:t>Stakeholders build initial network with each other</w:t>
            </w:r>
            <w:r w:rsidR="007335B8" w:rsidRPr="00F153F6">
              <w:rPr>
                <w:rFonts w:ascii="Times New Roman" w:hAnsi="Times New Roman" w:cs="Times New Roman"/>
              </w:rPr>
              <w:t xml:space="preserve"> to cultivate a potential partnership</w:t>
            </w:r>
            <w:r w:rsidRPr="00F153F6">
              <w:rPr>
                <w:rFonts w:ascii="Times New Roman" w:hAnsi="Times New Roman" w:cs="Times New Roman"/>
              </w:rPr>
              <w:t xml:space="preserve">. </w:t>
            </w:r>
          </w:p>
          <w:p w14:paraId="1F294C42" w14:textId="1B620D35" w:rsidR="007335B8" w:rsidRPr="00F153F6" w:rsidRDefault="007335B8" w:rsidP="00F4591E">
            <w:pPr>
              <w:pStyle w:val="ListParagraph"/>
              <w:numPr>
                <w:ilvl w:val="0"/>
                <w:numId w:val="12"/>
              </w:numPr>
              <w:spacing w:line="360" w:lineRule="auto"/>
              <w:rPr>
                <w:rFonts w:ascii="Times New Roman" w:hAnsi="Times New Roman" w:cs="Times New Roman"/>
              </w:rPr>
            </w:pPr>
            <w:r w:rsidRPr="00F153F6">
              <w:rPr>
                <w:rFonts w:ascii="Times New Roman" w:hAnsi="Times New Roman" w:cs="Times New Roman"/>
              </w:rPr>
              <w:t xml:space="preserve">Establishing contacts is the condition for any project-based </w:t>
            </w:r>
            <w:r w:rsidR="00C03E68" w:rsidRPr="00F153F6">
              <w:rPr>
                <w:rFonts w:ascii="Times New Roman" w:hAnsi="Times New Roman" w:cs="Times New Roman"/>
              </w:rPr>
              <w:t>collaboration.</w:t>
            </w:r>
          </w:p>
          <w:p w14:paraId="1190112E" w14:textId="1BA15A96" w:rsidR="00EC44B5" w:rsidRPr="00F153F6" w:rsidRDefault="007335B8" w:rsidP="00F4591E">
            <w:pPr>
              <w:pStyle w:val="ListParagraph"/>
              <w:numPr>
                <w:ilvl w:val="0"/>
                <w:numId w:val="12"/>
              </w:numPr>
              <w:spacing w:line="360" w:lineRule="auto"/>
              <w:rPr>
                <w:rFonts w:ascii="Times New Roman" w:hAnsi="Times New Roman" w:cs="Times New Roman"/>
              </w:rPr>
            </w:pPr>
            <w:r w:rsidRPr="00F153F6">
              <w:rPr>
                <w:rFonts w:ascii="Times New Roman" w:hAnsi="Times New Roman" w:cs="Times New Roman"/>
              </w:rPr>
              <w:t xml:space="preserve">Establishing </w:t>
            </w:r>
            <w:r w:rsidR="00EC44B5" w:rsidRPr="00F153F6">
              <w:rPr>
                <w:rFonts w:ascii="Times New Roman" w:hAnsi="Times New Roman" w:cs="Times New Roman"/>
              </w:rPr>
              <w:t xml:space="preserve">Initial </w:t>
            </w:r>
            <w:r w:rsidRPr="00F153F6">
              <w:rPr>
                <w:rFonts w:ascii="Times New Roman" w:hAnsi="Times New Roman" w:cs="Times New Roman"/>
              </w:rPr>
              <w:t>contact require distributed use of ICT</w:t>
            </w:r>
            <w:r w:rsidR="00C03E68" w:rsidRPr="00F153F6">
              <w:rPr>
                <w:rFonts w:ascii="Times New Roman" w:hAnsi="Times New Roman" w:cs="Times New Roman"/>
              </w:rPr>
              <w:t>.</w:t>
            </w:r>
          </w:p>
        </w:tc>
      </w:tr>
      <w:tr w:rsidR="00EC44B5" w:rsidRPr="00F153F6" w14:paraId="50B9E35A" w14:textId="5EEFC137" w:rsidTr="001862E7">
        <w:tc>
          <w:tcPr>
            <w:tcW w:w="1413" w:type="dxa"/>
            <w:vMerge/>
          </w:tcPr>
          <w:p w14:paraId="2EE26887" w14:textId="77777777" w:rsidR="00EC44B5" w:rsidRPr="00F153F6" w:rsidRDefault="00EC44B5" w:rsidP="004424B4">
            <w:pPr>
              <w:spacing w:line="360" w:lineRule="auto"/>
              <w:jc w:val="center"/>
              <w:rPr>
                <w:rFonts w:ascii="Times New Roman" w:hAnsi="Times New Roman" w:cs="Times New Roman"/>
              </w:rPr>
            </w:pPr>
          </w:p>
        </w:tc>
        <w:tc>
          <w:tcPr>
            <w:tcW w:w="1701" w:type="dxa"/>
            <w:vMerge/>
          </w:tcPr>
          <w:p w14:paraId="3ED0D3BE" w14:textId="77777777" w:rsidR="00EC44B5" w:rsidRPr="00F153F6" w:rsidRDefault="00EC44B5" w:rsidP="004424B4">
            <w:pPr>
              <w:spacing w:line="360" w:lineRule="auto"/>
              <w:jc w:val="center"/>
              <w:rPr>
                <w:rFonts w:ascii="Times New Roman" w:hAnsi="Times New Roman" w:cs="Times New Roman"/>
              </w:rPr>
            </w:pPr>
          </w:p>
        </w:tc>
        <w:tc>
          <w:tcPr>
            <w:tcW w:w="1701" w:type="dxa"/>
            <w:vMerge/>
          </w:tcPr>
          <w:p w14:paraId="6C57EB8C" w14:textId="77777777" w:rsidR="00EC44B5" w:rsidRPr="00F153F6" w:rsidRDefault="00EC44B5" w:rsidP="004424B4">
            <w:pPr>
              <w:spacing w:line="360" w:lineRule="auto"/>
              <w:jc w:val="center"/>
              <w:rPr>
                <w:rFonts w:ascii="Times New Roman" w:hAnsi="Times New Roman" w:cs="Times New Roman"/>
              </w:rPr>
            </w:pPr>
          </w:p>
        </w:tc>
        <w:tc>
          <w:tcPr>
            <w:tcW w:w="4536" w:type="dxa"/>
          </w:tcPr>
          <w:p w14:paraId="03F45DAA" w14:textId="24BBC471" w:rsidR="00EC44B5" w:rsidRPr="00F153F6" w:rsidRDefault="00EC44B5" w:rsidP="004424B4">
            <w:pPr>
              <w:spacing w:line="360" w:lineRule="auto"/>
              <w:jc w:val="center"/>
              <w:rPr>
                <w:rFonts w:ascii="Times New Roman" w:hAnsi="Times New Roman" w:cs="Times New Roman"/>
              </w:rPr>
            </w:pPr>
            <w:r w:rsidRPr="00F153F6">
              <w:rPr>
                <w:rFonts w:ascii="Times New Roman" w:hAnsi="Times New Roman" w:cs="Times New Roman"/>
              </w:rPr>
              <w:t>Use email to establish initial contact of partners (</w:t>
            </w:r>
            <w:r w:rsidR="001862E7">
              <w:rPr>
                <w:rFonts w:ascii="Times New Roman" w:hAnsi="Times New Roman" w:cs="Times New Roman"/>
              </w:rPr>
              <w:t>A</w:t>
            </w:r>
            <w:r w:rsidRPr="00F153F6">
              <w:rPr>
                <w:rFonts w:ascii="Times New Roman" w:hAnsi="Times New Roman" w:cs="Times New Roman"/>
              </w:rPr>
              <w:t>13)</w:t>
            </w:r>
          </w:p>
        </w:tc>
        <w:tc>
          <w:tcPr>
            <w:tcW w:w="4536" w:type="dxa"/>
            <w:vMerge/>
          </w:tcPr>
          <w:p w14:paraId="2ED43AF7" w14:textId="77777777" w:rsidR="00EC44B5" w:rsidRPr="00F153F6" w:rsidRDefault="00EC44B5" w:rsidP="004424B4">
            <w:pPr>
              <w:spacing w:line="360" w:lineRule="auto"/>
              <w:jc w:val="center"/>
              <w:rPr>
                <w:rFonts w:ascii="Times New Roman" w:hAnsi="Times New Roman" w:cs="Times New Roman"/>
              </w:rPr>
            </w:pPr>
          </w:p>
        </w:tc>
      </w:tr>
      <w:tr w:rsidR="00EC44B5" w:rsidRPr="00F153F6" w14:paraId="7E771E20" w14:textId="1EE6E35C" w:rsidTr="001862E7">
        <w:tc>
          <w:tcPr>
            <w:tcW w:w="1413" w:type="dxa"/>
            <w:vMerge/>
          </w:tcPr>
          <w:p w14:paraId="0653CE10" w14:textId="77777777" w:rsidR="00EC44B5" w:rsidRPr="00F153F6" w:rsidRDefault="00EC44B5" w:rsidP="004424B4">
            <w:pPr>
              <w:spacing w:line="360" w:lineRule="auto"/>
              <w:jc w:val="center"/>
              <w:rPr>
                <w:rFonts w:ascii="Times New Roman" w:hAnsi="Times New Roman" w:cs="Times New Roman"/>
              </w:rPr>
            </w:pPr>
          </w:p>
        </w:tc>
        <w:tc>
          <w:tcPr>
            <w:tcW w:w="1701" w:type="dxa"/>
            <w:vMerge/>
          </w:tcPr>
          <w:p w14:paraId="5814F189" w14:textId="77777777" w:rsidR="00EC44B5" w:rsidRPr="00F153F6" w:rsidRDefault="00EC44B5" w:rsidP="004424B4">
            <w:pPr>
              <w:spacing w:line="360" w:lineRule="auto"/>
              <w:jc w:val="center"/>
              <w:rPr>
                <w:rFonts w:ascii="Times New Roman" w:hAnsi="Times New Roman" w:cs="Times New Roman"/>
              </w:rPr>
            </w:pPr>
          </w:p>
        </w:tc>
        <w:tc>
          <w:tcPr>
            <w:tcW w:w="1701" w:type="dxa"/>
            <w:vMerge/>
          </w:tcPr>
          <w:p w14:paraId="3682F7AD" w14:textId="77777777" w:rsidR="00EC44B5" w:rsidRPr="00F153F6" w:rsidRDefault="00EC44B5" w:rsidP="004424B4">
            <w:pPr>
              <w:spacing w:line="360" w:lineRule="auto"/>
              <w:jc w:val="center"/>
              <w:rPr>
                <w:rFonts w:ascii="Times New Roman" w:hAnsi="Times New Roman" w:cs="Times New Roman"/>
              </w:rPr>
            </w:pPr>
          </w:p>
        </w:tc>
        <w:tc>
          <w:tcPr>
            <w:tcW w:w="4536" w:type="dxa"/>
          </w:tcPr>
          <w:p w14:paraId="596478B2" w14:textId="240A8D0D" w:rsidR="00EC44B5" w:rsidRPr="00F153F6" w:rsidRDefault="00EC44B5" w:rsidP="004424B4">
            <w:pPr>
              <w:spacing w:line="360" w:lineRule="auto"/>
              <w:jc w:val="center"/>
              <w:rPr>
                <w:rFonts w:ascii="Times New Roman" w:hAnsi="Times New Roman" w:cs="Times New Roman"/>
              </w:rPr>
            </w:pPr>
            <w:r w:rsidRPr="00F153F6">
              <w:rPr>
                <w:rFonts w:ascii="Times New Roman" w:hAnsi="Times New Roman" w:cs="Times New Roman"/>
              </w:rPr>
              <w:t>Establish and connect networks (</w:t>
            </w:r>
            <w:r w:rsidR="001862E7">
              <w:rPr>
                <w:rFonts w:ascii="Times New Roman" w:hAnsi="Times New Roman" w:cs="Times New Roman"/>
              </w:rPr>
              <w:t>A</w:t>
            </w:r>
            <w:r w:rsidRPr="00F153F6">
              <w:rPr>
                <w:rFonts w:ascii="Times New Roman" w:hAnsi="Times New Roman" w:cs="Times New Roman"/>
              </w:rPr>
              <w:t>13)</w:t>
            </w:r>
          </w:p>
        </w:tc>
        <w:tc>
          <w:tcPr>
            <w:tcW w:w="4536" w:type="dxa"/>
            <w:vMerge/>
          </w:tcPr>
          <w:p w14:paraId="1AACFACB" w14:textId="77777777" w:rsidR="00EC44B5" w:rsidRPr="00F153F6" w:rsidRDefault="00EC44B5" w:rsidP="004424B4">
            <w:pPr>
              <w:spacing w:line="360" w:lineRule="auto"/>
              <w:jc w:val="center"/>
              <w:rPr>
                <w:rFonts w:ascii="Times New Roman" w:hAnsi="Times New Roman" w:cs="Times New Roman"/>
              </w:rPr>
            </w:pPr>
          </w:p>
        </w:tc>
      </w:tr>
      <w:tr w:rsidR="00EC44B5" w:rsidRPr="00F153F6" w14:paraId="0204F02E" w14:textId="791E0453" w:rsidTr="001862E7">
        <w:tc>
          <w:tcPr>
            <w:tcW w:w="1413" w:type="dxa"/>
            <w:vMerge/>
          </w:tcPr>
          <w:p w14:paraId="3ACBAD2F" w14:textId="77777777" w:rsidR="00EC44B5" w:rsidRPr="00F153F6" w:rsidRDefault="00EC44B5" w:rsidP="004424B4">
            <w:pPr>
              <w:spacing w:line="360" w:lineRule="auto"/>
              <w:jc w:val="center"/>
              <w:rPr>
                <w:rFonts w:ascii="Times New Roman" w:hAnsi="Times New Roman" w:cs="Times New Roman"/>
              </w:rPr>
            </w:pPr>
          </w:p>
        </w:tc>
        <w:tc>
          <w:tcPr>
            <w:tcW w:w="1701" w:type="dxa"/>
            <w:vMerge/>
          </w:tcPr>
          <w:p w14:paraId="32BFABC8" w14:textId="77777777" w:rsidR="00EC44B5" w:rsidRPr="00F153F6" w:rsidRDefault="00EC44B5" w:rsidP="004424B4">
            <w:pPr>
              <w:spacing w:line="360" w:lineRule="auto"/>
              <w:jc w:val="center"/>
              <w:rPr>
                <w:rFonts w:ascii="Times New Roman" w:hAnsi="Times New Roman" w:cs="Times New Roman"/>
              </w:rPr>
            </w:pPr>
          </w:p>
        </w:tc>
        <w:tc>
          <w:tcPr>
            <w:tcW w:w="1701" w:type="dxa"/>
            <w:vMerge/>
          </w:tcPr>
          <w:p w14:paraId="7E2DEAF9" w14:textId="77777777" w:rsidR="00EC44B5" w:rsidRPr="00F153F6" w:rsidRDefault="00EC44B5" w:rsidP="004424B4">
            <w:pPr>
              <w:spacing w:line="360" w:lineRule="auto"/>
              <w:jc w:val="center"/>
              <w:rPr>
                <w:rFonts w:ascii="Times New Roman" w:hAnsi="Times New Roman" w:cs="Times New Roman"/>
              </w:rPr>
            </w:pPr>
          </w:p>
        </w:tc>
        <w:tc>
          <w:tcPr>
            <w:tcW w:w="4536" w:type="dxa"/>
          </w:tcPr>
          <w:p w14:paraId="429C520F" w14:textId="3F4E7009" w:rsidR="00EC44B5" w:rsidRPr="00F153F6" w:rsidRDefault="00EC44B5" w:rsidP="004424B4">
            <w:pPr>
              <w:spacing w:line="360" w:lineRule="auto"/>
              <w:jc w:val="center"/>
              <w:rPr>
                <w:rFonts w:ascii="Times New Roman" w:hAnsi="Times New Roman" w:cs="Times New Roman"/>
              </w:rPr>
            </w:pPr>
            <w:r w:rsidRPr="00F153F6">
              <w:rPr>
                <w:rFonts w:ascii="Times New Roman" w:hAnsi="Times New Roman" w:cs="Times New Roman"/>
              </w:rPr>
              <w:t>…</w:t>
            </w:r>
          </w:p>
        </w:tc>
        <w:tc>
          <w:tcPr>
            <w:tcW w:w="4536" w:type="dxa"/>
            <w:vMerge/>
          </w:tcPr>
          <w:p w14:paraId="0F98E867" w14:textId="77777777" w:rsidR="00EC44B5" w:rsidRPr="00F153F6" w:rsidRDefault="00EC44B5" w:rsidP="004424B4">
            <w:pPr>
              <w:spacing w:line="360" w:lineRule="auto"/>
              <w:jc w:val="center"/>
              <w:rPr>
                <w:rFonts w:ascii="Times New Roman" w:hAnsi="Times New Roman" w:cs="Times New Roman"/>
              </w:rPr>
            </w:pPr>
          </w:p>
        </w:tc>
      </w:tr>
      <w:tr w:rsidR="00EC44B5" w:rsidRPr="00F153F6" w14:paraId="7C3EA8DA" w14:textId="781881D2" w:rsidTr="001862E7">
        <w:tc>
          <w:tcPr>
            <w:tcW w:w="1413" w:type="dxa"/>
            <w:vMerge/>
          </w:tcPr>
          <w:p w14:paraId="127EC950" w14:textId="77777777" w:rsidR="00EC44B5" w:rsidRPr="00F153F6" w:rsidRDefault="00EC44B5" w:rsidP="004424B4">
            <w:pPr>
              <w:spacing w:line="360" w:lineRule="auto"/>
              <w:jc w:val="center"/>
              <w:rPr>
                <w:rFonts w:ascii="Times New Roman" w:hAnsi="Times New Roman" w:cs="Times New Roman"/>
              </w:rPr>
            </w:pPr>
          </w:p>
        </w:tc>
        <w:tc>
          <w:tcPr>
            <w:tcW w:w="1701" w:type="dxa"/>
            <w:vMerge/>
          </w:tcPr>
          <w:p w14:paraId="24FDC92C" w14:textId="77777777" w:rsidR="00EC44B5" w:rsidRPr="00F153F6" w:rsidRDefault="00EC44B5" w:rsidP="004424B4">
            <w:pPr>
              <w:spacing w:line="360" w:lineRule="auto"/>
              <w:jc w:val="center"/>
              <w:rPr>
                <w:rFonts w:ascii="Times New Roman" w:hAnsi="Times New Roman" w:cs="Times New Roman"/>
              </w:rPr>
            </w:pPr>
          </w:p>
        </w:tc>
        <w:tc>
          <w:tcPr>
            <w:tcW w:w="1701" w:type="dxa"/>
            <w:vMerge w:val="restart"/>
          </w:tcPr>
          <w:p w14:paraId="371B75ED" w14:textId="2B1DC057" w:rsidR="00EC44B5" w:rsidRPr="00F153F6" w:rsidRDefault="00EC44B5" w:rsidP="004424B4">
            <w:pPr>
              <w:spacing w:line="360" w:lineRule="auto"/>
              <w:jc w:val="center"/>
              <w:rPr>
                <w:rFonts w:ascii="Times New Roman" w:hAnsi="Times New Roman" w:cs="Times New Roman"/>
              </w:rPr>
            </w:pPr>
            <w:r w:rsidRPr="00F153F6">
              <w:rPr>
                <w:rFonts w:ascii="Times New Roman" w:hAnsi="Times New Roman" w:cs="Times New Roman"/>
              </w:rPr>
              <w:t>Connecting</w:t>
            </w:r>
          </w:p>
        </w:tc>
        <w:tc>
          <w:tcPr>
            <w:tcW w:w="4536" w:type="dxa"/>
          </w:tcPr>
          <w:p w14:paraId="3387CFE1" w14:textId="6AADBCAC" w:rsidR="00EC44B5" w:rsidRPr="00F153F6" w:rsidRDefault="007335B8" w:rsidP="004424B4">
            <w:pPr>
              <w:spacing w:line="360" w:lineRule="auto"/>
              <w:jc w:val="center"/>
              <w:rPr>
                <w:rFonts w:ascii="Times New Roman" w:hAnsi="Times New Roman" w:cs="Times New Roman"/>
              </w:rPr>
            </w:pPr>
            <w:r w:rsidRPr="00F153F6">
              <w:rPr>
                <w:rFonts w:ascii="Times New Roman" w:hAnsi="Times New Roman" w:cs="Times New Roman"/>
              </w:rPr>
              <w:t>A LL platform gathering different stakeholders (</w:t>
            </w:r>
            <w:r w:rsidR="001862E7">
              <w:rPr>
                <w:rFonts w:ascii="Times New Roman" w:hAnsi="Times New Roman" w:cs="Times New Roman"/>
              </w:rPr>
              <w:t>A</w:t>
            </w:r>
            <w:r w:rsidRPr="00F153F6">
              <w:rPr>
                <w:rFonts w:ascii="Times New Roman" w:hAnsi="Times New Roman" w:cs="Times New Roman"/>
              </w:rPr>
              <w:t>11)</w:t>
            </w:r>
          </w:p>
        </w:tc>
        <w:tc>
          <w:tcPr>
            <w:tcW w:w="4536" w:type="dxa"/>
            <w:vMerge w:val="restart"/>
          </w:tcPr>
          <w:p w14:paraId="36BF71CB" w14:textId="1E77F5DD" w:rsidR="007335B8" w:rsidRPr="00F153F6" w:rsidRDefault="007335B8" w:rsidP="004B42EA">
            <w:pPr>
              <w:pStyle w:val="ListParagraph"/>
              <w:numPr>
                <w:ilvl w:val="0"/>
                <w:numId w:val="11"/>
              </w:numPr>
              <w:spacing w:line="360" w:lineRule="auto"/>
              <w:rPr>
                <w:rFonts w:ascii="Times New Roman" w:hAnsi="Times New Roman" w:cs="Times New Roman"/>
              </w:rPr>
            </w:pPr>
            <w:r w:rsidRPr="00F153F6">
              <w:rPr>
                <w:rFonts w:ascii="Times New Roman" w:hAnsi="Times New Roman" w:cs="Times New Roman"/>
              </w:rPr>
              <w:t xml:space="preserve">Stakeholders are gathered for </w:t>
            </w:r>
            <w:r w:rsidR="009353B2" w:rsidRPr="00F153F6">
              <w:rPr>
                <w:rFonts w:ascii="Times New Roman" w:hAnsi="Times New Roman" w:cs="Times New Roman"/>
              </w:rPr>
              <w:t>internal team</w:t>
            </w:r>
            <w:r w:rsidRPr="00F153F6">
              <w:rPr>
                <w:rFonts w:ascii="Times New Roman" w:hAnsi="Times New Roman" w:cs="Times New Roman"/>
              </w:rPr>
              <w:t xml:space="preserve"> </w:t>
            </w:r>
            <w:r w:rsidR="00C03E68" w:rsidRPr="00F153F6">
              <w:rPr>
                <w:rFonts w:ascii="Times New Roman" w:hAnsi="Times New Roman" w:cs="Times New Roman"/>
              </w:rPr>
              <w:t>communication.</w:t>
            </w:r>
          </w:p>
          <w:p w14:paraId="0B55CAC1" w14:textId="775A9F92" w:rsidR="00DE1ED8" w:rsidRPr="00F153F6" w:rsidRDefault="007335B8" w:rsidP="004B42EA">
            <w:pPr>
              <w:pStyle w:val="ListParagraph"/>
              <w:numPr>
                <w:ilvl w:val="0"/>
                <w:numId w:val="11"/>
              </w:numPr>
              <w:spacing w:line="360" w:lineRule="auto"/>
              <w:rPr>
                <w:rFonts w:ascii="Times New Roman" w:hAnsi="Times New Roman" w:cs="Times New Roman"/>
              </w:rPr>
            </w:pPr>
            <w:r w:rsidRPr="00F153F6">
              <w:rPr>
                <w:rFonts w:ascii="Times New Roman" w:hAnsi="Times New Roman" w:cs="Times New Roman"/>
              </w:rPr>
              <w:t xml:space="preserve">Connecting people together via tools is the condition for any project-based </w:t>
            </w:r>
            <w:r w:rsidR="00C03E68" w:rsidRPr="00F153F6">
              <w:rPr>
                <w:rFonts w:ascii="Times New Roman" w:hAnsi="Times New Roman" w:cs="Times New Roman"/>
              </w:rPr>
              <w:t>collaboration.</w:t>
            </w:r>
          </w:p>
          <w:p w14:paraId="5F393D4A" w14:textId="181CE60A" w:rsidR="00DE1ED8" w:rsidRPr="00F153F6" w:rsidRDefault="00DE1ED8" w:rsidP="004B42EA">
            <w:pPr>
              <w:pStyle w:val="ListParagraph"/>
              <w:numPr>
                <w:ilvl w:val="0"/>
                <w:numId w:val="11"/>
              </w:numPr>
              <w:spacing w:line="360" w:lineRule="auto"/>
              <w:rPr>
                <w:rFonts w:ascii="Times New Roman" w:hAnsi="Times New Roman" w:cs="Times New Roman"/>
              </w:rPr>
            </w:pPr>
            <w:r w:rsidRPr="00F153F6">
              <w:rPr>
                <w:rFonts w:ascii="Times New Roman" w:hAnsi="Times New Roman" w:cs="Times New Roman"/>
              </w:rPr>
              <w:t>ICT has both enablement and constraints by mediating human interactions</w:t>
            </w:r>
            <w:r w:rsidR="00C03E68" w:rsidRPr="00F153F6">
              <w:rPr>
                <w:rFonts w:ascii="Times New Roman" w:hAnsi="Times New Roman" w:cs="Times New Roman"/>
              </w:rPr>
              <w:t>.</w:t>
            </w:r>
          </w:p>
        </w:tc>
      </w:tr>
      <w:tr w:rsidR="00EC44B5" w:rsidRPr="00F153F6" w14:paraId="089FEEB7" w14:textId="31F11E38" w:rsidTr="001862E7">
        <w:tc>
          <w:tcPr>
            <w:tcW w:w="1413" w:type="dxa"/>
            <w:vMerge/>
          </w:tcPr>
          <w:p w14:paraId="0AE0A34B" w14:textId="77777777" w:rsidR="00EC44B5" w:rsidRPr="00F153F6" w:rsidRDefault="00EC44B5" w:rsidP="004424B4">
            <w:pPr>
              <w:spacing w:line="360" w:lineRule="auto"/>
              <w:jc w:val="center"/>
              <w:rPr>
                <w:rFonts w:ascii="Times New Roman" w:hAnsi="Times New Roman" w:cs="Times New Roman"/>
              </w:rPr>
            </w:pPr>
          </w:p>
        </w:tc>
        <w:tc>
          <w:tcPr>
            <w:tcW w:w="1701" w:type="dxa"/>
            <w:vMerge/>
          </w:tcPr>
          <w:p w14:paraId="66E51D88" w14:textId="77777777" w:rsidR="00EC44B5" w:rsidRPr="00F153F6" w:rsidRDefault="00EC44B5" w:rsidP="004424B4">
            <w:pPr>
              <w:spacing w:line="360" w:lineRule="auto"/>
              <w:jc w:val="center"/>
              <w:rPr>
                <w:rFonts w:ascii="Times New Roman" w:hAnsi="Times New Roman" w:cs="Times New Roman"/>
              </w:rPr>
            </w:pPr>
          </w:p>
        </w:tc>
        <w:tc>
          <w:tcPr>
            <w:tcW w:w="1701" w:type="dxa"/>
            <w:vMerge/>
          </w:tcPr>
          <w:p w14:paraId="7EAAC777" w14:textId="77777777" w:rsidR="00EC44B5" w:rsidRPr="00F153F6" w:rsidRDefault="00EC44B5" w:rsidP="004424B4">
            <w:pPr>
              <w:spacing w:line="360" w:lineRule="auto"/>
              <w:jc w:val="center"/>
              <w:rPr>
                <w:rFonts w:ascii="Times New Roman" w:hAnsi="Times New Roman" w:cs="Times New Roman"/>
              </w:rPr>
            </w:pPr>
          </w:p>
        </w:tc>
        <w:tc>
          <w:tcPr>
            <w:tcW w:w="4536" w:type="dxa"/>
          </w:tcPr>
          <w:p w14:paraId="78B310FF" w14:textId="02320E7F" w:rsidR="00EC44B5" w:rsidRPr="00F153F6" w:rsidRDefault="007335B8" w:rsidP="004424B4">
            <w:pPr>
              <w:spacing w:line="360" w:lineRule="auto"/>
              <w:jc w:val="center"/>
              <w:rPr>
                <w:rFonts w:ascii="Times New Roman" w:hAnsi="Times New Roman" w:cs="Times New Roman"/>
              </w:rPr>
            </w:pPr>
            <w:r w:rsidRPr="00F153F6">
              <w:rPr>
                <w:rFonts w:ascii="Times New Roman" w:hAnsi="Times New Roman" w:cs="Times New Roman"/>
              </w:rPr>
              <w:t>Wasting time on gathering people together due to ICT (</w:t>
            </w:r>
            <w:r w:rsidR="001862E7">
              <w:rPr>
                <w:rFonts w:ascii="Times New Roman" w:hAnsi="Times New Roman" w:cs="Times New Roman"/>
              </w:rPr>
              <w:t>A</w:t>
            </w:r>
            <w:r w:rsidRPr="00F153F6">
              <w:rPr>
                <w:rFonts w:ascii="Times New Roman" w:hAnsi="Times New Roman" w:cs="Times New Roman"/>
              </w:rPr>
              <w:t>21)</w:t>
            </w:r>
          </w:p>
        </w:tc>
        <w:tc>
          <w:tcPr>
            <w:tcW w:w="4536" w:type="dxa"/>
            <w:vMerge/>
          </w:tcPr>
          <w:p w14:paraId="0A21181F" w14:textId="77777777" w:rsidR="00EC44B5" w:rsidRPr="00F153F6" w:rsidRDefault="00EC44B5" w:rsidP="004424B4">
            <w:pPr>
              <w:spacing w:line="360" w:lineRule="auto"/>
              <w:jc w:val="center"/>
              <w:rPr>
                <w:rFonts w:ascii="Times New Roman" w:hAnsi="Times New Roman" w:cs="Times New Roman"/>
              </w:rPr>
            </w:pPr>
          </w:p>
        </w:tc>
      </w:tr>
      <w:tr w:rsidR="00EC44B5" w:rsidRPr="00F153F6" w14:paraId="11AADD8C" w14:textId="32A72592" w:rsidTr="001862E7">
        <w:tc>
          <w:tcPr>
            <w:tcW w:w="1413" w:type="dxa"/>
            <w:vMerge/>
          </w:tcPr>
          <w:p w14:paraId="7A95A17E" w14:textId="77777777" w:rsidR="00EC44B5" w:rsidRPr="00F153F6" w:rsidRDefault="00EC44B5" w:rsidP="004424B4">
            <w:pPr>
              <w:spacing w:line="360" w:lineRule="auto"/>
              <w:jc w:val="center"/>
              <w:rPr>
                <w:rFonts w:ascii="Times New Roman" w:hAnsi="Times New Roman" w:cs="Times New Roman"/>
              </w:rPr>
            </w:pPr>
          </w:p>
        </w:tc>
        <w:tc>
          <w:tcPr>
            <w:tcW w:w="1701" w:type="dxa"/>
            <w:vMerge/>
          </w:tcPr>
          <w:p w14:paraId="596155C2" w14:textId="77777777" w:rsidR="00EC44B5" w:rsidRPr="00F153F6" w:rsidRDefault="00EC44B5" w:rsidP="004424B4">
            <w:pPr>
              <w:spacing w:line="360" w:lineRule="auto"/>
              <w:jc w:val="center"/>
              <w:rPr>
                <w:rFonts w:ascii="Times New Roman" w:hAnsi="Times New Roman" w:cs="Times New Roman"/>
              </w:rPr>
            </w:pPr>
          </w:p>
        </w:tc>
        <w:tc>
          <w:tcPr>
            <w:tcW w:w="1701" w:type="dxa"/>
            <w:vMerge/>
          </w:tcPr>
          <w:p w14:paraId="0623DE67" w14:textId="77777777" w:rsidR="00EC44B5" w:rsidRPr="00F153F6" w:rsidRDefault="00EC44B5" w:rsidP="004424B4">
            <w:pPr>
              <w:spacing w:line="360" w:lineRule="auto"/>
              <w:jc w:val="center"/>
              <w:rPr>
                <w:rFonts w:ascii="Times New Roman" w:hAnsi="Times New Roman" w:cs="Times New Roman"/>
              </w:rPr>
            </w:pPr>
          </w:p>
        </w:tc>
        <w:tc>
          <w:tcPr>
            <w:tcW w:w="4536" w:type="dxa"/>
          </w:tcPr>
          <w:p w14:paraId="2917D09D" w14:textId="492D5B70" w:rsidR="00EC44B5" w:rsidRPr="00F153F6" w:rsidRDefault="007335B8" w:rsidP="004424B4">
            <w:pPr>
              <w:spacing w:line="360" w:lineRule="auto"/>
              <w:jc w:val="center"/>
              <w:rPr>
                <w:rFonts w:ascii="Times New Roman" w:hAnsi="Times New Roman" w:cs="Times New Roman"/>
              </w:rPr>
            </w:pPr>
            <w:r w:rsidRPr="00F153F6">
              <w:rPr>
                <w:rFonts w:ascii="Times New Roman" w:hAnsi="Times New Roman" w:cs="Times New Roman"/>
              </w:rPr>
              <w:t>Meeting stakeholders virtually at early project stage (</w:t>
            </w:r>
            <w:r w:rsidR="001862E7">
              <w:rPr>
                <w:rFonts w:ascii="Times New Roman" w:hAnsi="Times New Roman" w:cs="Times New Roman"/>
              </w:rPr>
              <w:t>A</w:t>
            </w:r>
            <w:r w:rsidRPr="00F153F6">
              <w:rPr>
                <w:rFonts w:ascii="Times New Roman" w:hAnsi="Times New Roman" w:cs="Times New Roman"/>
              </w:rPr>
              <w:t>21)</w:t>
            </w:r>
          </w:p>
        </w:tc>
        <w:tc>
          <w:tcPr>
            <w:tcW w:w="4536" w:type="dxa"/>
            <w:vMerge/>
          </w:tcPr>
          <w:p w14:paraId="51591061" w14:textId="77777777" w:rsidR="00EC44B5" w:rsidRPr="00F153F6" w:rsidRDefault="00EC44B5" w:rsidP="004424B4">
            <w:pPr>
              <w:spacing w:line="360" w:lineRule="auto"/>
              <w:jc w:val="center"/>
              <w:rPr>
                <w:rFonts w:ascii="Times New Roman" w:hAnsi="Times New Roman" w:cs="Times New Roman"/>
              </w:rPr>
            </w:pPr>
          </w:p>
        </w:tc>
      </w:tr>
      <w:tr w:rsidR="00EC44B5" w:rsidRPr="00F153F6" w14:paraId="23AFCE1D" w14:textId="77777777" w:rsidTr="001862E7">
        <w:tc>
          <w:tcPr>
            <w:tcW w:w="1413" w:type="dxa"/>
            <w:vMerge/>
          </w:tcPr>
          <w:p w14:paraId="4E7B7E07" w14:textId="77777777" w:rsidR="00EC44B5" w:rsidRPr="00F153F6" w:rsidRDefault="00EC44B5" w:rsidP="004424B4">
            <w:pPr>
              <w:spacing w:line="360" w:lineRule="auto"/>
              <w:jc w:val="center"/>
              <w:rPr>
                <w:rFonts w:ascii="Times New Roman" w:hAnsi="Times New Roman" w:cs="Times New Roman"/>
              </w:rPr>
            </w:pPr>
          </w:p>
        </w:tc>
        <w:tc>
          <w:tcPr>
            <w:tcW w:w="1701" w:type="dxa"/>
            <w:vMerge/>
          </w:tcPr>
          <w:p w14:paraId="729EA496" w14:textId="77777777" w:rsidR="00EC44B5" w:rsidRPr="00F153F6" w:rsidRDefault="00EC44B5" w:rsidP="004424B4">
            <w:pPr>
              <w:spacing w:line="360" w:lineRule="auto"/>
              <w:jc w:val="center"/>
              <w:rPr>
                <w:rFonts w:ascii="Times New Roman" w:hAnsi="Times New Roman" w:cs="Times New Roman"/>
              </w:rPr>
            </w:pPr>
          </w:p>
        </w:tc>
        <w:tc>
          <w:tcPr>
            <w:tcW w:w="1701" w:type="dxa"/>
            <w:vMerge/>
          </w:tcPr>
          <w:p w14:paraId="4B1D0AB9" w14:textId="77777777" w:rsidR="00EC44B5" w:rsidRPr="00F153F6" w:rsidRDefault="00EC44B5" w:rsidP="004424B4">
            <w:pPr>
              <w:spacing w:line="360" w:lineRule="auto"/>
              <w:jc w:val="center"/>
              <w:rPr>
                <w:rFonts w:ascii="Times New Roman" w:hAnsi="Times New Roman" w:cs="Times New Roman"/>
              </w:rPr>
            </w:pPr>
          </w:p>
        </w:tc>
        <w:tc>
          <w:tcPr>
            <w:tcW w:w="4536" w:type="dxa"/>
          </w:tcPr>
          <w:p w14:paraId="34313B57" w14:textId="422AD0F8" w:rsidR="00EC44B5" w:rsidRPr="00F153F6" w:rsidRDefault="007335B8" w:rsidP="004424B4">
            <w:pPr>
              <w:spacing w:line="360" w:lineRule="auto"/>
              <w:jc w:val="center"/>
              <w:rPr>
                <w:rFonts w:ascii="Times New Roman" w:hAnsi="Times New Roman" w:cs="Times New Roman"/>
              </w:rPr>
            </w:pPr>
            <w:r w:rsidRPr="00F153F6">
              <w:rPr>
                <w:rFonts w:ascii="Times New Roman" w:hAnsi="Times New Roman" w:cs="Times New Roman"/>
              </w:rPr>
              <w:t>…</w:t>
            </w:r>
          </w:p>
        </w:tc>
        <w:tc>
          <w:tcPr>
            <w:tcW w:w="4536" w:type="dxa"/>
            <w:vMerge/>
          </w:tcPr>
          <w:p w14:paraId="5FBE542B" w14:textId="77777777" w:rsidR="00EC44B5" w:rsidRPr="00F153F6" w:rsidRDefault="00EC44B5" w:rsidP="004424B4">
            <w:pPr>
              <w:spacing w:line="360" w:lineRule="auto"/>
              <w:jc w:val="center"/>
              <w:rPr>
                <w:rFonts w:ascii="Times New Roman" w:hAnsi="Times New Roman" w:cs="Times New Roman"/>
              </w:rPr>
            </w:pPr>
          </w:p>
        </w:tc>
      </w:tr>
      <w:tr w:rsidR="00EC44B5" w:rsidRPr="00F153F6" w14:paraId="09EF1349" w14:textId="77777777" w:rsidTr="001862E7">
        <w:trPr>
          <w:trHeight w:val="788"/>
        </w:trPr>
        <w:tc>
          <w:tcPr>
            <w:tcW w:w="1413" w:type="dxa"/>
            <w:vMerge/>
          </w:tcPr>
          <w:p w14:paraId="05F37BC6" w14:textId="77777777" w:rsidR="00EC44B5" w:rsidRPr="00F153F6" w:rsidRDefault="00EC44B5" w:rsidP="004424B4">
            <w:pPr>
              <w:spacing w:line="360" w:lineRule="auto"/>
              <w:jc w:val="center"/>
              <w:rPr>
                <w:rFonts w:ascii="Times New Roman" w:hAnsi="Times New Roman" w:cs="Times New Roman"/>
              </w:rPr>
            </w:pPr>
          </w:p>
        </w:tc>
        <w:tc>
          <w:tcPr>
            <w:tcW w:w="1701" w:type="dxa"/>
            <w:vMerge/>
          </w:tcPr>
          <w:p w14:paraId="68E013DF" w14:textId="77777777" w:rsidR="00EC44B5" w:rsidRPr="00F153F6" w:rsidRDefault="00EC44B5" w:rsidP="004424B4">
            <w:pPr>
              <w:spacing w:line="360" w:lineRule="auto"/>
              <w:jc w:val="center"/>
              <w:rPr>
                <w:rFonts w:ascii="Times New Roman" w:hAnsi="Times New Roman" w:cs="Times New Roman"/>
              </w:rPr>
            </w:pPr>
          </w:p>
        </w:tc>
        <w:tc>
          <w:tcPr>
            <w:tcW w:w="1701" w:type="dxa"/>
            <w:vMerge w:val="restart"/>
          </w:tcPr>
          <w:p w14:paraId="77675402" w14:textId="6CFBEDED" w:rsidR="00EC44B5" w:rsidRPr="00F153F6" w:rsidRDefault="00EC44B5" w:rsidP="004424B4">
            <w:pPr>
              <w:spacing w:line="360" w:lineRule="auto"/>
              <w:jc w:val="center"/>
              <w:rPr>
                <w:rFonts w:ascii="Times New Roman" w:hAnsi="Times New Roman" w:cs="Times New Roman"/>
              </w:rPr>
            </w:pPr>
            <w:r w:rsidRPr="00F153F6">
              <w:rPr>
                <w:rFonts w:ascii="Times New Roman" w:hAnsi="Times New Roman" w:cs="Times New Roman"/>
              </w:rPr>
              <w:t>Bridging</w:t>
            </w:r>
          </w:p>
        </w:tc>
        <w:tc>
          <w:tcPr>
            <w:tcW w:w="4536" w:type="dxa"/>
          </w:tcPr>
          <w:p w14:paraId="520ED68C" w14:textId="2EA2D1E6" w:rsidR="00EC44B5" w:rsidRPr="00F153F6" w:rsidRDefault="007335B8" w:rsidP="004424B4">
            <w:pPr>
              <w:spacing w:line="360" w:lineRule="auto"/>
              <w:jc w:val="center"/>
              <w:rPr>
                <w:rFonts w:ascii="Times New Roman" w:hAnsi="Times New Roman" w:cs="Times New Roman"/>
              </w:rPr>
            </w:pPr>
            <w:r w:rsidRPr="00F153F6">
              <w:rPr>
                <w:rFonts w:ascii="Times New Roman" w:hAnsi="Times New Roman" w:cs="Times New Roman"/>
              </w:rPr>
              <w:t>An individual as a bridge to connect different background of partners (</w:t>
            </w:r>
            <w:r w:rsidR="001862E7">
              <w:rPr>
                <w:rFonts w:ascii="Times New Roman" w:hAnsi="Times New Roman" w:cs="Times New Roman"/>
              </w:rPr>
              <w:t>A</w:t>
            </w:r>
            <w:r w:rsidRPr="00F153F6">
              <w:rPr>
                <w:rFonts w:ascii="Times New Roman" w:hAnsi="Times New Roman" w:cs="Times New Roman"/>
              </w:rPr>
              <w:t>11)</w:t>
            </w:r>
          </w:p>
        </w:tc>
        <w:tc>
          <w:tcPr>
            <w:tcW w:w="4536" w:type="dxa"/>
            <w:vMerge w:val="restart"/>
          </w:tcPr>
          <w:p w14:paraId="1E49A296" w14:textId="3DE7D6B4" w:rsidR="00EC44B5" w:rsidRPr="00F153F6" w:rsidRDefault="007335B8" w:rsidP="004424B4">
            <w:pPr>
              <w:spacing w:line="360" w:lineRule="auto"/>
              <w:jc w:val="center"/>
              <w:rPr>
                <w:rFonts w:ascii="Times New Roman" w:hAnsi="Times New Roman" w:cs="Times New Roman"/>
              </w:rPr>
            </w:pPr>
            <w:r w:rsidRPr="00F153F6">
              <w:rPr>
                <w:rFonts w:ascii="Times New Roman" w:hAnsi="Times New Roman" w:cs="Times New Roman"/>
              </w:rPr>
              <w:t>…</w:t>
            </w:r>
          </w:p>
        </w:tc>
      </w:tr>
      <w:tr w:rsidR="00EC44B5" w:rsidRPr="00F153F6" w14:paraId="1695B012" w14:textId="77777777" w:rsidTr="001862E7">
        <w:trPr>
          <w:trHeight w:val="377"/>
        </w:trPr>
        <w:tc>
          <w:tcPr>
            <w:tcW w:w="1413" w:type="dxa"/>
            <w:vMerge/>
          </w:tcPr>
          <w:p w14:paraId="260010AE" w14:textId="77777777" w:rsidR="00EC44B5" w:rsidRPr="00F153F6" w:rsidRDefault="00EC44B5" w:rsidP="004424B4">
            <w:pPr>
              <w:spacing w:line="360" w:lineRule="auto"/>
              <w:jc w:val="center"/>
              <w:rPr>
                <w:rFonts w:ascii="Times New Roman" w:hAnsi="Times New Roman" w:cs="Times New Roman"/>
              </w:rPr>
            </w:pPr>
          </w:p>
        </w:tc>
        <w:tc>
          <w:tcPr>
            <w:tcW w:w="1701" w:type="dxa"/>
            <w:vMerge/>
          </w:tcPr>
          <w:p w14:paraId="6B8CAC57" w14:textId="77777777" w:rsidR="00EC44B5" w:rsidRPr="00F153F6" w:rsidRDefault="00EC44B5" w:rsidP="004424B4">
            <w:pPr>
              <w:spacing w:line="360" w:lineRule="auto"/>
              <w:jc w:val="center"/>
              <w:rPr>
                <w:rFonts w:ascii="Times New Roman" w:hAnsi="Times New Roman" w:cs="Times New Roman"/>
              </w:rPr>
            </w:pPr>
          </w:p>
        </w:tc>
        <w:tc>
          <w:tcPr>
            <w:tcW w:w="1701" w:type="dxa"/>
            <w:vMerge/>
          </w:tcPr>
          <w:p w14:paraId="0EBC6A3D" w14:textId="77777777" w:rsidR="00EC44B5" w:rsidRPr="00F153F6" w:rsidRDefault="00EC44B5" w:rsidP="004424B4">
            <w:pPr>
              <w:spacing w:line="360" w:lineRule="auto"/>
              <w:jc w:val="center"/>
              <w:rPr>
                <w:rFonts w:ascii="Times New Roman" w:hAnsi="Times New Roman" w:cs="Times New Roman"/>
              </w:rPr>
            </w:pPr>
          </w:p>
        </w:tc>
        <w:tc>
          <w:tcPr>
            <w:tcW w:w="4536" w:type="dxa"/>
          </w:tcPr>
          <w:p w14:paraId="6D445789" w14:textId="5C08F7EB" w:rsidR="00EC44B5" w:rsidRPr="00F153F6" w:rsidRDefault="007335B8" w:rsidP="004424B4">
            <w:pPr>
              <w:spacing w:line="360" w:lineRule="auto"/>
              <w:jc w:val="center"/>
              <w:rPr>
                <w:rFonts w:ascii="Times New Roman" w:hAnsi="Times New Roman" w:cs="Times New Roman"/>
              </w:rPr>
            </w:pPr>
            <w:r w:rsidRPr="00F153F6">
              <w:rPr>
                <w:rFonts w:ascii="Times New Roman" w:hAnsi="Times New Roman" w:cs="Times New Roman"/>
              </w:rPr>
              <w:t>…</w:t>
            </w:r>
          </w:p>
        </w:tc>
        <w:tc>
          <w:tcPr>
            <w:tcW w:w="4536" w:type="dxa"/>
            <w:vMerge/>
          </w:tcPr>
          <w:p w14:paraId="71DF1781" w14:textId="77777777" w:rsidR="00EC44B5" w:rsidRPr="00F153F6" w:rsidRDefault="00EC44B5" w:rsidP="004424B4">
            <w:pPr>
              <w:spacing w:line="360" w:lineRule="auto"/>
              <w:jc w:val="center"/>
              <w:rPr>
                <w:rFonts w:ascii="Times New Roman" w:hAnsi="Times New Roman" w:cs="Times New Roman"/>
              </w:rPr>
            </w:pPr>
          </w:p>
        </w:tc>
      </w:tr>
    </w:tbl>
    <w:p w14:paraId="59C12AE5" w14:textId="77777777" w:rsidR="004B42EA" w:rsidRPr="00F153F6" w:rsidRDefault="004B42EA" w:rsidP="00F4591E">
      <w:pPr>
        <w:spacing w:line="360" w:lineRule="auto"/>
        <w:rPr>
          <w:rFonts w:ascii="Times New Roman" w:hAnsi="Times New Roman" w:cs="Times New Roman"/>
          <w:sz w:val="24"/>
          <w:szCs w:val="24"/>
        </w:rPr>
        <w:sectPr w:rsidR="004B42EA" w:rsidRPr="00F153F6" w:rsidSect="004B42EA">
          <w:pgSz w:w="16838" w:h="11906" w:orient="landscape"/>
          <w:pgMar w:top="1440" w:right="1440" w:bottom="1440" w:left="1440" w:header="708" w:footer="708" w:gutter="0"/>
          <w:cols w:space="708"/>
          <w:titlePg/>
          <w:docGrid w:linePitch="360"/>
        </w:sectPr>
      </w:pPr>
    </w:p>
    <w:p w14:paraId="3E677EEB" w14:textId="77777777" w:rsidR="00F85531" w:rsidRPr="00F153F6" w:rsidRDefault="00F85531" w:rsidP="004424B4">
      <w:pPr>
        <w:spacing w:line="360" w:lineRule="auto"/>
        <w:jc w:val="center"/>
        <w:rPr>
          <w:rFonts w:ascii="Times New Roman" w:hAnsi="Times New Roman" w:cs="Times New Roman"/>
          <w:sz w:val="24"/>
          <w:szCs w:val="24"/>
        </w:rPr>
      </w:pPr>
    </w:p>
    <w:p w14:paraId="656AF64D" w14:textId="4488927E"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Constant comparison is the core method in CGT that underpins the coding process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{"citationID":"rz0ieDhl","properties":{"formattedCitation":"(Glaser &amp; Strauss, 1967)","plainCitation":"(Glaser &amp; Strauss, 1967)","noteIndex":0},"citationItems":[{"id":993,"uris":["http://zotero.org/users/5709166/items/DSF8R6HJ"],"itemData":{"id":993,"type":"book","edition":"4. paperback printing","event-place":"New Brunswick","ISBN":"978-0-202-30260-7","language":"en","note":"OCLC: 553535517","number-of-pages":"271","publisher":"Aldine","publisher-place":"New Brunswick","source":"Gemeinsamer Bibliotheksverbund ISBN","title":"The discovery of grounded theory: strategies for qualitative research","title-short":"The discovery of grounded theory","author":[{"family":"Glaser","given":"Barney G."},{"family":"Strauss","given":"Anselm L."}],"issued":{"date-parts":[["1967"]]}}}],"schema":"https://github.com/citation-style-language/schema/raw/master/csl-citation.json"}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(Glaser &amp; Strauss, 1967)</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This method suggests that the researcher compares data sets by constantly checking for commonalities and differences. When new codes generate, existing codes need to be reanalysed to promote consistency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{"citationID":"2JrlZQFU","properties":{"formattedCitation":"(Saunders et al., 2015)","plainCitation":"(Saunders et al., 2015)","noteIndex":0},"citationItems":[{"id":2294,"uris":["http://zotero.org/users/5709166/items/GH5XKWAI"],"itemData":{"id":2294,"type":"book","call-number":"HD30.4 .S28 2015","edition":"Seventh edition","event-place":"New York","ISBN":"978-1-292-01662-7","language":"en","publisher":"Pearson Education","publisher-place":"New York","source":"Library of Congress ISBN","title":"Research methods for business students","author":[{"family":"Saunders","given":"M. N. K."},{"family":"Lewis","given":"Philip"},{"family":"Thornhill","given":"Adrian"}],"issued":{"date-parts":[["2015"]]}}}],"schema":"https://github.com/citation-style-language/schema/raw/master/csl-citation.json"}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(Saunders et al., 2015)</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Memos related to all detailed coding processes are necessary to recorded during constant comparison, which can help to show how different ideas arrive in Grounded Theory. Furthermore, the researcher will purposively select the initial participant who is considered as the Living Lab project manager to collect initial data. After coding and analysing the initial data, theoretical sampling commences based on categories or concepts developed from the initial data set </w:t>
      </w:r>
      <w:r w:rsidRPr="00F153F6">
        <w:rPr>
          <w:rFonts w:ascii="Times New Roman" w:hAnsi="Times New Roman" w:cs="Times New Roman"/>
          <w:sz w:val="24"/>
          <w:szCs w:val="24"/>
        </w:rPr>
        <w:fldChar w:fldCharType="begin"/>
      </w:r>
      <w:r w:rsidR="0043432B" w:rsidRPr="00F153F6">
        <w:rPr>
          <w:rFonts w:ascii="Times New Roman" w:hAnsi="Times New Roman" w:cs="Times New Roman"/>
          <w:sz w:val="24"/>
          <w:szCs w:val="24"/>
        </w:rPr>
        <w:instrText xml:space="preserve"> ADDIN ZOTERO_ITEM CSL_CITATION {"citationID":"a1pjndp5ecr","properties":{"formattedCitation":"(Chun Tie et al., 2019)","plainCitation":"(Chun Tie et al., 2019)","dontUpdate":true,"noteIndex":0},"citationItems":[{"id":2371,"uris":["http://zotero.org/users/5709166/items/9FVLW5GP"],"itemData":{"id":2371,"type":"article-journal","abstract":"Background:\nGrounded theory is a well-known methodology employed in many research studies. Qualitative and quantitative data generation techniques can be used in a grounded theory study. Grounded theory sets out to discover or construct theory from data, systematically obtained and analysed using comparative analysis. While grounded theory is inherently flexible, it is a complex methodology. Thus, novice researchers strive to understand the discourse and the practical application of grounded theory concepts and processes.\n\nObjective:\nThe aim of this article is to provide a contemporary research framework suitable to inform a grounded theory study.\n\nResult:\nThis article provides an overview of grounded theory illustrated through a graphic representation of the processes and methods employed in conducting research using this methodology. The framework is presented as a diagrammatic representation of a research design and acts as a visual guide for the novice grounded theory researcher.\n\nDiscussion:\nAs grounded theory is not a linear process, the framework illustrates the interplay between the essential grounded theory methods and iterative and comparative actions involved. Each of the essential methods and processes that underpin grounded theory are defined in this article.\n\nConclusion:\nRather than an engagement in philosophical discussion or a debate of the different genres that can be used in grounded theory, this article illustrates how a framework for a research study design can be used to guide and inform the novice nurse researcher undertaking a study using grounded theory. Research findings and recommendations can contribute to policy or knowledge development, service provision and can reform thinking to initiate change in the substantive area of inquiry.","container-title":"SAGE Open Medicine","DOI":"10.1177/2050312118822927","ISSN":"2050-3121","journalAbbreviation":"SAGE Open Med","note":"PMID: 30637106\nPMCID: PMC6318722","source":"PubMed Central","title":"Grounded theory research: A design framework for novice researchers","title-short":"Grounded theory research","URL":"https://www.ncbi.nlm.nih.gov/pmc/articles/PMC6318722/","volume":"7","author":[{"family":"Chun Tie","given":"Ylona"},{"family":"Birks","given":"Melanie"},{"family":"Francis","given":"Karen"}],"accessed":{"date-parts":[["2020",6,3]]},"issued":{"date-parts":[["2019",1,2]]}}}],"schema":"https://github.com/citation-style-language/schema/raw/master/csl-citation.json"}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(Tie et al., 2019)</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During the constant comparison process, the emergent theory or category analysed from the earlier data can help the researcher to identify comparative groups or concepts that will guide the researcher to decide what is next (e.g., who is the next participant, what concepts need to be explored next or verified). Two approaches are followed sequentially in dealing with these comparative groups to decide what comes next: minimising the differences in comparative groups with the aim of establishing the basic categories and concepts for emergent theory, and then maximising the differences among comparative groups with the aim of densely developing categories and delimiting the scope of the emergent theory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{"citationID":"a5iaq622vi","properties":{"formattedCitation":"(Glaser &amp; Strauss, 1967)","plainCitation":"(Glaser &amp; Strauss, 1967)","noteIndex":0},"citationItems":[{"id":993,"uris":["http://zotero.org/users/5709166/items/DSF8R6HJ"],"itemData":{"id":993,"type":"book","edition":"4. paperback printing","event-place":"New Brunswick","ISBN":"978-0-202-30260-7","language":"en","note":"OCLC: 553535517","number-of-pages":"271","publisher":"Aldine","publisher-place":"New Brunswick","source":"Gemeinsamer Bibliotheksverbund ISBN","title":"The discovery of grounded theory: strategies for qualitative research","title-short":"The discovery of grounded theory","author":[{"family":"Glaser","given":"Barney G."},{"family":"Strauss","given":"Anselm L."}],"issued":{"date-parts":[["1967"]]}}}],"schema":"https://github.com/citation-style-language/schema/raw/master/csl-citation.json"}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(Glaser &amp; Strauss, 1967)</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The aim of each approach will guide the researcher towards a theoretically relevant data collection and help to decide where next, such as who is the next participant and in which departments or organisations.</w:t>
      </w:r>
    </w:p>
    <w:p w14:paraId="5377D7EA" w14:textId="54C3FC3E" w:rsidR="002C1A2F" w:rsidRPr="00F153F6" w:rsidRDefault="002C1A2F"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Theoretical saturation provides a significant criterion to determine whether data collection can stop or not. Theoretical saturation is reached when no new codes can be integrated into categories, all categories are developed and all relationships among categories are verified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{"citationID":"a1ub2bvfang","properties":{"formattedCitation":"(Strauss &amp; Corbin, 1998)","plainCitation":"(Strauss &amp; Corbin, 1998)","noteIndex":0},"citationItems":[{"id":2273,"uris":["http://zotero.org/users/5709166/items/3Q6XYZBU"],"itemData":{"id":2273,"type":"book","call-number":"HA29 .S823 1998","edition":"2nd ed","event-place":"Thousand Oaks","ISBN":"978-0-8039-5939-2","language":"en","number-of-pages":"312","publisher":"Sage Publications","publisher-place":"Thousand Oaks","source":"Library of Congress ISBN","title":"Basics of qualitative research: techniques and procedures for developing grounded theory","title-short":"Basics of qualitative research","author":[{"family":"Strauss","given":"Anselm L."},{"family":"Corbin","given":"Juliet M."}],"issued":{"date-parts":[["1998"]]}}}],"schema":"https://github.com/citation-style-language/schema/raw/master/csl-citation.json"}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(Strauss &amp; Corbin, 1998)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In this research, practically, this is a crucial signal for the researcher to decide if it is necessary to continue conducting interviews with next </w:t>
      </w:r>
      <w:r w:rsidR="00BF50A2" w:rsidRPr="00F153F6">
        <w:rPr>
          <w:rFonts w:ascii="Times New Roman" w:hAnsi="Times New Roman" w:cs="Times New Roman"/>
          <w:sz w:val="24"/>
          <w:szCs w:val="24"/>
        </w:rPr>
        <w:t xml:space="preserve">Living Lab </w:t>
      </w:r>
      <w:r w:rsidRPr="00F153F6">
        <w:rPr>
          <w:rFonts w:ascii="Times New Roman" w:hAnsi="Times New Roman" w:cs="Times New Roman"/>
          <w:sz w:val="24"/>
          <w:szCs w:val="24"/>
        </w:rPr>
        <w:t>stakeholders. Figure 3.</w:t>
      </w:r>
      <w:r w:rsidR="00DE1ED8" w:rsidRPr="00F153F6">
        <w:rPr>
          <w:rFonts w:ascii="Times New Roman" w:hAnsi="Times New Roman" w:cs="Times New Roman"/>
          <w:sz w:val="24"/>
          <w:szCs w:val="24"/>
        </w:rPr>
        <w:t>3</w:t>
      </w:r>
      <w:r w:rsidRPr="00F153F6">
        <w:rPr>
          <w:rFonts w:ascii="Times New Roman" w:hAnsi="Times New Roman" w:cs="Times New Roman"/>
          <w:sz w:val="24"/>
          <w:szCs w:val="24"/>
        </w:rPr>
        <w:t xml:space="preserve"> shows a brief depiction of methodology adoption in this research. </w:t>
      </w:r>
    </w:p>
    <w:p w14:paraId="28B357EF" w14:textId="061E471C" w:rsidR="00845905" w:rsidRPr="00F153F6" w:rsidRDefault="002C1A2F" w:rsidP="00845905">
      <w:pPr>
        <w:keepNext/>
        <w:spacing w:line="360" w:lineRule="auto"/>
        <w:jc w:val="center"/>
        <w:rPr>
          <w:sz w:val="24"/>
          <w:szCs w:val="24"/>
        </w:rPr>
      </w:pPr>
      <w:r w:rsidRPr="00F153F6">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3C2676F3" wp14:editId="2AAE29FC">
                <wp:simplePos x="0" y="0"/>
                <wp:positionH relativeFrom="column">
                  <wp:posOffset>1381125</wp:posOffset>
                </wp:positionH>
                <wp:positionV relativeFrom="paragraph">
                  <wp:posOffset>2545080</wp:posOffset>
                </wp:positionV>
                <wp:extent cx="914400" cy="285750"/>
                <wp:effectExtent l="0" t="0" r="14605" b="19050"/>
                <wp:wrapNone/>
                <wp:docPr id="22" name="Text Box 22"/>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solidFill>
                            <a:schemeClr val="bg1"/>
                          </a:solidFill>
                        </a:ln>
                      </wps:spPr>
                      <wps:txbx>
                        <w:txbxContent>
                          <w:p w14:paraId="099FDC88" w14:textId="77777777" w:rsidR="002C1A2F" w:rsidRPr="00EC0FC1" w:rsidRDefault="002C1A2F" w:rsidP="002C1A2F">
                            <w:pPr>
                              <w:rPr>
                                <w:color w:val="7030A0"/>
                                <w:sz w:val="28"/>
                                <w:szCs w:val="28"/>
                              </w:rPr>
                            </w:pPr>
                            <w:r w:rsidRPr="00EC0FC1">
                              <w:rPr>
                                <w:color w:val="7030A0"/>
                                <w:sz w:val="28"/>
                                <w:szCs w:val="28"/>
                              </w:rPr>
                              <w:t>Documents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2676F3" id="_x0000_t202" coordsize="21600,21600" o:spt="202" path="m,l,21600r21600,l21600,xe">
                <v:stroke joinstyle="miter"/>
                <v:path gradientshapeok="t" o:connecttype="rect"/>
              </v:shapetype>
              <v:shape id="Text Box 22" o:spid="_x0000_s1026" type="#_x0000_t202" style="position:absolute;left:0;text-align:left;margin-left:108.75pt;margin-top:200.4pt;width:1in;height:22.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" fillcolor="white [3201]" strokecolor="white [3212]" strokeweight=".5pt">
                <v:textbox>
                  <w:txbxContent>
                    <w:p w14:paraId="099FDC88" w14:textId="77777777" w:rsidR="002C1A2F" w:rsidRPr="00EC0FC1" w:rsidRDefault="002C1A2F" w:rsidP="002C1A2F">
                      <w:pPr>
                        <w:rPr>
                          <w:color w:val="7030A0"/>
                          <w:sz w:val="28"/>
                          <w:szCs w:val="28"/>
                        </w:rPr>
                      </w:pPr>
                      <w:r w:rsidRPr="00EC0FC1">
                        <w:rPr>
                          <w:color w:val="7030A0"/>
                          <w:sz w:val="28"/>
                          <w:szCs w:val="28"/>
                        </w:rPr>
                        <w:t>Documents</w:t>
                      </w:r>
                    </w:p>
                  </w:txbxContent>
                </v:textbox>
              </v:shape>
            </w:pict>
          </mc:Fallback>
        </mc:AlternateContent>
      </w:r>
      <w:r w:rsidRPr="00F153F6">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68D7CFD" wp14:editId="2D00EAF3">
                <wp:simplePos x="0" y="0"/>
                <wp:positionH relativeFrom="column">
                  <wp:posOffset>1438275</wp:posOffset>
                </wp:positionH>
                <wp:positionV relativeFrom="paragraph">
                  <wp:posOffset>2402205</wp:posOffset>
                </wp:positionV>
                <wp:extent cx="971550" cy="5715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971550" cy="57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C991C" id="Rectangle 21" o:spid="_x0000_s1026" style="position:absolute;margin-left:113.25pt;margin-top:189.15pt;width:76.5pt;height: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" fillcolor="white [3212]" strokecolor="white [3212]" strokeweight="1pt"/>
            </w:pict>
          </mc:Fallback>
        </mc:AlternateContent>
      </w:r>
      <w:r w:rsidRPr="00F153F6">
        <w:rPr>
          <w:rFonts w:ascii="Times New Roman" w:hAnsi="Times New Roman" w:cs="Times New Roman"/>
          <w:noProof/>
          <w:sz w:val="24"/>
          <w:szCs w:val="24"/>
        </w:rPr>
        <w:drawing>
          <wp:inline distT="0" distB="0" distL="0" distR="0" wp14:anchorId="17423BA1" wp14:editId="52CD4FA3">
            <wp:extent cx="5257800" cy="3143250"/>
            <wp:effectExtent l="19050" t="19050" r="19050" b="1905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23"/>
                    <a:stretch>
                      <a:fillRect/>
                    </a:stretch>
                  </pic:blipFill>
                  <pic:spPr>
                    <a:xfrm>
                      <a:off x="0" y="0"/>
                      <a:ext cx="5257800" cy="3143250"/>
                    </a:xfrm>
                    <a:prstGeom prst="rect">
                      <a:avLst/>
                    </a:prstGeom>
                    <a:ln w="12700">
                      <a:solidFill>
                        <a:schemeClr val="tx1"/>
                      </a:solidFill>
                    </a:ln>
                  </pic:spPr>
                </pic:pic>
              </a:graphicData>
            </a:graphic>
          </wp:inline>
        </w:drawing>
      </w:r>
    </w:p>
    <w:p w14:paraId="37A31416" w14:textId="45FE3494" w:rsidR="002C1A2F" w:rsidRPr="00F153F6" w:rsidRDefault="00845905" w:rsidP="00845905">
      <w:pPr>
        <w:pStyle w:val="Caption"/>
        <w:jc w:val="center"/>
        <w:rPr>
          <w:rFonts w:ascii="Times New Roman" w:hAnsi="Times New Roman" w:cs="Times New Roman"/>
          <w:i w:val="0"/>
          <w:iCs w:val="0"/>
          <w:color w:val="auto"/>
          <w:sz w:val="22"/>
          <w:szCs w:val="22"/>
        </w:rPr>
      </w:pPr>
      <w:bookmarkStart w:id="337" w:name="_Toc119448462"/>
      <w:r w:rsidRPr="00F153F6">
        <w:rPr>
          <w:rFonts w:ascii="Times New Roman" w:hAnsi="Times New Roman" w:cs="Times New Roman"/>
          <w:i w:val="0"/>
          <w:iCs w:val="0"/>
          <w:color w:val="auto"/>
          <w:sz w:val="22"/>
          <w:szCs w:val="22"/>
        </w:rPr>
        <w:t xml:space="preserve">Figure 3.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Figure_3.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3</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Research methodology depiction </w:t>
      </w:r>
      <w:bookmarkEnd w:id="337"/>
    </w:p>
    <w:p w14:paraId="12BCCA63" w14:textId="77777777" w:rsidR="00845905" w:rsidRPr="00F153F6" w:rsidRDefault="00845905" w:rsidP="00845905">
      <w:pPr>
        <w:rPr>
          <w:sz w:val="24"/>
          <w:szCs w:val="24"/>
          <w:lang w:eastAsia="zh-CN"/>
        </w:rPr>
      </w:pPr>
    </w:p>
    <w:p w14:paraId="524EF07A" w14:textId="77777777" w:rsidR="002C1A2F" w:rsidRPr="00F153F6" w:rsidRDefault="002C1A2F" w:rsidP="004424B4">
      <w:pPr>
        <w:pStyle w:val="Heading2"/>
        <w:spacing w:line="360" w:lineRule="auto"/>
        <w:rPr>
          <w:rFonts w:ascii="Times New Roman" w:hAnsi="Times New Roman" w:cs="Times New Roman"/>
          <w:sz w:val="32"/>
          <w:szCs w:val="32"/>
        </w:rPr>
      </w:pPr>
      <w:bookmarkStart w:id="338" w:name="_Toc118371126"/>
      <w:bookmarkStart w:id="339" w:name="_Toc133252150"/>
      <w:r w:rsidRPr="00F153F6">
        <w:rPr>
          <w:rFonts w:ascii="Times New Roman" w:hAnsi="Times New Roman" w:cs="Times New Roman"/>
          <w:sz w:val="32"/>
          <w:szCs w:val="32"/>
        </w:rPr>
        <w:t>3.5 Ethical Considerations</w:t>
      </w:r>
      <w:bookmarkEnd w:id="338"/>
      <w:bookmarkEnd w:id="339"/>
      <w:r w:rsidRPr="00F153F6">
        <w:rPr>
          <w:rFonts w:ascii="Times New Roman" w:hAnsi="Times New Roman" w:cs="Times New Roman"/>
          <w:sz w:val="32"/>
          <w:szCs w:val="32"/>
        </w:rPr>
        <w:t xml:space="preserve"> </w:t>
      </w:r>
    </w:p>
    <w:p w14:paraId="0EC63BF8" w14:textId="6AA4597E" w:rsidR="002C1A2F" w:rsidRPr="00F153F6" w:rsidRDefault="002C1A2F" w:rsidP="004424B4">
      <w:pPr>
        <w:spacing w:line="360" w:lineRule="auto"/>
        <w:jc w:val="both"/>
        <w:rPr>
          <w:rFonts w:ascii="Times New Roman" w:eastAsia="Times New Roman" w:hAnsi="Times New Roman" w:cs="Times New Roman"/>
          <w:iCs/>
          <w:sz w:val="24"/>
          <w:szCs w:val="24"/>
        </w:rPr>
      </w:pPr>
      <w:r w:rsidRPr="00F153F6">
        <w:rPr>
          <w:rFonts w:ascii="Times New Roman" w:eastAsia="Times New Roman" w:hAnsi="Times New Roman" w:cs="Times New Roman"/>
          <w:iCs/>
          <w:sz w:val="24"/>
          <w:szCs w:val="24"/>
        </w:rPr>
        <w:t xml:space="preserve">Bryman and Bell (2015) emphasise the significance of ethical considerations in the design of research and provide key principles that researchers should follow in order to avoid failure. Berg and Lune </w:t>
      </w:r>
      <w:r w:rsidRPr="00F153F6">
        <w:rPr>
          <w:rFonts w:ascii="Times New Roman" w:eastAsia="Times New Roman" w:hAnsi="Times New Roman" w:cs="Times New Roman"/>
          <w:iCs/>
          <w:sz w:val="24"/>
          <w:szCs w:val="24"/>
        </w:rPr>
        <w:fldChar w:fldCharType="begin"/>
      </w:r>
      <w:r w:rsidRPr="00F153F6">
        <w:rPr>
          <w:rFonts w:ascii="Times New Roman" w:eastAsia="Times New Roman" w:hAnsi="Times New Roman" w:cs="Times New Roman"/>
          <w:iCs/>
          <w:sz w:val="24"/>
          <w:szCs w:val="24"/>
        </w:rPr>
        <w:instrText xml:space="preserve"> ADDIN ZOTERO_ITEM CSL_CITATION {"citationID":"a1gomvbdhgd","properties":{"formattedCitation":"(2012)","plainCitation":"(2012)","noteIndex":0},"citationItems":[{"id":2214,"uris":["http://zotero.org/users/5709166/items/P2QVTR8V"],"itemData":{"id":2214,"type":"book","abstract":"Qualitative Research Methods - collection, organization, and analysis strategiesThis text shows novice researchers how to design, collect, and analyze qualitative data and then present their results to the scientific community.The book stresses the importance of ethics in research and taking the time to properly design and think through any research endeavor.Learning Goals Upon completing this book, readers should be able to:Effectively design, collect, organize, and analyze data and then to present results to the scientific communityUse the Internet as both a resource and a means for accessing qualitative dataExplore current issues in the world of researchers, which include a serious concern about ethical behavior and protocols in research and a more reflexive and sensitive role for the researcherRecognize the importance of ethical concerns before they actually begin the research collection, organization, and analytic processUnderstand basic elements associated with researcher reflexivity and research voiceNote: MySearchLab does not come automatically packaged with this text. To purchase MySearchLab, please visit:www.mysearchlab.com or you can purchase a ValuePack of the text + MySearchLab with eText (at no additional cost). ValuePack ISBN-10: 0205824617 / ValuePack ISBN-13: 9780205824618","ISBN":"978-0-205-80938-7","language":"en","note":"Google-Books-ID: rFHxkQEACAAJ","number-of-pages":"432","publisher":"Pearson","source":"Google Books","title":"Qualitative Research Methods for the Social Sciences","author":[{"family":"Berg","given":"Bruce Lawrence"},{"family":"Lune","given":"Howard"}],"issued":{"date-parts":[["2012"]]}},"suppress-author":true}],"schema":"https://github.com/citation-style-language/schema/raw/master/csl-citation.json"} </w:instrText>
      </w:r>
      <w:r w:rsidRPr="00F153F6">
        <w:rPr>
          <w:rFonts w:ascii="Times New Roman" w:eastAsia="Times New Roman" w:hAnsi="Times New Roman" w:cs="Times New Roman"/>
          <w:iCs/>
          <w:sz w:val="24"/>
          <w:szCs w:val="24"/>
        </w:rPr>
        <w:fldChar w:fldCharType="separate"/>
      </w:r>
      <w:r w:rsidRPr="00F153F6">
        <w:rPr>
          <w:rFonts w:ascii="Times New Roman" w:hAnsi="Times New Roman" w:cs="Times New Roman"/>
          <w:sz w:val="24"/>
          <w:szCs w:val="24"/>
        </w:rPr>
        <w:t>(2012)</w:t>
      </w:r>
      <w:r w:rsidRPr="00F153F6">
        <w:rPr>
          <w:rFonts w:ascii="Times New Roman" w:eastAsia="Times New Roman" w:hAnsi="Times New Roman" w:cs="Times New Roman"/>
          <w:iCs/>
          <w:sz w:val="24"/>
          <w:szCs w:val="24"/>
        </w:rPr>
        <w:fldChar w:fldCharType="end"/>
      </w:r>
      <w:r w:rsidRPr="00F153F6">
        <w:rPr>
          <w:rFonts w:ascii="Times New Roman" w:eastAsia="Times New Roman" w:hAnsi="Times New Roman" w:cs="Times New Roman"/>
          <w:iCs/>
          <w:sz w:val="24"/>
          <w:szCs w:val="24"/>
        </w:rPr>
        <w:t xml:space="preserve"> similarly argue that in qualitative studies, ethical considerations are especially important as qualitative research investigates phenomenon from the perspective of individuals’ experiences and perceptions, which may refer to sensitive or personal issues. Therefore, this research strictly follows research ethics principles. The researcher </w:t>
      </w:r>
      <w:r w:rsidR="00523FB2" w:rsidRPr="00F153F6">
        <w:rPr>
          <w:rFonts w:ascii="Times New Roman" w:eastAsia="Times New Roman" w:hAnsi="Times New Roman" w:cs="Times New Roman"/>
          <w:iCs/>
          <w:sz w:val="24"/>
          <w:szCs w:val="24"/>
        </w:rPr>
        <w:t xml:space="preserve">has </w:t>
      </w:r>
      <w:r w:rsidRPr="00F153F6">
        <w:rPr>
          <w:rFonts w:ascii="Times New Roman" w:eastAsia="Times New Roman" w:hAnsi="Times New Roman" w:cs="Times New Roman"/>
          <w:iCs/>
          <w:sz w:val="24"/>
          <w:szCs w:val="24"/>
        </w:rPr>
        <w:t>applied for and attained the ethical approval</w:t>
      </w:r>
      <w:r w:rsidR="00523FB2" w:rsidRPr="00F153F6">
        <w:rPr>
          <w:rFonts w:ascii="Times New Roman" w:eastAsia="Times New Roman" w:hAnsi="Times New Roman" w:cs="Times New Roman"/>
          <w:iCs/>
          <w:sz w:val="24"/>
          <w:szCs w:val="24"/>
        </w:rPr>
        <w:t xml:space="preserve"> (Appendix C)</w:t>
      </w:r>
      <w:r w:rsidRPr="00F153F6">
        <w:rPr>
          <w:rFonts w:ascii="Times New Roman" w:eastAsia="Times New Roman" w:hAnsi="Times New Roman" w:cs="Times New Roman"/>
          <w:iCs/>
          <w:sz w:val="24"/>
          <w:szCs w:val="24"/>
        </w:rPr>
        <w:t xml:space="preserve"> at the University of Sheffield along with information/consent forms that all potential participants came in contact with before making a decision on whether or not they intend to participate in the study. Some important processes concerning ethics are explained specifically below. </w:t>
      </w:r>
    </w:p>
    <w:p w14:paraId="744D5F96" w14:textId="77777777" w:rsidR="000543CB" w:rsidRPr="00F153F6" w:rsidRDefault="000543CB" w:rsidP="004424B4">
      <w:pPr>
        <w:spacing w:line="360" w:lineRule="auto"/>
        <w:jc w:val="both"/>
        <w:rPr>
          <w:rFonts w:ascii="Times New Roman" w:eastAsia="Times New Roman" w:hAnsi="Times New Roman" w:cs="Times New Roman"/>
          <w:iCs/>
          <w:sz w:val="24"/>
          <w:szCs w:val="24"/>
        </w:rPr>
      </w:pPr>
    </w:p>
    <w:p w14:paraId="33D1C286" w14:textId="5A96D53E" w:rsidR="00C03E68" w:rsidRPr="00F153F6" w:rsidRDefault="00C03E68" w:rsidP="00C03E68">
      <w:pPr>
        <w:pStyle w:val="Heading3"/>
        <w:spacing w:line="360" w:lineRule="auto"/>
        <w:ind w:firstLine="720"/>
        <w:jc w:val="both"/>
        <w:rPr>
          <w:rFonts w:ascii="Times New Roman" w:hAnsi="Times New Roman" w:cs="Times New Roman"/>
          <w:b/>
          <w:color w:val="auto"/>
          <w:sz w:val="28"/>
          <w:szCs w:val="28"/>
        </w:rPr>
      </w:pPr>
      <w:bookmarkStart w:id="340" w:name="_Toc133252151"/>
      <w:r w:rsidRPr="00F153F6">
        <w:rPr>
          <w:rFonts w:ascii="Times New Roman" w:hAnsi="Times New Roman" w:cs="Times New Roman"/>
          <w:b/>
          <w:color w:val="auto"/>
          <w:sz w:val="28"/>
          <w:szCs w:val="28"/>
        </w:rPr>
        <w:t>3.5.1 Recruiting Potential Participants</w:t>
      </w:r>
      <w:bookmarkEnd w:id="340"/>
    </w:p>
    <w:p w14:paraId="5EA287C8" w14:textId="44FC71F2" w:rsidR="002C1A2F" w:rsidRPr="00F153F6" w:rsidRDefault="002C1A2F" w:rsidP="004424B4">
      <w:pPr>
        <w:spacing w:line="360" w:lineRule="auto"/>
        <w:jc w:val="both"/>
        <w:rPr>
          <w:rFonts w:ascii="Times New Roman" w:eastAsia="Times New Roman" w:hAnsi="Times New Roman" w:cs="Times New Roman"/>
          <w:iCs/>
          <w:sz w:val="24"/>
          <w:szCs w:val="24"/>
        </w:rPr>
      </w:pPr>
      <w:r w:rsidRPr="00F153F6">
        <w:rPr>
          <w:rFonts w:ascii="Times New Roman" w:eastAsia="Times New Roman" w:hAnsi="Times New Roman" w:cs="Times New Roman"/>
          <w:iCs/>
          <w:sz w:val="24"/>
          <w:szCs w:val="24"/>
        </w:rPr>
        <w:t xml:space="preserve">Participants (such as Living Lab project manager as the initial participant) was initially contacted by email which are posted on the website: ENoLL. The ENoLL has been established and developed since 2006. Currently, there are 175 active </w:t>
      </w:r>
      <w:r w:rsidR="00BF50A2" w:rsidRPr="00F153F6">
        <w:rPr>
          <w:rFonts w:ascii="Times New Roman" w:eastAsia="Times New Roman" w:hAnsi="Times New Roman" w:cs="Times New Roman"/>
          <w:iCs/>
          <w:sz w:val="24"/>
          <w:szCs w:val="24"/>
        </w:rPr>
        <w:t>Living Lab</w:t>
      </w:r>
      <w:r w:rsidRPr="00F153F6">
        <w:rPr>
          <w:rFonts w:ascii="Times New Roman" w:eastAsia="Times New Roman" w:hAnsi="Times New Roman" w:cs="Times New Roman"/>
          <w:iCs/>
          <w:sz w:val="24"/>
          <w:szCs w:val="24"/>
        </w:rPr>
        <w:t xml:space="preserve">s and over 400 </w:t>
      </w:r>
      <w:r w:rsidR="00BF50A2" w:rsidRPr="00F153F6">
        <w:rPr>
          <w:rFonts w:ascii="Times New Roman" w:eastAsia="Times New Roman" w:hAnsi="Times New Roman" w:cs="Times New Roman"/>
          <w:iCs/>
          <w:sz w:val="24"/>
          <w:szCs w:val="24"/>
        </w:rPr>
        <w:t xml:space="preserve">Living </w:t>
      </w:r>
      <w:r w:rsidR="00BF50A2" w:rsidRPr="00F153F6">
        <w:rPr>
          <w:rFonts w:ascii="Times New Roman" w:eastAsia="Times New Roman" w:hAnsi="Times New Roman" w:cs="Times New Roman"/>
          <w:iCs/>
          <w:sz w:val="24"/>
          <w:szCs w:val="24"/>
        </w:rPr>
        <w:lastRenderedPageBreak/>
        <w:t>Lab</w:t>
      </w:r>
      <w:r w:rsidRPr="00F153F6">
        <w:rPr>
          <w:rFonts w:ascii="Times New Roman" w:eastAsia="Times New Roman" w:hAnsi="Times New Roman" w:cs="Times New Roman"/>
          <w:iCs/>
          <w:sz w:val="24"/>
          <w:szCs w:val="24"/>
        </w:rPr>
        <w:t xml:space="preserve">s in total in the network (ENoLL, 2019), with project topics covering smart cities, health care, electronic games, education and so on. The website established by ENoLL has posted information about its following </w:t>
      </w:r>
      <w:r w:rsidR="00BF50A2" w:rsidRPr="00F153F6">
        <w:rPr>
          <w:rFonts w:ascii="Times New Roman" w:eastAsia="Times New Roman" w:hAnsi="Times New Roman" w:cs="Times New Roman"/>
          <w:iCs/>
          <w:sz w:val="24"/>
          <w:szCs w:val="24"/>
        </w:rPr>
        <w:t>Living Lab</w:t>
      </w:r>
      <w:r w:rsidRPr="00F153F6">
        <w:rPr>
          <w:rFonts w:ascii="Times New Roman" w:eastAsia="Times New Roman" w:hAnsi="Times New Roman" w:cs="Times New Roman"/>
          <w:iCs/>
          <w:sz w:val="24"/>
          <w:szCs w:val="24"/>
        </w:rPr>
        <w:t xml:space="preserve">s regularly as well as contact information. This information (including email, phone number, personal website, etc.) can be used to contact the </w:t>
      </w:r>
      <w:r w:rsidR="00BF50A2" w:rsidRPr="00F153F6">
        <w:rPr>
          <w:rFonts w:ascii="Times New Roman" w:eastAsia="Times New Roman" w:hAnsi="Times New Roman" w:cs="Times New Roman"/>
          <w:iCs/>
          <w:sz w:val="24"/>
          <w:szCs w:val="24"/>
        </w:rPr>
        <w:t>Living Lab</w:t>
      </w:r>
      <w:r w:rsidRPr="00F153F6">
        <w:rPr>
          <w:rFonts w:ascii="Times New Roman" w:eastAsia="Times New Roman" w:hAnsi="Times New Roman" w:cs="Times New Roman"/>
          <w:iCs/>
          <w:sz w:val="24"/>
          <w:szCs w:val="24"/>
        </w:rPr>
        <w:t xml:space="preserve">s and </w:t>
      </w:r>
      <w:r w:rsidR="00BF50A2" w:rsidRPr="00F153F6">
        <w:rPr>
          <w:rFonts w:ascii="Times New Roman" w:eastAsia="Times New Roman" w:hAnsi="Times New Roman" w:cs="Times New Roman"/>
          <w:iCs/>
          <w:sz w:val="24"/>
          <w:szCs w:val="24"/>
        </w:rPr>
        <w:t>Living Lab</w:t>
      </w:r>
      <w:r w:rsidRPr="00F153F6">
        <w:rPr>
          <w:rFonts w:ascii="Times New Roman" w:eastAsia="Times New Roman" w:hAnsi="Times New Roman" w:cs="Times New Roman"/>
          <w:iCs/>
          <w:sz w:val="24"/>
          <w:szCs w:val="24"/>
        </w:rPr>
        <w:t xml:space="preserve"> project managers. All participants were initially contacted via email or by telephone in cases where the number is publicly available to obtain their agreement about further potential contacts. All participants were voluntarily involved in this research.</w:t>
      </w:r>
    </w:p>
    <w:p w14:paraId="1C3FF699" w14:textId="77777777" w:rsidR="002C1A2F" w:rsidRPr="00F153F6" w:rsidRDefault="002C1A2F" w:rsidP="004424B4">
      <w:pPr>
        <w:spacing w:line="360" w:lineRule="auto"/>
        <w:jc w:val="both"/>
        <w:rPr>
          <w:rFonts w:ascii="Times New Roman" w:eastAsia="Times New Roman" w:hAnsi="Times New Roman" w:cs="Times New Roman"/>
          <w:iCs/>
          <w:sz w:val="24"/>
          <w:szCs w:val="24"/>
        </w:rPr>
      </w:pPr>
      <w:r w:rsidRPr="00F153F6">
        <w:rPr>
          <w:rFonts w:ascii="Times New Roman" w:eastAsia="Times New Roman" w:hAnsi="Times New Roman" w:cs="Times New Roman"/>
          <w:iCs/>
          <w:sz w:val="24"/>
          <w:szCs w:val="24"/>
        </w:rPr>
        <w:t xml:space="preserve">The researcher explained to the potential participants how their contact information was obtained and how the investigation was to be conducted, and they will be given a summary of the project aims and research methods. At this point, the research information sheet has been made available to participants. It was explained to the potential participants that they are invited to take part in a 90-minute interview. Before the investigation starts, all participants were given a detailed explanation of the objectives of the study and an informed consent via paper copy or email (depending on which they prefer or Covid-19 outbreak), and they have all indicated that they were willing to take part in this research after consideration. </w:t>
      </w:r>
    </w:p>
    <w:p w14:paraId="142DFAF8" w14:textId="77777777" w:rsidR="000543CB" w:rsidRPr="00F153F6" w:rsidRDefault="000543CB" w:rsidP="004424B4">
      <w:pPr>
        <w:spacing w:line="360" w:lineRule="auto"/>
        <w:jc w:val="both"/>
        <w:rPr>
          <w:rFonts w:ascii="Times New Roman" w:eastAsia="Times New Roman" w:hAnsi="Times New Roman" w:cs="Times New Roman"/>
          <w:iCs/>
          <w:sz w:val="24"/>
          <w:szCs w:val="24"/>
        </w:rPr>
      </w:pPr>
    </w:p>
    <w:p w14:paraId="216764E6" w14:textId="284CF8CB" w:rsidR="00C03E68" w:rsidRPr="00F153F6" w:rsidRDefault="00C03E68" w:rsidP="00C03E68">
      <w:pPr>
        <w:pStyle w:val="Heading3"/>
        <w:spacing w:line="360" w:lineRule="auto"/>
        <w:ind w:firstLine="720"/>
        <w:jc w:val="both"/>
        <w:rPr>
          <w:rFonts w:ascii="Times New Roman" w:hAnsi="Times New Roman" w:cs="Times New Roman"/>
          <w:b/>
          <w:color w:val="auto"/>
          <w:sz w:val="28"/>
          <w:szCs w:val="28"/>
        </w:rPr>
      </w:pPr>
      <w:bookmarkStart w:id="341" w:name="_Toc133252152"/>
      <w:r w:rsidRPr="00F153F6">
        <w:rPr>
          <w:rFonts w:ascii="Times New Roman" w:hAnsi="Times New Roman" w:cs="Times New Roman"/>
          <w:b/>
          <w:color w:val="auto"/>
          <w:sz w:val="28"/>
          <w:szCs w:val="28"/>
        </w:rPr>
        <w:t>3.5.2 Data Management</w:t>
      </w:r>
      <w:bookmarkEnd w:id="341"/>
    </w:p>
    <w:p w14:paraId="3565C9F6" w14:textId="77777777" w:rsidR="002C1A2F" w:rsidRPr="00F153F6" w:rsidRDefault="002C1A2F" w:rsidP="004424B4">
      <w:pPr>
        <w:spacing w:line="360" w:lineRule="auto"/>
        <w:jc w:val="both"/>
        <w:rPr>
          <w:rFonts w:ascii="Times New Roman" w:eastAsia="Times New Roman" w:hAnsi="Times New Roman" w:cs="Times New Roman"/>
          <w:iCs/>
          <w:sz w:val="24"/>
          <w:szCs w:val="24"/>
        </w:rPr>
      </w:pPr>
      <w:r w:rsidRPr="00F153F6">
        <w:rPr>
          <w:rFonts w:ascii="Times New Roman" w:eastAsia="Times New Roman" w:hAnsi="Times New Roman" w:cs="Times New Roman"/>
          <w:iCs/>
          <w:sz w:val="24"/>
          <w:szCs w:val="24"/>
        </w:rPr>
        <w:t>All data has been named in a specific format based on different data types, and they will be managed and stored securely.</w:t>
      </w:r>
    </w:p>
    <w:p w14:paraId="1D01BB03" w14:textId="1F165E1B" w:rsidR="002C1A2F" w:rsidRPr="00F153F6" w:rsidRDefault="002C1A2F" w:rsidP="004424B4">
      <w:pPr>
        <w:spacing w:line="360" w:lineRule="auto"/>
        <w:jc w:val="both"/>
        <w:rPr>
          <w:rFonts w:ascii="Times New Roman" w:eastAsia="Times New Roman" w:hAnsi="Times New Roman" w:cs="Times New Roman"/>
          <w:iCs/>
          <w:sz w:val="24"/>
          <w:szCs w:val="24"/>
        </w:rPr>
      </w:pPr>
      <w:r w:rsidRPr="00F153F6">
        <w:rPr>
          <w:rFonts w:ascii="Times New Roman" w:eastAsia="Times New Roman" w:hAnsi="Times New Roman" w:cs="Times New Roman"/>
          <w:b/>
          <w:bCs/>
          <w:iCs/>
          <w:sz w:val="24"/>
          <w:szCs w:val="24"/>
        </w:rPr>
        <w:t>Collecting Data:</w:t>
      </w:r>
      <w:r w:rsidRPr="00F153F6">
        <w:rPr>
          <w:rFonts w:ascii="Times New Roman" w:eastAsia="Times New Roman" w:hAnsi="Times New Roman" w:cs="Times New Roman"/>
          <w:iCs/>
          <w:sz w:val="24"/>
          <w:szCs w:val="24"/>
        </w:rPr>
        <w:t xml:space="preserve"> All interview data were online interviews, and these data were collected after the participant provided a signed digital consent form, and the online interview took place online via digital tools on a day that was appropriate for both participant and the researcher. The personal data that was collected in interviews was the participants' names and surnames, institutional affiliation, positions in </w:t>
      </w:r>
      <w:r w:rsidR="00BF50A2" w:rsidRPr="00F153F6">
        <w:rPr>
          <w:rFonts w:ascii="Times New Roman" w:eastAsia="Times New Roman" w:hAnsi="Times New Roman" w:cs="Times New Roman"/>
          <w:iCs/>
          <w:sz w:val="24"/>
          <w:szCs w:val="24"/>
        </w:rPr>
        <w:t>Living Lab</w:t>
      </w:r>
      <w:r w:rsidRPr="00F153F6">
        <w:rPr>
          <w:rFonts w:ascii="Times New Roman" w:eastAsia="Times New Roman" w:hAnsi="Times New Roman" w:cs="Times New Roman"/>
          <w:iCs/>
          <w:sz w:val="24"/>
          <w:szCs w:val="24"/>
        </w:rPr>
        <w:t xml:space="preserve"> project, and the audio recordings of the interviews themselves. Each participant's name was linked to an assigned code and then referred to this anonymised code henceforth. The researcher himself has conducted the transcription of audio files through listening and transcribing the recordings.</w:t>
      </w:r>
    </w:p>
    <w:p w14:paraId="667010FE" w14:textId="398A56ED" w:rsidR="002C1A2F" w:rsidRPr="00F153F6" w:rsidRDefault="002C1A2F" w:rsidP="004424B4">
      <w:pPr>
        <w:spacing w:line="360" w:lineRule="auto"/>
        <w:jc w:val="both"/>
        <w:rPr>
          <w:rFonts w:ascii="Times New Roman" w:eastAsia="Times New Roman" w:hAnsi="Times New Roman" w:cs="Times New Roman"/>
          <w:iCs/>
          <w:sz w:val="24"/>
          <w:szCs w:val="24"/>
        </w:rPr>
      </w:pPr>
      <w:r w:rsidRPr="00F153F6">
        <w:rPr>
          <w:rFonts w:ascii="Times New Roman" w:eastAsia="Times New Roman" w:hAnsi="Times New Roman" w:cs="Times New Roman"/>
          <w:iCs/>
          <w:sz w:val="24"/>
          <w:szCs w:val="24"/>
        </w:rPr>
        <w:t xml:space="preserve">For documentary data, data was collected after the researcher gained access to the documents. For documents such as project log, the personal data that was collected is participants' names and surnames and meeting related information. Each participant's name was linked to an assigned code and then refer to this anonymised code henceforth. For documents such as public </w:t>
      </w:r>
      <w:r w:rsidRPr="00F153F6">
        <w:rPr>
          <w:rFonts w:ascii="Times New Roman" w:eastAsia="Times New Roman" w:hAnsi="Times New Roman" w:cs="Times New Roman"/>
          <w:iCs/>
          <w:sz w:val="24"/>
          <w:szCs w:val="24"/>
        </w:rPr>
        <w:lastRenderedPageBreak/>
        <w:t xml:space="preserve">articles, data that was collected is publicly available. The form of all documentary data was collected and organised in the text files and saved in research storage (explained in the </w:t>
      </w:r>
      <w:r w:rsidR="008039B7" w:rsidRPr="00F153F6">
        <w:rPr>
          <w:rFonts w:ascii="Times New Roman" w:eastAsia="Times New Roman" w:hAnsi="Times New Roman" w:cs="Times New Roman"/>
          <w:iCs/>
          <w:sz w:val="24"/>
          <w:szCs w:val="24"/>
        </w:rPr>
        <w:t>next s</w:t>
      </w:r>
      <w:r w:rsidRPr="00F153F6">
        <w:rPr>
          <w:rFonts w:ascii="Times New Roman" w:eastAsia="Times New Roman" w:hAnsi="Times New Roman" w:cs="Times New Roman"/>
          <w:iCs/>
          <w:sz w:val="24"/>
          <w:szCs w:val="24"/>
        </w:rPr>
        <w:t xml:space="preserve">toring </w:t>
      </w:r>
      <w:r w:rsidR="008039B7" w:rsidRPr="00F153F6">
        <w:rPr>
          <w:rFonts w:ascii="Times New Roman" w:eastAsia="Times New Roman" w:hAnsi="Times New Roman" w:cs="Times New Roman"/>
          <w:iCs/>
          <w:sz w:val="24"/>
          <w:szCs w:val="24"/>
        </w:rPr>
        <w:t>d</w:t>
      </w:r>
      <w:r w:rsidRPr="00F153F6">
        <w:rPr>
          <w:rFonts w:ascii="Times New Roman" w:eastAsia="Times New Roman" w:hAnsi="Times New Roman" w:cs="Times New Roman"/>
          <w:iCs/>
          <w:sz w:val="24"/>
          <w:szCs w:val="24"/>
        </w:rPr>
        <w:t>ata part).</w:t>
      </w:r>
    </w:p>
    <w:p w14:paraId="7448D53C" w14:textId="77777777" w:rsidR="002C1A2F" w:rsidRPr="00F153F6" w:rsidRDefault="002C1A2F" w:rsidP="004424B4">
      <w:pPr>
        <w:spacing w:line="360" w:lineRule="auto"/>
        <w:jc w:val="both"/>
        <w:rPr>
          <w:rFonts w:ascii="Times New Roman" w:eastAsia="Times New Roman" w:hAnsi="Times New Roman" w:cs="Times New Roman"/>
          <w:iCs/>
          <w:sz w:val="24"/>
          <w:szCs w:val="24"/>
        </w:rPr>
      </w:pPr>
      <w:r w:rsidRPr="00F153F6">
        <w:rPr>
          <w:rFonts w:ascii="Times New Roman" w:eastAsia="Times New Roman" w:hAnsi="Times New Roman" w:cs="Times New Roman"/>
          <w:b/>
          <w:bCs/>
          <w:iCs/>
          <w:sz w:val="24"/>
          <w:szCs w:val="24"/>
        </w:rPr>
        <w:t>Storing Data:</w:t>
      </w:r>
      <w:r w:rsidRPr="00F153F6">
        <w:rPr>
          <w:rFonts w:ascii="Times New Roman" w:eastAsia="Times New Roman" w:hAnsi="Times New Roman" w:cs="Times New Roman"/>
          <w:iCs/>
          <w:sz w:val="24"/>
          <w:szCs w:val="24"/>
        </w:rPr>
        <w:t xml:space="preserve"> All data was structured by specifying who create data, how and when data was created, tools are used, etc., and will be kept with an original copy, a second local copy and remote copy online. To achieve this, all the data was held on the University of Sheffield Standard Research Storage Drive. When that is temporarily not possible, for example, because of a computer failure, or immediately after an interview has taken place, the data was kept on an encrypted hard drive and transferred to the Standard Research Storage as soon as possible. Audio recordings on audio recorders were copied to the storage or an encrypted hard drive immediately after the interview, and the audio recorder will be safely wiped. All data was backed up regularly.</w:t>
      </w:r>
    </w:p>
    <w:p w14:paraId="29294D65" w14:textId="77777777" w:rsidR="002C1A2F" w:rsidRPr="00F153F6" w:rsidRDefault="002C1A2F" w:rsidP="004424B4">
      <w:pPr>
        <w:spacing w:line="360" w:lineRule="auto"/>
        <w:jc w:val="both"/>
        <w:rPr>
          <w:rFonts w:ascii="Times New Roman" w:eastAsia="Times New Roman" w:hAnsi="Times New Roman" w:cs="Times New Roman"/>
          <w:iCs/>
          <w:sz w:val="24"/>
          <w:szCs w:val="24"/>
        </w:rPr>
      </w:pPr>
      <w:r w:rsidRPr="00F153F6">
        <w:rPr>
          <w:rFonts w:ascii="Times New Roman" w:eastAsia="Times New Roman" w:hAnsi="Times New Roman" w:cs="Times New Roman"/>
          <w:b/>
          <w:bCs/>
          <w:iCs/>
          <w:sz w:val="24"/>
          <w:szCs w:val="24"/>
        </w:rPr>
        <w:t>Sharing Data:</w:t>
      </w:r>
      <w:r w:rsidRPr="00F153F6">
        <w:rPr>
          <w:rFonts w:ascii="Times New Roman" w:eastAsia="Times New Roman" w:hAnsi="Times New Roman" w:cs="Times New Roman"/>
          <w:iCs/>
          <w:sz w:val="24"/>
          <w:szCs w:val="24"/>
        </w:rPr>
        <w:t xml:space="preserve"> Participants' names have been removed and stored separately from the transcribed data, which will be anonymised. Data was only shared to supervisors, and the University of Sheffield if necessary. After the project ends, the anonymised records will be kept indefinitely for subsequent publications and presentations.</w:t>
      </w:r>
    </w:p>
    <w:p w14:paraId="3EB6708F" w14:textId="77777777" w:rsidR="0015201A" w:rsidRPr="00F153F6" w:rsidRDefault="0015201A" w:rsidP="004424B4">
      <w:pPr>
        <w:spacing w:after="160" w:line="360" w:lineRule="auto"/>
        <w:jc w:val="both"/>
        <w:rPr>
          <w:rFonts w:ascii="Times New Roman" w:eastAsia="Times New Roman" w:hAnsi="Times New Roman" w:cs="Times New Roman"/>
          <w:iCs/>
          <w:sz w:val="24"/>
          <w:szCs w:val="24"/>
        </w:rPr>
      </w:pPr>
      <w:r w:rsidRPr="00F153F6">
        <w:rPr>
          <w:rFonts w:ascii="Times New Roman" w:eastAsia="Times New Roman" w:hAnsi="Times New Roman" w:cs="Times New Roman"/>
          <w:iCs/>
          <w:sz w:val="24"/>
          <w:szCs w:val="24"/>
        </w:rPr>
        <w:br w:type="page"/>
      </w:r>
    </w:p>
    <w:p w14:paraId="7E66DEA9" w14:textId="77777777" w:rsidR="0015201A" w:rsidRPr="00F153F6" w:rsidRDefault="0015201A" w:rsidP="004424B4">
      <w:pPr>
        <w:pStyle w:val="Heading1"/>
        <w:spacing w:line="360" w:lineRule="auto"/>
        <w:jc w:val="center"/>
        <w:rPr>
          <w:rFonts w:ascii="Times New Roman" w:hAnsi="Times New Roman" w:cs="Times New Roman"/>
          <w:b w:val="0"/>
          <w:bCs/>
          <w:sz w:val="40"/>
          <w:szCs w:val="40"/>
        </w:rPr>
      </w:pPr>
      <w:bookmarkStart w:id="342" w:name="_Toc118371127"/>
      <w:bookmarkStart w:id="343" w:name="_Toc133252153"/>
      <w:r w:rsidRPr="00F153F6">
        <w:rPr>
          <w:rFonts w:ascii="Times New Roman" w:hAnsi="Times New Roman" w:cs="Times New Roman"/>
          <w:b w:val="0"/>
          <w:bCs/>
          <w:sz w:val="40"/>
          <w:szCs w:val="40"/>
        </w:rPr>
        <w:lastRenderedPageBreak/>
        <w:t>CHAPTER 4   RESEARCH FINDINGS</w:t>
      </w:r>
      <w:bookmarkEnd w:id="342"/>
      <w:bookmarkEnd w:id="343"/>
    </w:p>
    <w:p w14:paraId="4B78F3FA" w14:textId="77777777" w:rsidR="0015201A" w:rsidRPr="00F153F6" w:rsidRDefault="0015201A" w:rsidP="004424B4">
      <w:pPr>
        <w:pStyle w:val="Heading2"/>
        <w:spacing w:line="360" w:lineRule="auto"/>
        <w:rPr>
          <w:rFonts w:ascii="Times New Roman" w:hAnsi="Times New Roman" w:cs="Times New Roman"/>
          <w:sz w:val="32"/>
          <w:szCs w:val="32"/>
        </w:rPr>
      </w:pPr>
      <w:bookmarkStart w:id="344" w:name="_Toc118371128"/>
      <w:bookmarkStart w:id="345" w:name="_Toc133252154"/>
      <w:r w:rsidRPr="00F153F6">
        <w:rPr>
          <w:rFonts w:ascii="Times New Roman" w:hAnsi="Times New Roman" w:cs="Times New Roman"/>
          <w:sz w:val="32"/>
          <w:szCs w:val="32"/>
        </w:rPr>
        <w:t>4.1 Introduction</w:t>
      </w:r>
      <w:bookmarkEnd w:id="344"/>
      <w:bookmarkEnd w:id="345"/>
    </w:p>
    <w:p w14:paraId="7A349DF3" w14:textId="77777777" w:rsidR="0015201A" w:rsidRPr="00F153F6" w:rsidRDefault="0015201A" w:rsidP="00C03E68">
      <w:pPr>
        <w:pStyle w:val="Heading3"/>
        <w:spacing w:line="360" w:lineRule="auto"/>
        <w:ind w:left="720"/>
        <w:jc w:val="both"/>
        <w:rPr>
          <w:rFonts w:ascii="Times New Roman" w:hAnsi="Times New Roman" w:cs="Times New Roman"/>
          <w:b/>
          <w:color w:val="auto"/>
          <w:sz w:val="28"/>
          <w:szCs w:val="28"/>
        </w:rPr>
      </w:pPr>
      <w:bookmarkStart w:id="346" w:name="_Toc118371129"/>
      <w:bookmarkStart w:id="347" w:name="_Toc133252155"/>
      <w:r w:rsidRPr="00F153F6">
        <w:rPr>
          <w:rFonts w:ascii="Times New Roman" w:hAnsi="Times New Roman" w:cs="Times New Roman"/>
          <w:b/>
          <w:color w:val="auto"/>
          <w:sz w:val="28"/>
          <w:szCs w:val="28"/>
        </w:rPr>
        <w:t>4.1.1 Organisation of the Chapter</w:t>
      </w:r>
      <w:bookmarkEnd w:id="346"/>
      <w:bookmarkEnd w:id="347"/>
    </w:p>
    <w:p w14:paraId="40492488" w14:textId="1852BF50"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This chapter presents the findings of this research. An overview of the findings is presented first, briefly illustrating a framework of ICT-based inter-organisational knowledge exchange practice (IOKE) as emerging from the data. Subsequently, the main categories and concepts of the framework are presented and discussed (Section 4.1.2). The following sections (Sections 4.2 - 4.4) present detailed findings of the multiple case study with regards to the emerging concepts and their relationships divided into the three project stages: inception stage; middle stage; and completed stage. Section 4.5 presents the cross-stage analysis across the three project stages</w:t>
      </w:r>
      <w:r w:rsidR="00DB0F1B" w:rsidRPr="00F153F6">
        <w:rPr>
          <w:rFonts w:ascii="Times New Roman" w:hAnsi="Times New Roman" w:cs="Times New Roman"/>
          <w:sz w:val="24"/>
          <w:szCs w:val="24"/>
        </w:rPr>
        <w:t xml:space="preserve"> in order to propose an integrated theoretical framework of ICT-based IOKE practice</w:t>
      </w:r>
      <w:r w:rsidRPr="00F153F6">
        <w:rPr>
          <w:rFonts w:ascii="Times New Roman" w:hAnsi="Times New Roman" w:cs="Times New Roman"/>
          <w:sz w:val="24"/>
          <w:szCs w:val="24"/>
        </w:rPr>
        <w:t xml:space="preserve">. </w:t>
      </w:r>
    </w:p>
    <w:p w14:paraId="2D336DC7" w14:textId="77777777" w:rsidR="000543CB" w:rsidRPr="00F153F6" w:rsidRDefault="000543CB" w:rsidP="004424B4">
      <w:pPr>
        <w:spacing w:line="360" w:lineRule="auto"/>
        <w:jc w:val="both"/>
        <w:rPr>
          <w:rFonts w:ascii="Times New Roman" w:hAnsi="Times New Roman" w:cs="Times New Roman"/>
          <w:sz w:val="24"/>
          <w:szCs w:val="24"/>
        </w:rPr>
      </w:pPr>
    </w:p>
    <w:p w14:paraId="510B4AAD" w14:textId="51EC0DDB" w:rsidR="0015201A" w:rsidRPr="00F153F6" w:rsidRDefault="0015201A" w:rsidP="00C03E68">
      <w:pPr>
        <w:pStyle w:val="Heading3"/>
        <w:spacing w:line="360" w:lineRule="auto"/>
        <w:ind w:left="720"/>
        <w:jc w:val="both"/>
        <w:rPr>
          <w:rFonts w:ascii="Times New Roman" w:hAnsi="Times New Roman" w:cs="Times New Roman"/>
          <w:b/>
          <w:color w:val="auto"/>
          <w:sz w:val="28"/>
          <w:szCs w:val="28"/>
        </w:rPr>
      </w:pPr>
      <w:bookmarkStart w:id="348" w:name="_Toc118371130"/>
      <w:bookmarkStart w:id="349" w:name="_Toc133252156"/>
      <w:r w:rsidRPr="00F153F6">
        <w:rPr>
          <w:rFonts w:ascii="Times New Roman" w:hAnsi="Times New Roman" w:cs="Times New Roman"/>
          <w:b/>
          <w:color w:val="auto"/>
          <w:sz w:val="28"/>
          <w:szCs w:val="28"/>
        </w:rPr>
        <w:t>4.1.2 Overview of The Findings</w:t>
      </w:r>
      <w:bookmarkEnd w:id="348"/>
      <w:bookmarkEnd w:id="349"/>
    </w:p>
    <w:p w14:paraId="65710D02" w14:textId="38FC173D"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overall findings are divided into four different sections based on analysis of the European Living Lab project lifecycle stages, </w:t>
      </w:r>
      <w:r w:rsidR="007148BA" w:rsidRPr="00F153F6">
        <w:rPr>
          <w:rFonts w:ascii="Times New Roman" w:hAnsi="Times New Roman" w:cs="Times New Roman"/>
          <w:sz w:val="24"/>
          <w:szCs w:val="24"/>
        </w:rPr>
        <w:t>i.e.,</w:t>
      </w:r>
      <w:r w:rsidRPr="00F153F6">
        <w:rPr>
          <w:rFonts w:ascii="Times New Roman" w:hAnsi="Times New Roman" w:cs="Times New Roman"/>
          <w:sz w:val="24"/>
          <w:szCs w:val="24"/>
        </w:rPr>
        <w:t xml:space="preserve"> inception stage (section 4.2), middle stage (section 4.3), and completed stage (section 4.4). This is followed by a cross stage analysis (4.5). Each of the first three sections discuss: 1) the different layers of context that underly ICT-based inter-organisational knowledge exchange practice; 2) what knowledgeability is recurrently constituted in inter organisational knowledge exchange practice; 3) the activities that facilitate knowledgeability; 4) how ICT mediate activities as part of each knowledgeability by </w:t>
      </w:r>
      <w:r w:rsidR="00B7426D" w:rsidRPr="00F153F6">
        <w:rPr>
          <w:rFonts w:ascii="Times New Roman" w:hAnsi="Times New Roman" w:cs="Times New Roman"/>
          <w:sz w:val="24"/>
          <w:szCs w:val="24"/>
        </w:rPr>
        <w:t>affording</w:t>
      </w:r>
      <w:r w:rsidRPr="00F153F6">
        <w:rPr>
          <w:rFonts w:ascii="Times New Roman" w:hAnsi="Times New Roman" w:cs="Times New Roman"/>
          <w:sz w:val="24"/>
          <w:szCs w:val="24"/>
        </w:rPr>
        <w:t xml:space="preserve"> or constraining actors’ distinct abilities; and 5) the relationships between these concepts that together shape an integrative ICT-based IOKE </w:t>
      </w:r>
      <w:r w:rsidR="0096409C" w:rsidRPr="00F153F6">
        <w:rPr>
          <w:rFonts w:ascii="Times New Roman" w:hAnsi="Times New Roman" w:cs="Times New Roman"/>
          <w:sz w:val="24"/>
          <w:szCs w:val="24"/>
        </w:rPr>
        <w:t>f</w:t>
      </w:r>
      <w:r w:rsidRPr="00F153F6">
        <w:rPr>
          <w:rFonts w:ascii="Times New Roman" w:hAnsi="Times New Roman" w:cs="Times New Roman"/>
          <w:sz w:val="24"/>
          <w:szCs w:val="24"/>
        </w:rPr>
        <w:t xml:space="preserve">ramework. The last section reveals similarities and differences across the various project stages and illustrates the reasons why these may arise. </w:t>
      </w:r>
    </w:p>
    <w:p w14:paraId="3D0CE376" w14:textId="79EFB1D3"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ICT-based IOKE is a sociomaterial, activity-based knowing in practice, and takes place within an environment that draws from an inter-organisational, intra-organisational and wider environmental context across all project life cycle stages. IOKE is broadly characterised by three essential knowledgeabilities: core knowledgeabilities as the core abilities employed in the pursuit of project goals; </w:t>
      </w:r>
      <w:r w:rsidR="0058396B" w:rsidRPr="00F153F6">
        <w:rPr>
          <w:rFonts w:ascii="Times New Roman" w:hAnsi="Times New Roman" w:cs="Times New Roman"/>
          <w:sz w:val="24"/>
          <w:szCs w:val="24"/>
        </w:rPr>
        <w:t>conditional</w:t>
      </w:r>
      <w:r w:rsidRPr="00F153F6">
        <w:rPr>
          <w:rFonts w:ascii="Times New Roman" w:hAnsi="Times New Roman" w:cs="Times New Roman"/>
          <w:sz w:val="24"/>
          <w:szCs w:val="24"/>
        </w:rPr>
        <w:t xml:space="preserve"> knowledgeability that is the condition to any core knowledgeabilities; and resulting knowledgeability that is as result of enactment of core </w:t>
      </w:r>
      <w:r w:rsidRPr="00F153F6">
        <w:rPr>
          <w:rFonts w:ascii="Times New Roman" w:hAnsi="Times New Roman" w:cs="Times New Roman"/>
          <w:sz w:val="24"/>
          <w:szCs w:val="24"/>
        </w:rPr>
        <w:lastRenderedPageBreak/>
        <w:t xml:space="preserve">knowledgeabilities. Specifically, for all three project stages, </w:t>
      </w:r>
      <w:r w:rsidR="0058396B" w:rsidRPr="00F153F6">
        <w:rPr>
          <w:rFonts w:ascii="Times New Roman" w:hAnsi="Times New Roman" w:cs="Times New Roman"/>
          <w:sz w:val="24"/>
          <w:szCs w:val="24"/>
        </w:rPr>
        <w:t>conditional</w:t>
      </w:r>
      <w:r w:rsidRPr="00F153F6">
        <w:rPr>
          <w:rFonts w:ascii="Times New Roman" w:hAnsi="Times New Roman" w:cs="Times New Roman"/>
          <w:sz w:val="24"/>
          <w:szCs w:val="24"/>
        </w:rPr>
        <w:t xml:space="preserve"> and resulting knowledgeabilities are the same, namely, they are: inter-connecting knowledgeability and co-ordinating knowledgeability, respectively. Core knowledgeabilities vary across different project stages: during the inception stage, core knowledgeabilities are shared understanding and interactive commenting; during the middle stage, core knowledgeabilities are expertise accumulating and collaborative problem solving; and during the completed stage, core knowledgeabilities are insights spreading and co-constructing. From a whole project progress perspective, these core knowledgeabilities can be grouped together and broadly characterised as: inter-active learning; and co-creating. There are different activities through which actors may enact different types of knowledgeabilities. ICT can mediate the enactment of these diverse knowledgeabilities by either </w:t>
      </w:r>
      <w:r w:rsidR="00B7426D" w:rsidRPr="00F153F6">
        <w:rPr>
          <w:rFonts w:ascii="Times New Roman" w:hAnsi="Times New Roman" w:cs="Times New Roman"/>
          <w:sz w:val="24"/>
          <w:szCs w:val="24"/>
        </w:rPr>
        <w:t>affording</w:t>
      </w:r>
      <w:r w:rsidRPr="00F153F6">
        <w:rPr>
          <w:rFonts w:ascii="Times New Roman" w:hAnsi="Times New Roman" w:cs="Times New Roman"/>
          <w:sz w:val="24"/>
          <w:szCs w:val="24"/>
        </w:rPr>
        <w:t xml:space="preserve"> or constraining actors’ distinct abilities within those activities. </w:t>
      </w:r>
      <w:r w:rsidR="00B7426D" w:rsidRPr="00F153F6">
        <w:rPr>
          <w:rFonts w:ascii="Times New Roman" w:hAnsi="Times New Roman" w:cs="Times New Roman"/>
          <w:sz w:val="24"/>
          <w:szCs w:val="24"/>
        </w:rPr>
        <w:t xml:space="preserve">As described in the literature review chapter (section 2.5.7), an affordance view has both enablement and constraint nature in mediating ICT-based IOKE practice. The present findings in the ensuing narratives will use terms such as “affordance”, “afforded abilities”, or “affording” to indicate the enablement nature of ICT that facilitates ICT-based IOKE practice; and use terms such as “constraints”, “constrained abilities”, or “constraining” to indicate the constraint nature of ICT that inhibit ICT-based IOKE practice. </w:t>
      </w:r>
      <w:r w:rsidRPr="00F153F6">
        <w:rPr>
          <w:rFonts w:ascii="Times New Roman" w:hAnsi="Times New Roman" w:cs="Times New Roman"/>
          <w:sz w:val="24"/>
          <w:szCs w:val="24"/>
        </w:rPr>
        <w:t xml:space="preserve">Table 4.1 summarises all knowledgeabilities with a brief description for each, and indicates the relevant activities for each, as well as the ways in which ICT facilitate or inhibit the enactment of these knowledgeabilities across different stages. Underlined concepts are those that vary across the three different stages. A detailed discussion is provided in the subsequent sections (Sections 4.2 - 4.5). </w:t>
      </w:r>
    </w:p>
    <w:p w14:paraId="05597A37" w14:textId="77777777" w:rsidR="00C03E68" w:rsidRPr="00F153F6" w:rsidRDefault="00C03E68" w:rsidP="004424B4">
      <w:pPr>
        <w:spacing w:line="360" w:lineRule="auto"/>
        <w:jc w:val="both"/>
        <w:rPr>
          <w:rFonts w:ascii="Times New Roman" w:hAnsi="Times New Roman" w:cs="Times New Roman"/>
        </w:rPr>
        <w:sectPr w:rsidR="00C03E68" w:rsidRPr="00F153F6" w:rsidSect="0015201A">
          <w:pgSz w:w="11906" w:h="16838"/>
          <w:pgMar w:top="1440" w:right="1440" w:bottom="1440" w:left="1440" w:header="708" w:footer="708" w:gutter="0"/>
          <w:cols w:space="708"/>
          <w:titlePg/>
          <w:docGrid w:linePitch="360"/>
        </w:sectPr>
      </w:pPr>
    </w:p>
    <w:p w14:paraId="79E2AF88" w14:textId="6D0C0FA8" w:rsidR="00845905" w:rsidRPr="00F153F6" w:rsidRDefault="00845905" w:rsidP="00845905">
      <w:pPr>
        <w:pStyle w:val="Caption"/>
        <w:keepNext/>
        <w:rPr>
          <w:rFonts w:ascii="Times New Roman" w:hAnsi="Times New Roman" w:cs="Times New Roman"/>
          <w:i w:val="0"/>
          <w:iCs w:val="0"/>
          <w:color w:val="auto"/>
          <w:sz w:val="22"/>
          <w:szCs w:val="22"/>
        </w:rPr>
      </w:pPr>
      <w:bookmarkStart w:id="350" w:name="_Toc119448035"/>
      <w:r w:rsidRPr="00F153F6">
        <w:rPr>
          <w:rFonts w:ascii="Times New Roman" w:hAnsi="Times New Roman" w:cs="Times New Roman"/>
          <w:i w:val="0"/>
          <w:iCs w:val="0"/>
          <w:color w:val="auto"/>
          <w:sz w:val="22"/>
          <w:szCs w:val="22"/>
        </w:rPr>
        <w:lastRenderedPageBreak/>
        <w:t xml:space="preserve">Table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Table_4. \* ARABIC </w:instrText>
      </w:r>
      <w:r w:rsidRPr="00F153F6">
        <w:rPr>
          <w:rFonts w:ascii="Times New Roman" w:hAnsi="Times New Roman" w:cs="Times New Roman"/>
          <w:i w:val="0"/>
          <w:iCs w:val="0"/>
          <w:color w:val="auto"/>
          <w:sz w:val="22"/>
          <w:szCs w:val="22"/>
        </w:rPr>
        <w:fldChar w:fldCharType="separate"/>
      </w:r>
      <w:r w:rsidR="007148BA" w:rsidRPr="00F153F6">
        <w:rPr>
          <w:rFonts w:ascii="Times New Roman" w:hAnsi="Times New Roman" w:cs="Times New Roman"/>
          <w:i w:val="0"/>
          <w:iCs w:val="0"/>
          <w:noProof/>
          <w:color w:val="auto"/>
          <w:sz w:val="22"/>
          <w:szCs w:val="22"/>
        </w:rPr>
        <w:t>1</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Overview of knowledgeabilities, activities and ICT that </w:t>
      </w:r>
      <w:r w:rsidR="000863D5" w:rsidRPr="00F153F6">
        <w:rPr>
          <w:rFonts w:ascii="Times New Roman" w:hAnsi="Times New Roman" w:cs="Times New Roman"/>
          <w:i w:val="0"/>
          <w:iCs w:val="0"/>
          <w:color w:val="auto"/>
          <w:sz w:val="22"/>
          <w:szCs w:val="22"/>
        </w:rPr>
        <w:t>afford</w:t>
      </w:r>
      <w:r w:rsidRPr="00F153F6">
        <w:rPr>
          <w:rFonts w:ascii="Times New Roman" w:hAnsi="Times New Roman" w:cs="Times New Roman"/>
          <w:i w:val="0"/>
          <w:iCs w:val="0"/>
          <w:color w:val="auto"/>
          <w:sz w:val="22"/>
          <w:szCs w:val="22"/>
        </w:rPr>
        <w:t xml:space="preserve"> or constrain abilities across the three project stages.</w:t>
      </w:r>
      <w:bookmarkEnd w:id="350"/>
    </w:p>
    <w:tbl>
      <w:tblPr>
        <w:tblStyle w:val="PlainTable5"/>
        <w:tblW w:w="5000" w:type="pct"/>
        <w:tblLook w:val="04A0" w:firstRow="1" w:lastRow="0" w:firstColumn="1" w:lastColumn="0" w:noHBand="0" w:noVBand="1"/>
      </w:tblPr>
      <w:tblGrid>
        <w:gridCol w:w="2409"/>
        <w:gridCol w:w="2836"/>
        <w:gridCol w:w="3275"/>
        <w:gridCol w:w="2711"/>
        <w:gridCol w:w="2727"/>
      </w:tblGrid>
      <w:tr w:rsidR="005549E4" w:rsidRPr="00F153F6" w14:paraId="7BC61F32" w14:textId="77777777" w:rsidTr="00116210">
        <w:trPr>
          <w:cnfStyle w:val="100000000000" w:firstRow="1" w:lastRow="0" w:firstColumn="0" w:lastColumn="0" w:oddVBand="0" w:evenVBand="0" w:oddHBand="0" w:evenHBand="0" w:firstRowFirstColumn="0" w:firstRowLastColumn="0" w:lastRowFirstColumn="0" w:lastRowLastColumn="0"/>
          <w:trHeight w:val="394"/>
        </w:trPr>
        <w:tc>
          <w:tcPr>
            <w:cnfStyle w:val="001000000100" w:firstRow="0" w:lastRow="0" w:firstColumn="1" w:lastColumn="0" w:oddVBand="0" w:evenVBand="0" w:oddHBand="0" w:evenHBand="0" w:firstRowFirstColumn="1" w:firstRowLastColumn="0" w:lastRowFirstColumn="0" w:lastRowLastColumn="0"/>
            <w:tcW w:w="863" w:type="pct"/>
            <w:tcBorders>
              <w:top w:val="single" w:sz="18" w:space="0" w:color="auto"/>
              <w:bottom w:val="single" w:sz="18" w:space="0" w:color="auto"/>
            </w:tcBorders>
            <w:shd w:val="clear" w:color="auto" w:fill="auto"/>
          </w:tcPr>
          <w:p w14:paraId="5115EA44" w14:textId="4C9D2321" w:rsidR="0015201A" w:rsidRPr="00F153F6" w:rsidRDefault="0015201A" w:rsidP="004424B4">
            <w:pPr>
              <w:spacing w:line="360" w:lineRule="auto"/>
              <w:jc w:val="left"/>
              <w:rPr>
                <w:rFonts w:ascii="Times New Roman" w:hAnsi="Times New Roman" w:cs="Times New Roman"/>
                <w:b/>
                <w:bCs/>
                <w:i w:val="0"/>
                <w:iCs w:val="0"/>
                <w:sz w:val="20"/>
                <w:szCs w:val="20"/>
              </w:rPr>
            </w:pPr>
            <w:r w:rsidRPr="00F153F6">
              <w:rPr>
                <w:rFonts w:ascii="Times New Roman" w:hAnsi="Times New Roman" w:cs="Times New Roman"/>
                <w:b/>
                <w:bCs/>
                <w:i w:val="0"/>
                <w:iCs w:val="0"/>
                <w:sz w:val="20"/>
                <w:szCs w:val="20"/>
              </w:rPr>
              <w:t xml:space="preserve">Knowledgeabilities </w:t>
            </w:r>
          </w:p>
        </w:tc>
        <w:tc>
          <w:tcPr>
            <w:tcW w:w="1016" w:type="pct"/>
            <w:tcBorders>
              <w:top w:val="single" w:sz="18" w:space="0" w:color="auto"/>
              <w:bottom w:val="single" w:sz="18" w:space="0" w:color="auto"/>
            </w:tcBorders>
            <w:shd w:val="clear" w:color="auto" w:fill="auto"/>
          </w:tcPr>
          <w:p w14:paraId="50C90161" w14:textId="77777777" w:rsidR="0015201A" w:rsidRPr="00F153F6" w:rsidRDefault="0015201A" w:rsidP="004424B4">
            <w:pPr>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0"/>
                <w:szCs w:val="20"/>
              </w:rPr>
            </w:pPr>
            <w:r w:rsidRPr="00F153F6">
              <w:rPr>
                <w:rFonts w:ascii="Times New Roman" w:hAnsi="Times New Roman" w:cs="Times New Roman"/>
                <w:b/>
                <w:bCs/>
                <w:i w:val="0"/>
                <w:iCs w:val="0"/>
                <w:sz w:val="20"/>
                <w:szCs w:val="20"/>
              </w:rPr>
              <w:t>Knowing in practice</w:t>
            </w:r>
          </w:p>
        </w:tc>
        <w:tc>
          <w:tcPr>
            <w:tcW w:w="1173" w:type="pct"/>
            <w:tcBorders>
              <w:top w:val="single" w:sz="18" w:space="0" w:color="auto"/>
              <w:bottom w:val="single" w:sz="18" w:space="0" w:color="auto"/>
            </w:tcBorders>
            <w:shd w:val="clear" w:color="auto" w:fill="auto"/>
          </w:tcPr>
          <w:p w14:paraId="4A46B570" w14:textId="77777777" w:rsidR="0015201A" w:rsidRPr="00F153F6" w:rsidRDefault="0015201A" w:rsidP="004424B4">
            <w:pPr>
              <w:tabs>
                <w:tab w:val="left" w:pos="495"/>
                <w:tab w:val="center" w:pos="964"/>
              </w:tabs>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0"/>
                <w:szCs w:val="20"/>
              </w:rPr>
            </w:pPr>
            <w:r w:rsidRPr="00F153F6">
              <w:rPr>
                <w:rFonts w:ascii="Times New Roman" w:hAnsi="Times New Roman" w:cs="Times New Roman"/>
                <w:b/>
                <w:bCs/>
                <w:i w:val="0"/>
                <w:iCs w:val="0"/>
                <w:sz w:val="20"/>
                <w:szCs w:val="20"/>
              </w:rPr>
              <w:t>Activities</w:t>
            </w:r>
          </w:p>
        </w:tc>
        <w:tc>
          <w:tcPr>
            <w:tcW w:w="971" w:type="pct"/>
            <w:tcBorders>
              <w:top w:val="single" w:sz="18" w:space="0" w:color="auto"/>
              <w:bottom w:val="single" w:sz="18" w:space="0" w:color="auto"/>
            </w:tcBorders>
            <w:shd w:val="clear" w:color="auto" w:fill="auto"/>
          </w:tcPr>
          <w:p w14:paraId="15AB634E" w14:textId="575D06A3" w:rsidR="0015201A" w:rsidRPr="00F153F6" w:rsidRDefault="0015201A" w:rsidP="004424B4">
            <w:pPr>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0"/>
                <w:szCs w:val="20"/>
              </w:rPr>
            </w:pPr>
            <w:r w:rsidRPr="00F153F6">
              <w:rPr>
                <w:rFonts w:ascii="Times New Roman" w:hAnsi="Times New Roman" w:cs="Times New Roman"/>
                <w:b/>
                <w:bCs/>
                <w:i w:val="0"/>
                <w:iCs w:val="0"/>
                <w:sz w:val="20"/>
                <w:szCs w:val="20"/>
              </w:rPr>
              <w:t>ICT-</w:t>
            </w:r>
            <w:r w:rsidR="000863D5" w:rsidRPr="00F153F6">
              <w:rPr>
                <w:rFonts w:ascii="Times New Roman" w:hAnsi="Times New Roman" w:cs="Times New Roman"/>
                <w:b/>
                <w:bCs/>
                <w:i w:val="0"/>
                <w:iCs w:val="0"/>
                <w:sz w:val="20"/>
                <w:szCs w:val="20"/>
              </w:rPr>
              <w:t xml:space="preserve">Afforded </w:t>
            </w:r>
            <w:r w:rsidRPr="00F153F6">
              <w:rPr>
                <w:rFonts w:ascii="Times New Roman" w:hAnsi="Times New Roman" w:cs="Times New Roman"/>
                <w:b/>
                <w:bCs/>
                <w:i w:val="0"/>
                <w:iCs w:val="0"/>
                <w:sz w:val="20"/>
                <w:szCs w:val="20"/>
              </w:rPr>
              <w:t xml:space="preserve">Abilities </w:t>
            </w:r>
          </w:p>
        </w:tc>
        <w:tc>
          <w:tcPr>
            <w:tcW w:w="977" w:type="pct"/>
            <w:tcBorders>
              <w:top w:val="single" w:sz="18" w:space="0" w:color="auto"/>
              <w:bottom w:val="single" w:sz="18" w:space="0" w:color="auto"/>
            </w:tcBorders>
            <w:shd w:val="clear" w:color="auto" w:fill="auto"/>
          </w:tcPr>
          <w:p w14:paraId="6B0D641A" w14:textId="77777777" w:rsidR="0015201A" w:rsidRPr="00F153F6" w:rsidRDefault="0015201A" w:rsidP="004424B4">
            <w:pPr>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0"/>
                <w:szCs w:val="20"/>
              </w:rPr>
            </w:pPr>
            <w:r w:rsidRPr="00F153F6">
              <w:rPr>
                <w:rFonts w:ascii="Times New Roman" w:hAnsi="Times New Roman" w:cs="Times New Roman"/>
                <w:b/>
                <w:bCs/>
                <w:i w:val="0"/>
                <w:iCs w:val="0"/>
                <w:sz w:val="20"/>
                <w:szCs w:val="20"/>
              </w:rPr>
              <w:t xml:space="preserve">ICT-Constrained Abilities </w:t>
            </w:r>
          </w:p>
        </w:tc>
      </w:tr>
      <w:tr w:rsidR="005549E4" w:rsidRPr="00F153F6" w14:paraId="418A6770" w14:textId="77777777" w:rsidTr="00116210">
        <w:trPr>
          <w:cnfStyle w:val="000000100000" w:firstRow="0" w:lastRow="0" w:firstColumn="0" w:lastColumn="0" w:oddVBand="0" w:evenVBand="0" w:oddHBand="1" w:evenHBand="0" w:firstRowFirstColumn="0" w:firstRowLastColumn="0" w:lastRowFirstColumn="0" w:lastRowLastColumn="0"/>
          <w:trHeight w:val="1973"/>
        </w:trPr>
        <w:tc>
          <w:tcPr>
            <w:cnfStyle w:val="001000000000" w:firstRow="0" w:lastRow="0" w:firstColumn="1" w:lastColumn="0" w:oddVBand="0" w:evenVBand="0" w:oddHBand="0" w:evenHBand="0" w:firstRowFirstColumn="0" w:firstRowLastColumn="0" w:lastRowFirstColumn="0" w:lastRowLastColumn="0"/>
            <w:tcW w:w="863" w:type="pct"/>
            <w:tcBorders>
              <w:top w:val="single" w:sz="18" w:space="0" w:color="auto"/>
              <w:bottom w:val="single" w:sz="4" w:space="0" w:color="auto"/>
            </w:tcBorders>
            <w:shd w:val="clear" w:color="auto" w:fill="auto"/>
          </w:tcPr>
          <w:p w14:paraId="7AA7B4C6" w14:textId="77777777" w:rsidR="0015201A" w:rsidRPr="00F153F6" w:rsidRDefault="0015201A" w:rsidP="004424B4">
            <w:pPr>
              <w:spacing w:line="360" w:lineRule="auto"/>
              <w:jc w:val="left"/>
              <w:rPr>
                <w:rFonts w:ascii="Times New Roman" w:hAnsi="Times New Roman" w:cs="Times New Roman"/>
                <w:i w:val="0"/>
                <w:iCs w:val="0"/>
                <w:sz w:val="18"/>
                <w:szCs w:val="18"/>
              </w:rPr>
            </w:pPr>
            <w:r w:rsidRPr="00F153F6">
              <w:rPr>
                <w:rFonts w:ascii="Times New Roman" w:hAnsi="Times New Roman" w:cs="Times New Roman"/>
                <w:i w:val="0"/>
                <w:iCs w:val="0"/>
                <w:sz w:val="18"/>
                <w:szCs w:val="18"/>
              </w:rPr>
              <w:t xml:space="preserve">Inter-connecting </w:t>
            </w:r>
          </w:p>
          <w:p w14:paraId="0ECF1AA0" w14:textId="77777777" w:rsidR="0015201A" w:rsidRPr="00F153F6" w:rsidRDefault="0015201A" w:rsidP="004424B4">
            <w:pPr>
              <w:spacing w:line="360" w:lineRule="auto"/>
              <w:jc w:val="left"/>
              <w:rPr>
                <w:rFonts w:ascii="Times New Roman" w:hAnsi="Times New Roman" w:cs="Times New Roman"/>
                <w:i w:val="0"/>
                <w:iCs w:val="0"/>
                <w:sz w:val="18"/>
                <w:szCs w:val="18"/>
              </w:rPr>
            </w:pPr>
          </w:p>
        </w:tc>
        <w:tc>
          <w:tcPr>
            <w:tcW w:w="1016" w:type="pct"/>
            <w:tcBorders>
              <w:top w:val="single" w:sz="18" w:space="0" w:color="auto"/>
              <w:bottom w:val="single" w:sz="4" w:space="0" w:color="auto"/>
            </w:tcBorders>
            <w:shd w:val="clear" w:color="auto" w:fill="auto"/>
          </w:tcPr>
          <w:p w14:paraId="3A3D27FE" w14:textId="77777777"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rPr>
            </w:pPr>
            <w:r w:rsidRPr="00F153F6">
              <w:rPr>
                <w:rFonts w:ascii="Times New Roman" w:eastAsiaTheme="minorEastAsia" w:hAnsi="Times New Roman" w:cs="Times New Roman"/>
                <w:sz w:val="18"/>
                <w:szCs w:val="18"/>
              </w:rPr>
              <w:t>Knowing how to cultivate relationships</w:t>
            </w:r>
          </w:p>
        </w:tc>
        <w:tc>
          <w:tcPr>
            <w:tcW w:w="1173" w:type="pct"/>
            <w:tcBorders>
              <w:top w:val="single" w:sz="18" w:space="0" w:color="auto"/>
              <w:bottom w:val="single" w:sz="4" w:space="0" w:color="auto"/>
            </w:tcBorders>
            <w:shd w:val="clear" w:color="auto" w:fill="auto"/>
          </w:tcPr>
          <w:p w14:paraId="04DB628C" w14:textId="41878467"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Cultivating Partnerships (In., Mi.)</w:t>
            </w:r>
          </w:p>
          <w:p w14:paraId="5A904AC0" w14:textId="1347B8C1"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rPr>
            </w:pPr>
            <w:r w:rsidRPr="00F153F6">
              <w:rPr>
                <w:rFonts w:ascii="Times New Roman" w:eastAsiaTheme="minorEastAsia" w:hAnsi="Times New Roman" w:cs="Times New Roman"/>
                <w:sz w:val="18"/>
                <w:szCs w:val="18"/>
              </w:rPr>
              <w:t>Connecting</w:t>
            </w:r>
          </w:p>
          <w:p w14:paraId="01912F75" w14:textId="06EF376B"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Bridging (In., Mi.)</w:t>
            </w:r>
          </w:p>
          <w:p w14:paraId="6FA62D93" w14:textId="222DA8BD"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rPr>
            </w:pPr>
            <w:r w:rsidRPr="00F153F6">
              <w:rPr>
                <w:rFonts w:ascii="Times New Roman" w:eastAsiaTheme="minorEastAsia" w:hAnsi="Times New Roman" w:cs="Times New Roman"/>
                <w:sz w:val="18"/>
                <w:szCs w:val="18"/>
              </w:rPr>
              <w:t>Socialising</w:t>
            </w:r>
          </w:p>
          <w:p w14:paraId="15520F5E" w14:textId="13BBC018"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Embedding in Real life (Mi.)</w:t>
            </w:r>
          </w:p>
        </w:tc>
        <w:tc>
          <w:tcPr>
            <w:tcW w:w="971" w:type="pct"/>
            <w:tcBorders>
              <w:top w:val="single" w:sz="18" w:space="0" w:color="auto"/>
              <w:bottom w:val="single" w:sz="4" w:space="0" w:color="auto"/>
            </w:tcBorders>
            <w:shd w:val="clear" w:color="auto" w:fill="auto"/>
          </w:tcPr>
          <w:p w14:paraId="716D3556" w14:textId="3D9D6CEC"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rPr>
            </w:pPr>
            <w:r w:rsidRPr="00F153F6">
              <w:rPr>
                <w:rFonts w:ascii="Times New Roman" w:eastAsiaTheme="minorEastAsia" w:hAnsi="Times New Roman" w:cs="Times New Roman"/>
                <w:sz w:val="18"/>
                <w:szCs w:val="18"/>
              </w:rPr>
              <w:t>Cross-distance Networking</w:t>
            </w:r>
          </w:p>
          <w:p w14:paraId="04C95E95" w14:textId="5B686170"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rPr>
            </w:pPr>
            <w:r w:rsidRPr="00F153F6">
              <w:rPr>
                <w:rFonts w:ascii="Times New Roman" w:eastAsiaTheme="minorEastAsia" w:hAnsi="Times New Roman" w:cs="Times New Roman"/>
                <w:sz w:val="18"/>
                <w:szCs w:val="18"/>
              </w:rPr>
              <w:t>Notifying</w:t>
            </w:r>
          </w:p>
          <w:p w14:paraId="3C3E2956" w14:textId="77777777"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Informal Interacting (In.)</w:t>
            </w:r>
          </w:p>
          <w:p w14:paraId="37C48C5A" w14:textId="77777777"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p>
          <w:p w14:paraId="0A4936CF" w14:textId="77777777"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rPr>
            </w:pPr>
            <w:r w:rsidRPr="00F153F6">
              <w:rPr>
                <w:rFonts w:ascii="Times New Roman" w:eastAsiaTheme="minorEastAsia" w:hAnsi="Times New Roman" w:cs="Times New Roman"/>
                <w:sz w:val="18"/>
                <w:szCs w:val="18"/>
                <w:u w:val="single"/>
              </w:rPr>
              <w:t>Context Familiarising (Mi.)</w:t>
            </w:r>
          </w:p>
        </w:tc>
        <w:tc>
          <w:tcPr>
            <w:tcW w:w="977" w:type="pct"/>
            <w:tcBorders>
              <w:top w:val="single" w:sz="18" w:space="0" w:color="auto"/>
              <w:bottom w:val="single" w:sz="4" w:space="0" w:color="auto"/>
            </w:tcBorders>
            <w:shd w:val="clear" w:color="auto" w:fill="auto"/>
          </w:tcPr>
          <w:p w14:paraId="6280F335" w14:textId="4E6EFF5F"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Appealing (In., Mi.)</w:t>
            </w:r>
          </w:p>
          <w:p w14:paraId="60DBA394" w14:textId="4CD7F416"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Accessing (In.)</w:t>
            </w:r>
          </w:p>
          <w:p w14:paraId="7AD4106D" w14:textId="123F7CA1"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Stable Communicating (Mi.)</w:t>
            </w:r>
          </w:p>
          <w:p w14:paraId="3E074F23" w14:textId="13F0A6E6"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Informal Interacting (Mi.)</w:t>
            </w:r>
          </w:p>
          <w:p w14:paraId="28AE4B45" w14:textId="5ADB2467" w:rsidR="00C03E68"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Stress Releasing (Co.)</w:t>
            </w:r>
          </w:p>
        </w:tc>
      </w:tr>
      <w:tr w:rsidR="005549E4" w:rsidRPr="00F153F6" w14:paraId="4B53369B" w14:textId="77777777" w:rsidTr="00116210">
        <w:trPr>
          <w:trHeight w:val="868"/>
        </w:trPr>
        <w:tc>
          <w:tcPr>
            <w:cnfStyle w:val="001000000000" w:firstRow="0" w:lastRow="0" w:firstColumn="1" w:lastColumn="0" w:oddVBand="0" w:evenVBand="0" w:oddHBand="0" w:evenHBand="0" w:firstRowFirstColumn="0" w:firstRowLastColumn="0" w:lastRowFirstColumn="0" w:lastRowLastColumn="0"/>
            <w:tcW w:w="863" w:type="pct"/>
            <w:tcBorders>
              <w:top w:val="single" w:sz="4" w:space="0" w:color="auto"/>
              <w:bottom w:val="single" w:sz="4" w:space="0" w:color="auto"/>
            </w:tcBorders>
            <w:shd w:val="clear" w:color="auto" w:fill="auto"/>
          </w:tcPr>
          <w:p w14:paraId="75AF1790" w14:textId="77777777" w:rsidR="0015201A" w:rsidRPr="00F153F6" w:rsidRDefault="0015201A" w:rsidP="004424B4">
            <w:pPr>
              <w:spacing w:line="360" w:lineRule="auto"/>
              <w:jc w:val="left"/>
              <w:rPr>
                <w:rFonts w:ascii="Times New Roman" w:hAnsi="Times New Roman" w:cs="Times New Roman"/>
                <w:i w:val="0"/>
                <w:iCs w:val="0"/>
                <w:sz w:val="18"/>
                <w:szCs w:val="18"/>
                <w:u w:val="single"/>
              </w:rPr>
            </w:pPr>
            <w:r w:rsidRPr="00F153F6">
              <w:rPr>
                <w:rFonts w:ascii="Times New Roman" w:hAnsi="Times New Roman" w:cs="Times New Roman"/>
                <w:i w:val="0"/>
                <w:iCs w:val="0"/>
                <w:sz w:val="18"/>
                <w:szCs w:val="18"/>
                <w:u w:val="single"/>
              </w:rPr>
              <w:t>Shared Understanding (In.)</w:t>
            </w:r>
          </w:p>
          <w:p w14:paraId="5927F462" w14:textId="77777777" w:rsidR="0015201A" w:rsidRPr="00F153F6" w:rsidRDefault="0015201A" w:rsidP="004424B4">
            <w:pPr>
              <w:spacing w:line="360" w:lineRule="auto"/>
              <w:jc w:val="left"/>
              <w:rPr>
                <w:rFonts w:ascii="Times New Roman" w:hAnsi="Times New Roman" w:cs="Times New Roman"/>
                <w:i w:val="0"/>
                <w:iCs w:val="0"/>
                <w:sz w:val="18"/>
                <w:szCs w:val="18"/>
              </w:rPr>
            </w:pPr>
          </w:p>
        </w:tc>
        <w:tc>
          <w:tcPr>
            <w:tcW w:w="1016" w:type="pct"/>
            <w:tcBorders>
              <w:top w:val="single" w:sz="4" w:space="0" w:color="auto"/>
              <w:bottom w:val="single" w:sz="4" w:space="0" w:color="auto"/>
            </w:tcBorders>
            <w:shd w:val="clear" w:color="auto" w:fill="auto"/>
          </w:tcPr>
          <w:p w14:paraId="6CD74437" w14:textId="77777777"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Knowing how to align expertise</w:t>
            </w:r>
          </w:p>
        </w:tc>
        <w:tc>
          <w:tcPr>
            <w:tcW w:w="1173" w:type="pct"/>
            <w:tcBorders>
              <w:top w:val="single" w:sz="4" w:space="0" w:color="auto"/>
              <w:bottom w:val="single" w:sz="4" w:space="0" w:color="auto"/>
            </w:tcBorders>
            <w:shd w:val="clear" w:color="auto" w:fill="auto"/>
          </w:tcPr>
          <w:p w14:paraId="37406682" w14:textId="4CAF1C39"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Onboarding</w:t>
            </w:r>
          </w:p>
          <w:p w14:paraId="7F5D25F8" w14:textId="24106846"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Sharing</w:t>
            </w:r>
          </w:p>
        </w:tc>
        <w:tc>
          <w:tcPr>
            <w:tcW w:w="971" w:type="pct"/>
            <w:tcBorders>
              <w:top w:val="single" w:sz="4" w:space="0" w:color="auto"/>
              <w:bottom w:val="single" w:sz="4" w:space="0" w:color="auto"/>
            </w:tcBorders>
            <w:shd w:val="clear" w:color="auto" w:fill="auto"/>
          </w:tcPr>
          <w:p w14:paraId="4F79137D" w14:textId="74DA8E12"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Showcasing</w:t>
            </w:r>
          </w:p>
          <w:p w14:paraId="72ED86F6" w14:textId="77777777"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Collective Storing</w:t>
            </w:r>
          </w:p>
        </w:tc>
        <w:tc>
          <w:tcPr>
            <w:tcW w:w="977" w:type="pct"/>
            <w:tcBorders>
              <w:top w:val="single" w:sz="4" w:space="0" w:color="auto"/>
              <w:bottom w:val="single" w:sz="4" w:space="0" w:color="auto"/>
            </w:tcBorders>
            <w:shd w:val="clear" w:color="auto" w:fill="auto"/>
          </w:tcPr>
          <w:p w14:paraId="741B8190" w14:textId="21B8151F"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Public Codifying</w:t>
            </w:r>
          </w:p>
          <w:p w14:paraId="5E4655B7" w14:textId="77777777"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Implicit Signalling</w:t>
            </w:r>
          </w:p>
        </w:tc>
      </w:tr>
      <w:tr w:rsidR="005549E4" w:rsidRPr="00F153F6" w14:paraId="3B728592" w14:textId="77777777" w:rsidTr="00116210">
        <w:trPr>
          <w:cnfStyle w:val="000000100000" w:firstRow="0" w:lastRow="0" w:firstColumn="0" w:lastColumn="0" w:oddVBand="0" w:evenVBand="0" w:oddHBand="1"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863" w:type="pct"/>
            <w:tcBorders>
              <w:top w:val="single" w:sz="4" w:space="0" w:color="auto"/>
              <w:bottom w:val="single" w:sz="4" w:space="0" w:color="auto"/>
            </w:tcBorders>
            <w:shd w:val="clear" w:color="auto" w:fill="auto"/>
          </w:tcPr>
          <w:p w14:paraId="2E7057F4" w14:textId="6C344D9F" w:rsidR="0015201A" w:rsidRPr="00F153F6" w:rsidRDefault="0015201A" w:rsidP="004424B4">
            <w:pPr>
              <w:spacing w:line="360" w:lineRule="auto"/>
              <w:jc w:val="left"/>
              <w:rPr>
                <w:rFonts w:ascii="Times New Roman" w:hAnsi="Times New Roman" w:cs="Times New Roman"/>
                <w:i w:val="0"/>
                <w:iCs w:val="0"/>
                <w:sz w:val="18"/>
                <w:szCs w:val="18"/>
                <w:u w:val="single"/>
              </w:rPr>
            </w:pPr>
            <w:r w:rsidRPr="00F153F6">
              <w:rPr>
                <w:rFonts w:ascii="Times New Roman" w:hAnsi="Times New Roman" w:cs="Times New Roman"/>
                <w:i w:val="0"/>
                <w:iCs w:val="0"/>
                <w:sz w:val="18"/>
                <w:szCs w:val="18"/>
                <w:u w:val="single"/>
              </w:rPr>
              <w:t>Interactive Commenting (In.)</w:t>
            </w:r>
          </w:p>
        </w:tc>
        <w:tc>
          <w:tcPr>
            <w:tcW w:w="1016" w:type="pct"/>
            <w:tcBorders>
              <w:top w:val="single" w:sz="4" w:space="0" w:color="auto"/>
              <w:bottom w:val="single" w:sz="4" w:space="0" w:color="auto"/>
            </w:tcBorders>
            <w:shd w:val="clear" w:color="auto" w:fill="auto"/>
          </w:tcPr>
          <w:p w14:paraId="26EAF991" w14:textId="77777777"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Knowing how to assist peers</w:t>
            </w:r>
          </w:p>
        </w:tc>
        <w:tc>
          <w:tcPr>
            <w:tcW w:w="1173" w:type="pct"/>
            <w:tcBorders>
              <w:top w:val="single" w:sz="4" w:space="0" w:color="auto"/>
              <w:bottom w:val="single" w:sz="4" w:space="0" w:color="auto"/>
            </w:tcBorders>
            <w:shd w:val="clear" w:color="auto" w:fill="auto"/>
          </w:tcPr>
          <w:p w14:paraId="6770E4D5" w14:textId="34EC02C9"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 xml:space="preserve">Collaborative Writing </w:t>
            </w:r>
          </w:p>
          <w:p w14:paraId="4C628172" w14:textId="00396533"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Group Discussing</w:t>
            </w:r>
          </w:p>
        </w:tc>
        <w:tc>
          <w:tcPr>
            <w:tcW w:w="971" w:type="pct"/>
            <w:tcBorders>
              <w:top w:val="single" w:sz="4" w:space="0" w:color="auto"/>
              <w:bottom w:val="single" w:sz="4" w:space="0" w:color="auto"/>
            </w:tcBorders>
            <w:shd w:val="clear" w:color="auto" w:fill="auto"/>
          </w:tcPr>
          <w:p w14:paraId="583E28B3" w14:textId="5D33A7C5"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Flexibility</w:t>
            </w:r>
          </w:p>
          <w:p w14:paraId="0CB2DDEE" w14:textId="094C9ACB" w:rsidR="00C03E68"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Instant Workaround</w:t>
            </w:r>
          </w:p>
        </w:tc>
        <w:tc>
          <w:tcPr>
            <w:tcW w:w="977" w:type="pct"/>
            <w:tcBorders>
              <w:top w:val="single" w:sz="4" w:space="0" w:color="auto"/>
              <w:bottom w:val="single" w:sz="4" w:space="0" w:color="auto"/>
            </w:tcBorders>
            <w:shd w:val="clear" w:color="auto" w:fill="auto"/>
          </w:tcPr>
          <w:p w14:paraId="478B0603" w14:textId="247D0BA4"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Concentrating</w:t>
            </w:r>
          </w:p>
        </w:tc>
      </w:tr>
      <w:tr w:rsidR="005549E4" w:rsidRPr="00F153F6" w14:paraId="7A81C419" w14:textId="77777777" w:rsidTr="00116210">
        <w:trPr>
          <w:trHeight w:val="119"/>
        </w:trPr>
        <w:tc>
          <w:tcPr>
            <w:cnfStyle w:val="001000000000" w:firstRow="0" w:lastRow="0" w:firstColumn="1" w:lastColumn="0" w:oddVBand="0" w:evenVBand="0" w:oddHBand="0" w:evenHBand="0" w:firstRowFirstColumn="0" w:firstRowLastColumn="0" w:lastRowFirstColumn="0" w:lastRowLastColumn="0"/>
            <w:tcW w:w="863" w:type="pct"/>
            <w:tcBorders>
              <w:top w:val="single" w:sz="4" w:space="0" w:color="auto"/>
              <w:bottom w:val="single" w:sz="4" w:space="0" w:color="auto"/>
            </w:tcBorders>
            <w:shd w:val="clear" w:color="auto" w:fill="auto"/>
          </w:tcPr>
          <w:p w14:paraId="337AFBC5" w14:textId="77777777" w:rsidR="0015201A" w:rsidRPr="00F153F6" w:rsidRDefault="0015201A" w:rsidP="004424B4">
            <w:pPr>
              <w:spacing w:line="360" w:lineRule="auto"/>
              <w:jc w:val="left"/>
              <w:rPr>
                <w:rFonts w:ascii="Times New Roman" w:hAnsi="Times New Roman" w:cs="Times New Roman"/>
                <w:i w:val="0"/>
                <w:iCs w:val="0"/>
                <w:sz w:val="18"/>
                <w:szCs w:val="18"/>
                <w:u w:val="single"/>
              </w:rPr>
            </w:pPr>
            <w:r w:rsidRPr="00F153F6">
              <w:rPr>
                <w:rFonts w:ascii="Times New Roman" w:hAnsi="Times New Roman" w:cs="Times New Roman"/>
                <w:i w:val="0"/>
                <w:iCs w:val="0"/>
                <w:sz w:val="18"/>
                <w:szCs w:val="18"/>
                <w:u w:val="single"/>
              </w:rPr>
              <w:t>Expertise Accumulating (Mi)</w:t>
            </w:r>
          </w:p>
          <w:p w14:paraId="10198438" w14:textId="77777777" w:rsidR="0015201A" w:rsidRPr="00F153F6" w:rsidRDefault="0015201A" w:rsidP="004424B4">
            <w:pPr>
              <w:spacing w:line="360" w:lineRule="auto"/>
              <w:jc w:val="left"/>
              <w:rPr>
                <w:rFonts w:ascii="Times New Roman" w:hAnsi="Times New Roman" w:cs="Times New Roman"/>
                <w:i w:val="0"/>
                <w:iCs w:val="0"/>
                <w:sz w:val="18"/>
                <w:szCs w:val="18"/>
                <w:u w:val="single"/>
              </w:rPr>
            </w:pPr>
          </w:p>
        </w:tc>
        <w:tc>
          <w:tcPr>
            <w:tcW w:w="1016" w:type="pct"/>
            <w:tcBorders>
              <w:top w:val="single" w:sz="4" w:space="0" w:color="auto"/>
              <w:bottom w:val="single" w:sz="4" w:space="0" w:color="auto"/>
            </w:tcBorders>
            <w:shd w:val="clear" w:color="auto" w:fill="auto"/>
          </w:tcPr>
          <w:p w14:paraId="3DF20F0B" w14:textId="77777777"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hAnsi="Times New Roman" w:cs="Times New Roman"/>
                <w:sz w:val="18"/>
                <w:szCs w:val="18"/>
                <w:u w:val="single"/>
              </w:rPr>
              <w:t>Knowing how to develop capabilities</w:t>
            </w:r>
          </w:p>
        </w:tc>
        <w:tc>
          <w:tcPr>
            <w:tcW w:w="1173" w:type="pct"/>
            <w:tcBorders>
              <w:top w:val="single" w:sz="4" w:space="0" w:color="auto"/>
              <w:bottom w:val="single" w:sz="4" w:space="0" w:color="auto"/>
            </w:tcBorders>
            <w:shd w:val="clear" w:color="auto" w:fill="auto"/>
          </w:tcPr>
          <w:p w14:paraId="1D1BA80F" w14:textId="562C655C"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Guiding</w:t>
            </w:r>
          </w:p>
          <w:p w14:paraId="45F5A003" w14:textId="703FAF13"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Training</w:t>
            </w:r>
          </w:p>
          <w:p w14:paraId="0AA71666" w14:textId="39759E1E"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Sharing</w:t>
            </w:r>
          </w:p>
          <w:p w14:paraId="3ED9FCCD" w14:textId="6ACB035B" w:rsidR="00C03E68"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Elaborating</w:t>
            </w:r>
          </w:p>
        </w:tc>
        <w:tc>
          <w:tcPr>
            <w:tcW w:w="971" w:type="pct"/>
            <w:tcBorders>
              <w:top w:val="single" w:sz="4" w:space="0" w:color="auto"/>
              <w:bottom w:val="single" w:sz="4" w:space="0" w:color="auto"/>
            </w:tcBorders>
            <w:shd w:val="clear" w:color="auto" w:fill="auto"/>
          </w:tcPr>
          <w:p w14:paraId="3E726D3C" w14:textId="01FA2B95"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Visualising</w:t>
            </w:r>
          </w:p>
          <w:p w14:paraId="03EA7EED" w14:textId="56BA0599"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Ubiquitous</w:t>
            </w:r>
          </w:p>
          <w:p w14:paraId="59B9EDA4" w14:textId="6052775D"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Learning Ahead</w:t>
            </w:r>
          </w:p>
          <w:p w14:paraId="0FEE8783" w14:textId="7F994864"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Customising</w:t>
            </w:r>
          </w:p>
        </w:tc>
        <w:tc>
          <w:tcPr>
            <w:tcW w:w="977" w:type="pct"/>
            <w:tcBorders>
              <w:top w:val="single" w:sz="4" w:space="0" w:color="auto"/>
              <w:bottom w:val="single" w:sz="4" w:space="0" w:color="auto"/>
            </w:tcBorders>
            <w:shd w:val="clear" w:color="auto" w:fill="auto"/>
          </w:tcPr>
          <w:p w14:paraId="181CF551" w14:textId="7566B0CB"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Immediate Transforming</w:t>
            </w:r>
          </w:p>
          <w:p w14:paraId="3D011151" w14:textId="0B5F4122"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In-person Demonstrating</w:t>
            </w:r>
          </w:p>
          <w:p w14:paraId="04A9A092" w14:textId="5B69F816"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Communication Continuity</w:t>
            </w:r>
          </w:p>
        </w:tc>
      </w:tr>
      <w:tr w:rsidR="005549E4" w:rsidRPr="00F153F6" w14:paraId="65709323" w14:textId="77777777" w:rsidTr="00116210">
        <w:trPr>
          <w:cnfStyle w:val="000000100000" w:firstRow="0" w:lastRow="0" w:firstColumn="0" w:lastColumn="0" w:oddVBand="0" w:evenVBand="0" w:oddHBand="1" w:evenHBand="0" w:firstRowFirstColumn="0" w:firstRowLastColumn="0" w:lastRowFirstColumn="0" w:lastRowLastColumn="0"/>
          <w:trHeight w:val="1724"/>
        </w:trPr>
        <w:tc>
          <w:tcPr>
            <w:cnfStyle w:val="001000000000" w:firstRow="0" w:lastRow="0" w:firstColumn="1" w:lastColumn="0" w:oddVBand="0" w:evenVBand="0" w:oddHBand="0" w:evenHBand="0" w:firstRowFirstColumn="0" w:firstRowLastColumn="0" w:lastRowFirstColumn="0" w:lastRowLastColumn="0"/>
            <w:tcW w:w="863" w:type="pct"/>
            <w:tcBorders>
              <w:top w:val="single" w:sz="4" w:space="0" w:color="auto"/>
              <w:bottom w:val="single" w:sz="4" w:space="0" w:color="auto"/>
            </w:tcBorders>
            <w:shd w:val="clear" w:color="auto" w:fill="auto"/>
          </w:tcPr>
          <w:p w14:paraId="5F4CE2B9" w14:textId="77777777" w:rsidR="0015201A" w:rsidRPr="00F153F6" w:rsidRDefault="0015201A" w:rsidP="004424B4">
            <w:pPr>
              <w:spacing w:line="360" w:lineRule="auto"/>
              <w:jc w:val="left"/>
              <w:rPr>
                <w:rFonts w:ascii="Times New Roman" w:hAnsi="Times New Roman" w:cs="Times New Roman"/>
                <w:i w:val="0"/>
                <w:iCs w:val="0"/>
                <w:sz w:val="18"/>
                <w:szCs w:val="18"/>
                <w:u w:val="single"/>
              </w:rPr>
            </w:pPr>
            <w:r w:rsidRPr="00F153F6">
              <w:rPr>
                <w:rFonts w:ascii="Times New Roman" w:hAnsi="Times New Roman" w:cs="Times New Roman"/>
                <w:i w:val="0"/>
                <w:iCs w:val="0"/>
                <w:sz w:val="18"/>
                <w:szCs w:val="18"/>
                <w:u w:val="single"/>
              </w:rPr>
              <w:lastRenderedPageBreak/>
              <w:t>Collaborative Problem Solving (Mi.)</w:t>
            </w:r>
          </w:p>
          <w:p w14:paraId="23A2C5ED" w14:textId="77777777" w:rsidR="0015201A" w:rsidRPr="00F153F6" w:rsidRDefault="0015201A" w:rsidP="004424B4">
            <w:pPr>
              <w:spacing w:line="360" w:lineRule="auto"/>
              <w:jc w:val="left"/>
              <w:rPr>
                <w:rFonts w:ascii="Times New Roman" w:hAnsi="Times New Roman" w:cs="Times New Roman"/>
                <w:i w:val="0"/>
                <w:iCs w:val="0"/>
                <w:sz w:val="18"/>
                <w:szCs w:val="18"/>
                <w:u w:val="single"/>
              </w:rPr>
            </w:pPr>
          </w:p>
        </w:tc>
        <w:tc>
          <w:tcPr>
            <w:tcW w:w="1016" w:type="pct"/>
            <w:tcBorders>
              <w:top w:val="single" w:sz="4" w:space="0" w:color="auto"/>
              <w:bottom w:val="single" w:sz="4" w:space="0" w:color="auto"/>
            </w:tcBorders>
            <w:shd w:val="clear" w:color="auto" w:fill="auto"/>
          </w:tcPr>
          <w:p w14:paraId="368FCC19" w14:textId="77777777"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Knowing how to innovate</w:t>
            </w:r>
          </w:p>
        </w:tc>
        <w:tc>
          <w:tcPr>
            <w:tcW w:w="1173" w:type="pct"/>
            <w:tcBorders>
              <w:top w:val="single" w:sz="4" w:space="0" w:color="auto"/>
              <w:bottom w:val="single" w:sz="4" w:space="0" w:color="auto"/>
            </w:tcBorders>
            <w:shd w:val="clear" w:color="auto" w:fill="auto"/>
          </w:tcPr>
          <w:p w14:paraId="17680028" w14:textId="35546B6F"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Co-designing</w:t>
            </w:r>
          </w:p>
          <w:p w14:paraId="60D1BE0D" w14:textId="3D3BAC79"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Collaborative Writing</w:t>
            </w:r>
          </w:p>
          <w:p w14:paraId="440355DC" w14:textId="476E58CC"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Group Discussing</w:t>
            </w:r>
          </w:p>
        </w:tc>
        <w:tc>
          <w:tcPr>
            <w:tcW w:w="971" w:type="pct"/>
            <w:tcBorders>
              <w:top w:val="single" w:sz="4" w:space="0" w:color="auto"/>
              <w:bottom w:val="single" w:sz="4" w:space="0" w:color="auto"/>
            </w:tcBorders>
            <w:shd w:val="clear" w:color="auto" w:fill="auto"/>
          </w:tcPr>
          <w:p w14:paraId="10DD2160" w14:textId="02AA5420"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Sticking</w:t>
            </w:r>
          </w:p>
          <w:p w14:paraId="17B56F6C" w14:textId="7EA09FFE"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Instant Workaround</w:t>
            </w:r>
          </w:p>
          <w:p w14:paraId="26803783" w14:textId="77777777"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Cross-Referencing</w:t>
            </w:r>
          </w:p>
        </w:tc>
        <w:tc>
          <w:tcPr>
            <w:tcW w:w="977" w:type="pct"/>
            <w:tcBorders>
              <w:top w:val="single" w:sz="4" w:space="0" w:color="auto"/>
              <w:bottom w:val="single" w:sz="4" w:space="0" w:color="auto"/>
            </w:tcBorders>
            <w:shd w:val="clear" w:color="auto" w:fill="auto"/>
          </w:tcPr>
          <w:p w14:paraId="1FDE55B0" w14:textId="77777777"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Humour Ability</w:t>
            </w:r>
          </w:p>
          <w:p w14:paraId="2F8A0426" w14:textId="77777777"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u w:val="single"/>
              </w:rPr>
            </w:pPr>
          </w:p>
          <w:p w14:paraId="5CCDFD05" w14:textId="77777777"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u w:val="single"/>
              </w:rPr>
            </w:pPr>
          </w:p>
        </w:tc>
      </w:tr>
      <w:tr w:rsidR="005549E4" w:rsidRPr="00F153F6" w14:paraId="17A88F0E" w14:textId="77777777" w:rsidTr="00116210">
        <w:trPr>
          <w:trHeight w:val="585"/>
        </w:trPr>
        <w:tc>
          <w:tcPr>
            <w:cnfStyle w:val="001000000000" w:firstRow="0" w:lastRow="0" w:firstColumn="1" w:lastColumn="0" w:oddVBand="0" w:evenVBand="0" w:oddHBand="0" w:evenHBand="0" w:firstRowFirstColumn="0" w:firstRowLastColumn="0" w:lastRowFirstColumn="0" w:lastRowLastColumn="0"/>
            <w:tcW w:w="863" w:type="pct"/>
            <w:tcBorders>
              <w:top w:val="single" w:sz="4" w:space="0" w:color="auto"/>
              <w:bottom w:val="single" w:sz="4" w:space="0" w:color="auto"/>
            </w:tcBorders>
            <w:shd w:val="clear" w:color="auto" w:fill="auto"/>
          </w:tcPr>
          <w:p w14:paraId="137C2ABB" w14:textId="6F515C4E" w:rsidR="0015201A" w:rsidRPr="00F153F6" w:rsidRDefault="0015201A" w:rsidP="004424B4">
            <w:pPr>
              <w:spacing w:line="360" w:lineRule="auto"/>
              <w:jc w:val="left"/>
              <w:rPr>
                <w:rFonts w:ascii="Times New Roman" w:hAnsi="Times New Roman" w:cs="Times New Roman"/>
                <w:i w:val="0"/>
                <w:iCs w:val="0"/>
                <w:sz w:val="18"/>
                <w:szCs w:val="18"/>
                <w:u w:val="single"/>
              </w:rPr>
            </w:pPr>
            <w:r w:rsidRPr="00F153F6">
              <w:rPr>
                <w:rFonts w:ascii="Times New Roman" w:hAnsi="Times New Roman" w:cs="Times New Roman"/>
                <w:i w:val="0"/>
                <w:iCs w:val="0"/>
                <w:sz w:val="18"/>
                <w:szCs w:val="18"/>
                <w:u w:val="single"/>
              </w:rPr>
              <w:t>Insights Spreading (Co.)</w:t>
            </w:r>
          </w:p>
        </w:tc>
        <w:tc>
          <w:tcPr>
            <w:tcW w:w="1016" w:type="pct"/>
            <w:tcBorders>
              <w:top w:val="single" w:sz="4" w:space="0" w:color="auto"/>
              <w:bottom w:val="single" w:sz="4" w:space="0" w:color="auto"/>
            </w:tcBorders>
            <w:shd w:val="clear" w:color="auto" w:fill="auto"/>
          </w:tcPr>
          <w:p w14:paraId="1D7FF57E" w14:textId="0B4A9CE5"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hAnsi="Times New Roman" w:cs="Times New Roman"/>
                <w:sz w:val="18"/>
                <w:szCs w:val="18"/>
                <w:u w:val="single"/>
              </w:rPr>
              <w:t xml:space="preserve">Knowing how to </w:t>
            </w:r>
            <w:r w:rsidR="0068434D" w:rsidRPr="00F153F6">
              <w:rPr>
                <w:rFonts w:ascii="Times New Roman" w:hAnsi="Times New Roman" w:cs="Times New Roman"/>
                <w:sz w:val="18"/>
                <w:szCs w:val="18"/>
                <w:u w:val="single"/>
              </w:rPr>
              <w:t>disseminate impact</w:t>
            </w:r>
          </w:p>
        </w:tc>
        <w:tc>
          <w:tcPr>
            <w:tcW w:w="1173" w:type="pct"/>
            <w:tcBorders>
              <w:top w:val="single" w:sz="4" w:space="0" w:color="auto"/>
              <w:bottom w:val="single" w:sz="4" w:space="0" w:color="auto"/>
            </w:tcBorders>
            <w:shd w:val="clear" w:color="auto" w:fill="auto"/>
          </w:tcPr>
          <w:p w14:paraId="1489C9F5" w14:textId="12D80282"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Publishing</w:t>
            </w:r>
          </w:p>
          <w:p w14:paraId="21F55846" w14:textId="7C423429"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Circulating</w:t>
            </w:r>
          </w:p>
          <w:p w14:paraId="1FAED719" w14:textId="34C53CD2"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hAnsi="Times New Roman" w:cs="Times New Roman"/>
                <w:sz w:val="18"/>
                <w:szCs w:val="18"/>
                <w:u w:val="single"/>
              </w:rPr>
              <w:t>Sharing</w:t>
            </w:r>
          </w:p>
        </w:tc>
        <w:tc>
          <w:tcPr>
            <w:tcW w:w="971" w:type="pct"/>
            <w:tcBorders>
              <w:top w:val="single" w:sz="4" w:space="0" w:color="auto"/>
              <w:bottom w:val="single" w:sz="4" w:space="0" w:color="auto"/>
            </w:tcBorders>
            <w:shd w:val="clear" w:color="auto" w:fill="auto"/>
          </w:tcPr>
          <w:p w14:paraId="3F515563" w14:textId="03E4E137"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Visualising</w:t>
            </w:r>
          </w:p>
          <w:p w14:paraId="2E459C6B" w14:textId="77777777"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Flexibility</w:t>
            </w:r>
          </w:p>
          <w:p w14:paraId="3F8E8C76" w14:textId="77777777"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p>
        </w:tc>
        <w:tc>
          <w:tcPr>
            <w:tcW w:w="977" w:type="pct"/>
            <w:tcBorders>
              <w:top w:val="single" w:sz="4" w:space="0" w:color="auto"/>
              <w:bottom w:val="single" w:sz="4" w:space="0" w:color="auto"/>
            </w:tcBorders>
            <w:shd w:val="clear" w:color="auto" w:fill="auto"/>
          </w:tcPr>
          <w:p w14:paraId="5AAF71AB" w14:textId="77777777"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p>
        </w:tc>
      </w:tr>
      <w:tr w:rsidR="005549E4" w:rsidRPr="00F153F6" w14:paraId="637C2BF7" w14:textId="77777777" w:rsidTr="00116210">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863" w:type="pct"/>
            <w:tcBorders>
              <w:top w:val="single" w:sz="4" w:space="0" w:color="auto"/>
              <w:bottom w:val="single" w:sz="4" w:space="0" w:color="auto"/>
            </w:tcBorders>
            <w:shd w:val="clear" w:color="auto" w:fill="auto"/>
          </w:tcPr>
          <w:p w14:paraId="3884CF13" w14:textId="77777777" w:rsidR="0015201A" w:rsidRPr="00F153F6" w:rsidRDefault="0015201A" w:rsidP="004424B4">
            <w:pPr>
              <w:spacing w:line="360" w:lineRule="auto"/>
              <w:jc w:val="left"/>
              <w:rPr>
                <w:rFonts w:ascii="Times New Roman" w:hAnsi="Times New Roman" w:cs="Times New Roman"/>
                <w:i w:val="0"/>
                <w:iCs w:val="0"/>
                <w:sz w:val="18"/>
                <w:szCs w:val="18"/>
                <w:u w:val="single"/>
              </w:rPr>
            </w:pPr>
            <w:r w:rsidRPr="00F153F6">
              <w:rPr>
                <w:rFonts w:ascii="Times New Roman" w:hAnsi="Times New Roman" w:cs="Times New Roman"/>
                <w:i w:val="0"/>
                <w:iCs w:val="0"/>
                <w:sz w:val="18"/>
                <w:szCs w:val="18"/>
                <w:u w:val="single"/>
              </w:rPr>
              <w:t>Co-constructing (Co.)</w:t>
            </w:r>
          </w:p>
          <w:p w14:paraId="5A08CE36" w14:textId="77777777" w:rsidR="0015201A" w:rsidRPr="00F153F6" w:rsidRDefault="0015201A" w:rsidP="004424B4">
            <w:pPr>
              <w:spacing w:line="360" w:lineRule="auto"/>
              <w:jc w:val="left"/>
              <w:rPr>
                <w:rFonts w:ascii="Times New Roman" w:hAnsi="Times New Roman" w:cs="Times New Roman"/>
                <w:i w:val="0"/>
                <w:iCs w:val="0"/>
                <w:sz w:val="18"/>
                <w:szCs w:val="18"/>
                <w:u w:val="single"/>
              </w:rPr>
            </w:pPr>
          </w:p>
        </w:tc>
        <w:tc>
          <w:tcPr>
            <w:tcW w:w="1016" w:type="pct"/>
            <w:tcBorders>
              <w:top w:val="single" w:sz="4" w:space="0" w:color="auto"/>
              <w:bottom w:val="single" w:sz="4" w:space="0" w:color="auto"/>
            </w:tcBorders>
            <w:shd w:val="clear" w:color="auto" w:fill="auto"/>
          </w:tcPr>
          <w:p w14:paraId="1EDBE44E" w14:textId="77777777"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hAnsi="Times New Roman" w:cs="Times New Roman"/>
                <w:sz w:val="18"/>
                <w:szCs w:val="18"/>
                <w:u w:val="single"/>
              </w:rPr>
              <w:t>Knowing how to integrate efforts</w:t>
            </w:r>
          </w:p>
        </w:tc>
        <w:tc>
          <w:tcPr>
            <w:tcW w:w="1173" w:type="pct"/>
            <w:tcBorders>
              <w:top w:val="single" w:sz="4" w:space="0" w:color="auto"/>
              <w:bottom w:val="single" w:sz="4" w:space="0" w:color="auto"/>
            </w:tcBorders>
            <w:shd w:val="clear" w:color="auto" w:fill="auto"/>
          </w:tcPr>
          <w:p w14:paraId="43D5C8A4" w14:textId="456CDC0A"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Consolidating</w:t>
            </w:r>
          </w:p>
          <w:p w14:paraId="7B7F2719" w14:textId="77777777"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 xml:space="preserve">Collective </w:t>
            </w:r>
          </w:p>
          <w:p w14:paraId="5A2AFB3B" w14:textId="030E85A8"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hAnsi="Times New Roman" w:cs="Times New Roman"/>
                <w:sz w:val="18"/>
                <w:szCs w:val="18"/>
                <w:u w:val="single"/>
              </w:rPr>
              <w:t>Reflecting</w:t>
            </w:r>
          </w:p>
        </w:tc>
        <w:tc>
          <w:tcPr>
            <w:tcW w:w="971" w:type="pct"/>
            <w:tcBorders>
              <w:top w:val="single" w:sz="4" w:space="0" w:color="auto"/>
              <w:bottom w:val="single" w:sz="4" w:space="0" w:color="auto"/>
            </w:tcBorders>
            <w:shd w:val="clear" w:color="auto" w:fill="auto"/>
          </w:tcPr>
          <w:p w14:paraId="786636EA" w14:textId="259E4FEC"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Reviewing</w:t>
            </w:r>
          </w:p>
          <w:p w14:paraId="0455AB65" w14:textId="77777777"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hAnsi="Times New Roman" w:cs="Times New Roman"/>
                <w:sz w:val="18"/>
                <w:szCs w:val="18"/>
                <w:u w:val="single"/>
              </w:rPr>
              <w:t>Instant Workaround</w:t>
            </w:r>
          </w:p>
        </w:tc>
        <w:tc>
          <w:tcPr>
            <w:tcW w:w="977" w:type="pct"/>
            <w:tcBorders>
              <w:top w:val="single" w:sz="4" w:space="0" w:color="auto"/>
              <w:bottom w:val="single" w:sz="4" w:space="0" w:color="auto"/>
            </w:tcBorders>
            <w:shd w:val="clear" w:color="auto" w:fill="auto"/>
          </w:tcPr>
          <w:p w14:paraId="4EB8E3D9" w14:textId="1AAE23C0"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u w:val="single"/>
              </w:rPr>
            </w:pPr>
            <w:r w:rsidRPr="00F153F6">
              <w:rPr>
                <w:rFonts w:ascii="Times New Roman" w:hAnsi="Times New Roman" w:cs="Times New Roman"/>
                <w:sz w:val="18"/>
                <w:szCs w:val="18"/>
                <w:u w:val="single"/>
              </w:rPr>
              <w:t>Integrating</w:t>
            </w:r>
          </w:p>
          <w:p w14:paraId="2609DD51" w14:textId="77777777" w:rsidR="0015201A" w:rsidRPr="00F153F6" w:rsidRDefault="0015201A" w:rsidP="004424B4">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u w:val="single"/>
              </w:rPr>
            </w:pPr>
          </w:p>
        </w:tc>
      </w:tr>
      <w:tr w:rsidR="005549E4" w:rsidRPr="00F153F6" w14:paraId="5636C7CB" w14:textId="77777777" w:rsidTr="00116210">
        <w:trPr>
          <w:trHeight w:val="1683"/>
        </w:trPr>
        <w:tc>
          <w:tcPr>
            <w:cnfStyle w:val="001000000000" w:firstRow="0" w:lastRow="0" w:firstColumn="1" w:lastColumn="0" w:oddVBand="0" w:evenVBand="0" w:oddHBand="0" w:evenHBand="0" w:firstRowFirstColumn="0" w:firstRowLastColumn="0" w:lastRowFirstColumn="0" w:lastRowLastColumn="0"/>
            <w:tcW w:w="863" w:type="pct"/>
            <w:tcBorders>
              <w:top w:val="single" w:sz="4" w:space="0" w:color="auto"/>
              <w:bottom w:val="single" w:sz="18" w:space="0" w:color="auto"/>
            </w:tcBorders>
            <w:shd w:val="clear" w:color="auto" w:fill="auto"/>
          </w:tcPr>
          <w:p w14:paraId="2DAF7DC5" w14:textId="77777777" w:rsidR="0015201A" w:rsidRPr="00F153F6" w:rsidRDefault="0015201A" w:rsidP="004424B4">
            <w:pPr>
              <w:spacing w:line="360" w:lineRule="auto"/>
              <w:jc w:val="left"/>
              <w:rPr>
                <w:rFonts w:ascii="Times New Roman" w:hAnsi="Times New Roman" w:cs="Times New Roman"/>
                <w:i w:val="0"/>
                <w:iCs w:val="0"/>
                <w:sz w:val="18"/>
                <w:szCs w:val="18"/>
              </w:rPr>
            </w:pPr>
            <w:r w:rsidRPr="00F153F6">
              <w:rPr>
                <w:rFonts w:ascii="Times New Roman" w:hAnsi="Times New Roman" w:cs="Times New Roman"/>
                <w:i w:val="0"/>
                <w:iCs w:val="0"/>
                <w:sz w:val="18"/>
                <w:szCs w:val="18"/>
              </w:rPr>
              <w:t>Co-ordinating</w:t>
            </w:r>
          </w:p>
        </w:tc>
        <w:tc>
          <w:tcPr>
            <w:tcW w:w="1016" w:type="pct"/>
            <w:tcBorders>
              <w:top w:val="single" w:sz="4" w:space="0" w:color="auto"/>
              <w:bottom w:val="single" w:sz="18" w:space="0" w:color="auto"/>
            </w:tcBorders>
            <w:shd w:val="clear" w:color="auto" w:fill="auto"/>
          </w:tcPr>
          <w:p w14:paraId="4078BCA4" w14:textId="77777777"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rPr>
            </w:pPr>
            <w:r w:rsidRPr="00F153F6">
              <w:rPr>
                <w:rFonts w:ascii="Times New Roman" w:eastAsiaTheme="minorEastAsia" w:hAnsi="Times New Roman" w:cs="Times New Roman"/>
                <w:sz w:val="18"/>
                <w:szCs w:val="18"/>
              </w:rPr>
              <w:t>Knowing how to direct performance</w:t>
            </w:r>
          </w:p>
        </w:tc>
        <w:tc>
          <w:tcPr>
            <w:tcW w:w="1173" w:type="pct"/>
            <w:tcBorders>
              <w:top w:val="single" w:sz="4" w:space="0" w:color="auto"/>
              <w:bottom w:val="single" w:sz="18" w:space="0" w:color="auto"/>
            </w:tcBorders>
            <w:shd w:val="clear" w:color="auto" w:fill="auto"/>
          </w:tcPr>
          <w:p w14:paraId="0D07BDB3" w14:textId="4DD52734"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rPr>
            </w:pPr>
            <w:r w:rsidRPr="00F153F6">
              <w:rPr>
                <w:rFonts w:ascii="Times New Roman" w:eastAsiaTheme="minorEastAsia" w:hAnsi="Times New Roman" w:cs="Times New Roman"/>
                <w:sz w:val="18"/>
                <w:szCs w:val="18"/>
              </w:rPr>
              <w:t>Controlling</w:t>
            </w:r>
          </w:p>
          <w:p w14:paraId="4BEDAEAC" w14:textId="054DD940"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Staffing (In., Mi.)</w:t>
            </w:r>
          </w:p>
          <w:p w14:paraId="1CC701E5" w14:textId="16941A2F"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Nudging (In.)</w:t>
            </w:r>
          </w:p>
          <w:p w14:paraId="3CE5FFB8" w14:textId="4ABD3DD0"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Adapting (Mi.)</w:t>
            </w:r>
          </w:p>
          <w:p w14:paraId="570FC5BF" w14:textId="58F92C01"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Monitoring (Mi., Co.)</w:t>
            </w:r>
          </w:p>
          <w:p w14:paraId="1322129F" w14:textId="77777777"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rPr>
            </w:pPr>
            <w:r w:rsidRPr="00F153F6">
              <w:rPr>
                <w:rFonts w:ascii="Times New Roman" w:eastAsiaTheme="minorEastAsia" w:hAnsi="Times New Roman" w:cs="Times New Roman"/>
                <w:sz w:val="18"/>
                <w:szCs w:val="18"/>
                <w:u w:val="single"/>
              </w:rPr>
              <w:t>Sustaining (Co.)</w:t>
            </w:r>
          </w:p>
        </w:tc>
        <w:tc>
          <w:tcPr>
            <w:tcW w:w="971" w:type="pct"/>
            <w:tcBorders>
              <w:top w:val="single" w:sz="4" w:space="0" w:color="auto"/>
              <w:bottom w:val="single" w:sz="18" w:space="0" w:color="auto"/>
            </w:tcBorders>
            <w:shd w:val="clear" w:color="auto" w:fill="auto"/>
          </w:tcPr>
          <w:p w14:paraId="7F2FBA2A" w14:textId="59B3B5FB"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Confirming (In.)</w:t>
            </w:r>
          </w:p>
          <w:p w14:paraId="2BDA3761" w14:textId="68A6951F"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Collective Evaluating (In.)</w:t>
            </w:r>
          </w:p>
          <w:p w14:paraId="13AB3936" w14:textId="6A19FB3A"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lang w:val="it-IT"/>
              </w:rPr>
            </w:pPr>
            <w:r w:rsidRPr="00F153F6">
              <w:rPr>
                <w:rFonts w:ascii="Times New Roman" w:eastAsiaTheme="minorEastAsia" w:hAnsi="Times New Roman" w:cs="Times New Roman"/>
                <w:sz w:val="18"/>
                <w:szCs w:val="18"/>
                <w:u w:val="single"/>
                <w:lang w:val="it-IT"/>
              </w:rPr>
              <w:t>Documenting (Mi.)</w:t>
            </w:r>
          </w:p>
          <w:p w14:paraId="6BE58C20" w14:textId="01C7CA3F"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lang w:val="it-IT"/>
              </w:rPr>
            </w:pPr>
            <w:r w:rsidRPr="00F153F6">
              <w:rPr>
                <w:rFonts w:ascii="Times New Roman" w:eastAsiaTheme="minorEastAsia" w:hAnsi="Times New Roman" w:cs="Times New Roman"/>
                <w:sz w:val="18"/>
                <w:szCs w:val="18"/>
                <w:u w:val="single"/>
                <w:lang w:val="it-IT"/>
              </w:rPr>
              <w:t>Assigning (Mi.)</w:t>
            </w:r>
          </w:p>
          <w:p w14:paraId="3781CB98" w14:textId="5E59485B"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lang w:val="it-IT"/>
              </w:rPr>
            </w:pPr>
            <w:r w:rsidRPr="00F153F6">
              <w:rPr>
                <w:rFonts w:ascii="Times New Roman" w:eastAsiaTheme="minorEastAsia" w:hAnsi="Times New Roman" w:cs="Times New Roman"/>
                <w:sz w:val="18"/>
                <w:szCs w:val="18"/>
                <w:u w:val="single"/>
                <w:lang w:val="it-IT"/>
              </w:rPr>
              <w:t>Tracing (Mi.)</w:t>
            </w:r>
          </w:p>
          <w:p w14:paraId="19D9BD39" w14:textId="2D92ABB3"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Tracking (Co.)</w:t>
            </w:r>
          </w:p>
        </w:tc>
        <w:tc>
          <w:tcPr>
            <w:tcW w:w="977" w:type="pct"/>
            <w:tcBorders>
              <w:top w:val="single" w:sz="4" w:space="0" w:color="auto"/>
              <w:bottom w:val="single" w:sz="18" w:space="0" w:color="auto"/>
            </w:tcBorders>
            <w:shd w:val="clear" w:color="auto" w:fill="auto"/>
          </w:tcPr>
          <w:p w14:paraId="2C0CFEC0" w14:textId="2239B3A9"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Instant Responsiveness (In.)</w:t>
            </w:r>
          </w:p>
          <w:p w14:paraId="0995E31F" w14:textId="77777777" w:rsidR="0015201A" w:rsidRPr="00F153F6" w:rsidRDefault="0015201A" w:rsidP="004424B4">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u w:val="single"/>
              </w:rPr>
            </w:pPr>
            <w:r w:rsidRPr="00F153F6">
              <w:rPr>
                <w:rFonts w:ascii="Times New Roman" w:eastAsiaTheme="minorEastAsia" w:hAnsi="Times New Roman" w:cs="Times New Roman"/>
                <w:sz w:val="18"/>
                <w:szCs w:val="18"/>
                <w:u w:val="single"/>
              </w:rPr>
              <w:t>Localising (Co.)</w:t>
            </w:r>
          </w:p>
        </w:tc>
      </w:tr>
      <w:tr w:rsidR="005549E4" w:rsidRPr="00F153F6" w14:paraId="23C75EE6" w14:textId="77777777" w:rsidTr="00116210">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auto"/>
              <w:bottom w:val="single" w:sz="18" w:space="0" w:color="auto"/>
              <w:right w:val="none" w:sz="0" w:space="0" w:color="auto"/>
            </w:tcBorders>
            <w:shd w:val="clear" w:color="auto" w:fill="auto"/>
          </w:tcPr>
          <w:p w14:paraId="602FC5E2" w14:textId="6568429F" w:rsidR="0015201A" w:rsidRPr="00F153F6" w:rsidRDefault="0015201A" w:rsidP="00116210">
            <w:pPr>
              <w:spacing w:line="360" w:lineRule="auto"/>
              <w:jc w:val="left"/>
              <w:rPr>
                <w:rFonts w:ascii="Times New Roman" w:hAnsi="Times New Roman" w:cs="Times New Roman"/>
                <w:i w:val="0"/>
                <w:iCs w:val="0"/>
                <w:sz w:val="20"/>
                <w:szCs w:val="20"/>
              </w:rPr>
            </w:pPr>
            <w:r w:rsidRPr="00F153F6">
              <w:rPr>
                <w:rFonts w:ascii="Times New Roman" w:hAnsi="Times New Roman" w:cs="Times New Roman"/>
                <w:sz w:val="20"/>
                <w:szCs w:val="20"/>
              </w:rPr>
              <w:t xml:space="preserve">*Underlined concepts </w:t>
            </w:r>
            <w:r w:rsidR="00116210" w:rsidRPr="00F153F6">
              <w:rPr>
                <w:rFonts w:ascii="Times New Roman" w:hAnsi="Times New Roman" w:cs="Times New Roman"/>
                <w:sz w:val="20"/>
                <w:szCs w:val="20"/>
              </w:rPr>
              <w:t>-</w:t>
            </w:r>
            <w:r w:rsidRPr="00F153F6">
              <w:rPr>
                <w:rFonts w:ascii="Times New Roman" w:hAnsi="Times New Roman" w:cs="Times New Roman"/>
                <w:sz w:val="20"/>
                <w:szCs w:val="20"/>
              </w:rPr>
              <w:t xml:space="preserve"> ones that vary across different stages. In. </w:t>
            </w:r>
            <w:r w:rsidR="00116210" w:rsidRPr="00F153F6">
              <w:rPr>
                <w:rFonts w:ascii="Times New Roman" w:hAnsi="Times New Roman" w:cs="Times New Roman"/>
                <w:sz w:val="20"/>
                <w:szCs w:val="20"/>
              </w:rPr>
              <w:t xml:space="preserve">- </w:t>
            </w:r>
            <w:r w:rsidRPr="00F153F6">
              <w:rPr>
                <w:rFonts w:ascii="Times New Roman" w:hAnsi="Times New Roman" w:cs="Times New Roman"/>
                <w:sz w:val="20"/>
                <w:szCs w:val="20"/>
              </w:rPr>
              <w:t xml:space="preserve">concepts that only occur in the inception stage. Mi. </w:t>
            </w:r>
            <w:r w:rsidR="00116210" w:rsidRPr="00F153F6">
              <w:rPr>
                <w:rFonts w:ascii="Times New Roman" w:hAnsi="Times New Roman" w:cs="Times New Roman"/>
                <w:sz w:val="20"/>
                <w:szCs w:val="20"/>
              </w:rPr>
              <w:t>-</w:t>
            </w:r>
            <w:r w:rsidRPr="00F153F6">
              <w:rPr>
                <w:rFonts w:ascii="Times New Roman" w:hAnsi="Times New Roman" w:cs="Times New Roman"/>
                <w:sz w:val="20"/>
                <w:szCs w:val="20"/>
              </w:rPr>
              <w:t xml:space="preserve"> concepts that only occur in the middle stage.</w:t>
            </w:r>
            <w:r w:rsidR="00116210" w:rsidRPr="00F153F6">
              <w:rPr>
                <w:rFonts w:ascii="Times New Roman" w:hAnsi="Times New Roman" w:cs="Times New Roman"/>
                <w:sz w:val="20"/>
                <w:szCs w:val="20"/>
              </w:rPr>
              <w:t xml:space="preserve">      </w:t>
            </w:r>
            <w:r w:rsidRPr="00F153F6">
              <w:rPr>
                <w:rFonts w:ascii="Times New Roman" w:hAnsi="Times New Roman" w:cs="Times New Roman"/>
                <w:sz w:val="20"/>
                <w:szCs w:val="20"/>
              </w:rPr>
              <w:t xml:space="preserve">Co. </w:t>
            </w:r>
            <w:r w:rsidR="00116210" w:rsidRPr="00F153F6">
              <w:rPr>
                <w:rFonts w:ascii="Times New Roman" w:hAnsi="Times New Roman" w:cs="Times New Roman"/>
                <w:sz w:val="20"/>
                <w:szCs w:val="20"/>
              </w:rPr>
              <w:t xml:space="preserve">- </w:t>
            </w:r>
            <w:r w:rsidRPr="00F153F6">
              <w:rPr>
                <w:rFonts w:ascii="Times New Roman" w:hAnsi="Times New Roman" w:cs="Times New Roman"/>
                <w:sz w:val="20"/>
                <w:szCs w:val="20"/>
              </w:rPr>
              <w:t xml:space="preserve"> concepts that only occur in the completed stage.</w:t>
            </w:r>
          </w:p>
        </w:tc>
      </w:tr>
    </w:tbl>
    <w:p w14:paraId="54B246C1" w14:textId="77777777" w:rsidR="00C03E68" w:rsidRPr="00F153F6" w:rsidRDefault="00C03E68" w:rsidP="004424B4">
      <w:pPr>
        <w:spacing w:line="360" w:lineRule="auto"/>
        <w:jc w:val="both"/>
        <w:rPr>
          <w:rFonts w:ascii="Times New Roman" w:hAnsi="Times New Roman" w:cs="Times New Roman"/>
        </w:rPr>
        <w:sectPr w:rsidR="00C03E68" w:rsidRPr="00F153F6" w:rsidSect="00C03E68">
          <w:pgSz w:w="16838" w:h="11906" w:orient="landscape"/>
          <w:pgMar w:top="1440" w:right="1440" w:bottom="1440" w:left="1440" w:header="708" w:footer="708" w:gutter="0"/>
          <w:cols w:space="708"/>
          <w:titlePg/>
          <w:docGrid w:linePitch="360"/>
        </w:sectPr>
      </w:pPr>
    </w:p>
    <w:p w14:paraId="6B08BBB7" w14:textId="77777777" w:rsidR="0015201A" w:rsidRPr="00F153F6" w:rsidRDefault="0015201A" w:rsidP="004424B4">
      <w:pPr>
        <w:pStyle w:val="Heading2"/>
        <w:spacing w:line="360" w:lineRule="auto"/>
        <w:rPr>
          <w:rFonts w:ascii="Times New Roman" w:hAnsi="Times New Roman" w:cs="Times New Roman"/>
          <w:sz w:val="32"/>
          <w:szCs w:val="32"/>
        </w:rPr>
      </w:pPr>
      <w:bookmarkStart w:id="351" w:name="_Toc118371131"/>
      <w:bookmarkStart w:id="352" w:name="_Toc133252157"/>
      <w:r w:rsidRPr="00F153F6">
        <w:rPr>
          <w:rFonts w:ascii="Times New Roman" w:hAnsi="Times New Roman" w:cs="Times New Roman"/>
          <w:sz w:val="32"/>
          <w:szCs w:val="32"/>
        </w:rPr>
        <w:lastRenderedPageBreak/>
        <w:t>4.2. Inception Stage Finding</w:t>
      </w:r>
      <w:bookmarkEnd w:id="351"/>
      <w:bookmarkEnd w:id="352"/>
    </w:p>
    <w:p w14:paraId="784C3D7B" w14:textId="0E8462A0" w:rsidR="00845905" w:rsidRPr="00F153F6" w:rsidRDefault="0015201A" w:rsidP="0058396B">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This section presents a detailed discussion regarding the concepts that emerged in relation to the ICT-based inter-organisational knowledge exchange process for the project inception stage. Figure 4.1 presents a framework of ICT-based IOKE practice during the inception stage of Living Lab projects. Quotations are provided in the structure of: content of quotation; ID of project stage (A indicates the inception stage); ID of project number; ID of interviewee; and No. of paragraph in the specific interview transcript. For example, </w:t>
      </w:r>
      <w:r w:rsidRPr="00F153F6">
        <w:rPr>
          <w:rFonts w:ascii="Times New Roman" w:hAnsi="Times New Roman" w:cs="Times New Roman"/>
          <w:i/>
          <w:iCs/>
          <w:sz w:val="24"/>
          <w:szCs w:val="24"/>
        </w:rPr>
        <w:t>“(Project A1, Participant 3, Para. 90)”</w:t>
      </w:r>
      <w:r w:rsidRPr="00F153F6">
        <w:rPr>
          <w:rFonts w:ascii="Times New Roman" w:hAnsi="Times New Roman" w:cs="Times New Roman"/>
          <w:sz w:val="24"/>
          <w:szCs w:val="24"/>
        </w:rPr>
        <w:t xml:space="preserve"> indicates the inception stage project, project No.1, interview participant No. 3, and paragraph No. 90 in the interview transcript.</w:t>
      </w:r>
    </w:p>
    <w:p w14:paraId="14A5D9F9" w14:textId="26B88BDD" w:rsidR="0058396B" w:rsidRPr="00F153F6" w:rsidRDefault="0058396B" w:rsidP="00845905">
      <w:pPr>
        <w:keepNext/>
        <w:spacing w:line="360" w:lineRule="auto"/>
        <w:jc w:val="center"/>
      </w:pPr>
      <w:r w:rsidRPr="00F153F6">
        <w:rPr>
          <w:noProof/>
        </w:rPr>
        <w:drawing>
          <wp:inline distT="0" distB="0" distL="0" distR="0" wp14:anchorId="3E55DAE3" wp14:editId="3937FD35">
            <wp:extent cx="5731510" cy="4559935"/>
            <wp:effectExtent l="0" t="0" r="2540" b="0"/>
            <wp:docPr id="1203174289"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74289" name="Picture 2" descr="Diagram, schematic&#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559935"/>
                    </a:xfrm>
                    <a:prstGeom prst="rect">
                      <a:avLst/>
                    </a:prstGeom>
                    <a:noFill/>
                    <a:ln>
                      <a:noFill/>
                    </a:ln>
                  </pic:spPr>
                </pic:pic>
              </a:graphicData>
            </a:graphic>
          </wp:inline>
        </w:drawing>
      </w:r>
    </w:p>
    <w:p w14:paraId="1FDF7F16" w14:textId="7908A783" w:rsidR="00845905" w:rsidRPr="00F153F6" w:rsidRDefault="00845905" w:rsidP="00845905">
      <w:pPr>
        <w:pStyle w:val="Caption"/>
        <w:jc w:val="center"/>
        <w:rPr>
          <w:rFonts w:ascii="Times New Roman" w:hAnsi="Times New Roman" w:cs="Times New Roman"/>
          <w:i w:val="0"/>
          <w:iCs w:val="0"/>
          <w:color w:val="auto"/>
          <w:sz w:val="22"/>
          <w:szCs w:val="22"/>
        </w:rPr>
      </w:pPr>
      <w:bookmarkStart w:id="353" w:name="_Toc119448465"/>
      <w:r w:rsidRPr="00F153F6">
        <w:rPr>
          <w:rFonts w:ascii="Times New Roman" w:hAnsi="Times New Roman" w:cs="Times New Roman"/>
          <w:i w:val="0"/>
          <w:iCs w:val="0"/>
          <w:color w:val="auto"/>
          <w:sz w:val="22"/>
          <w:szCs w:val="22"/>
        </w:rPr>
        <w:t xml:space="preserve">Figure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Figure_4. \* ARABIC </w:instrText>
      </w:r>
      <w:r w:rsidRPr="00F153F6">
        <w:rPr>
          <w:rFonts w:ascii="Times New Roman" w:hAnsi="Times New Roman" w:cs="Times New Roman"/>
          <w:i w:val="0"/>
          <w:iCs w:val="0"/>
          <w:color w:val="auto"/>
          <w:sz w:val="22"/>
          <w:szCs w:val="22"/>
        </w:rPr>
        <w:fldChar w:fldCharType="separate"/>
      </w:r>
      <w:r w:rsidR="007148BA" w:rsidRPr="00F153F6">
        <w:rPr>
          <w:rFonts w:ascii="Times New Roman" w:hAnsi="Times New Roman" w:cs="Times New Roman"/>
          <w:i w:val="0"/>
          <w:iCs w:val="0"/>
          <w:noProof/>
          <w:color w:val="auto"/>
          <w:sz w:val="22"/>
          <w:szCs w:val="22"/>
        </w:rPr>
        <w:t>1</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ICT-based Inter-organisational Knowledge Exchange Practice (Inception Stage)</w:t>
      </w:r>
      <w:bookmarkEnd w:id="353"/>
    </w:p>
    <w:p w14:paraId="433C72CB" w14:textId="341925F8" w:rsidR="0015201A" w:rsidRPr="00F153F6" w:rsidRDefault="0015201A" w:rsidP="00845905">
      <w:pPr>
        <w:spacing w:line="360" w:lineRule="auto"/>
        <w:jc w:val="center"/>
        <w:rPr>
          <w:rFonts w:ascii="Times New Roman" w:hAnsi="Times New Roman" w:cs="Times New Roman"/>
        </w:rPr>
      </w:pPr>
      <w:r w:rsidRPr="00F153F6">
        <w:rPr>
          <w:rFonts w:ascii="Times New Roman" w:hAnsi="Times New Roman" w:cs="Times New Roman"/>
        </w:rPr>
        <w:fldChar w:fldCharType="begin"/>
      </w:r>
      <w:r w:rsidRPr="00F153F6">
        <w:rPr>
          <w:rFonts w:ascii="Times New Roman" w:hAnsi="Times New Roman" w:cs="Times New Roman"/>
        </w:rPr>
        <w:instrText xml:space="preserve"> INCLUDEPICTURE "https://documents.lucid.app/documents/44d8b9b0-6d41-4b5d-a20d-ee01d91060ef/pages/0_0?a=18319&amp;x=15967&amp;y=-128&amp;w=2480&amp;h=1349&amp;store=1&amp;accept=image%2F*&amp;auth=LCA%202840f6c5978c62d29c21705b6683d3189018e3c2-ts%3D1656795762" \* MERGEFORMATINET </w:instrText>
      </w:r>
      <w:r w:rsidR="00000000">
        <w:rPr>
          <w:rFonts w:ascii="Times New Roman" w:hAnsi="Times New Roman" w:cs="Times New Roman"/>
        </w:rPr>
        <w:fldChar w:fldCharType="separate"/>
      </w:r>
      <w:r w:rsidRPr="00F153F6">
        <w:rPr>
          <w:rFonts w:ascii="Times New Roman" w:hAnsi="Times New Roman" w:cs="Times New Roman"/>
        </w:rPr>
        <w:fldChar w:fldCharType="end"/>
      </w:r>
      <w:r w:rsidRPr="00F153F6">
        <w:rPr>
          <w:rFonts w:ascii="Times New Roman" w:hAnsi="Times New Roman" w:cs="Times New Roman"/>
        </w:rPr>
        <w:fldChar w:fldCharType="begin"/>
      </w:r>
      <w:r w:rsidRPr="00F153F6">
        <w:rPr>
          <w:rFonts w:ascii="Times New Roman" w:hAnsi="Times New Roman" w:cs="Times New Roman"/>
        </w:rPr>
        <w:instrText xml:space="preserve"> INCLUDEPICTURE "https://documents.lucid.app/documents/44d8b9b0-6d41-4b5d-a20d-ee01d91060ef/pages/0_0?a=9899&amp;x=8440&amp;y=-795&amp;w=1760&amp;h=1645&amp;store=1&amp;accept=image%2F*&amp;auth=LCA%20222f100947c6f37b42085a3fdab1446c4fd3644d-ts%3D1643534656" \* MERGEFORMATINET </w:instrText>
      </w:r>
      <w:r w:rsidR="00000000">
        <w:rPr>
          <w:rFonts w:ascii="Times New Roman" w:hAnsi="Times New Roman" w:cs="Times New Roman"/>
        </w:rPr>
        <w:fldChar w:fldCharType="separate"/>
      </w:r>
      <w:r w:rsidRPr="00F153F6">
        <w:rPr>
          <w:rFonts w:ascii="Times New Roman" w:hAnsi="Times New Roman" w:cs="Times New Roman"/>
        </w:rPr>
        <w:fldChar w:fldCharType="end"/>
      </w:r>
      <w:bookmarkStart w:id="354" w:name="OLE_LINK340"/>
      <w:bookmarkStart w:id="355" w:name="OLE_LINK341"/>
    </w:p>
    <w:p w14:paraId="60F4E56D" w14:textId="2A6B94BD"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ICT-based  IOKE is a sociomaterial, activity-based knowing in practice, and takes place within an environment that draws from the inter-organisational, intra-organisational and wider environmental contexts. Actors in a Living Lab project, during the inception stage, exchange </w:t>
      </w:r>
      <w:r w:rsidRPr="00F153F6">
        <w:rPr>
          <w:rFonts w:ascii="Times New Roman" w:hAnsi="Times New Roman" w:cs="Times New Roman"/>
          <w:sz w:val="24"/>
          <w:szCs w:val="24"/>
        </w:rPr>
        <w:lastRenderedPageBreak/>
        <w:t>their knowledge across organisational boundaries with the use of diverse ICT. The inter-organisational context reflects the Living Lab space,  i.e. the space within which actors from different organisations interact with each other. As such, the inter-organisational context is the first contextual layer of ICT-based IOKE practice. As one interviewee described:</w:t>
      </w:r>
    </w:p>
    <w:p w14:paraId="158E3D59" w14:textId="5A9795CF"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“We set up an approach that we have a flat organisational structure so that </w:t>
      </w:r>
      <w:bookmarkStart w:id="356" w:name="OLE_LINK487"/>
      <w:bookmarkStart w:id="357" w:name="OLE_LINK488"/>
      <w:r w:rsidRPr="00F153F6">
        <w:rPr>
          <w:rFonts w:ascii="Times New Roman" w:hAnsi="Times New Roman" w:cs="Times New Roman"/>
          <w:i/>
          <w:iCs/>
          <w:sz w:val="24"/>
          <w:szCs w:val="24"/>
        </w:rPr>
        <w:t>we lead this process, but we are not the leaders</w:t>
      </w:r>
      <w:bookmarkEnd w:id="356"/>
      <w:bookmarkEnd w:id="357"/>
      <w:r w:rsidRPr="00F153F6">
        <w:rPr>
          <w:rFonts w:ascii="Times New Roman" w:hAnsi="Times New Roman" w:cs="Times New Roman"/>
          <w:i/>
          <w:iCs/>
          <w:sz w:val="24"/>
          <w:szCs w:val="24"/>
        </w:rPr>
        <w:t xml:space="preserve">. What I mean by that is that we are a very open and transparent in the way we coordinate this effort, this common effort… Being honest and transparent about what our common interests are </w:t>
      </w:r>
      <w:r w:rsidRPr="00F153F6">
        <w:rPr>
          <w:rFonts w:ascii="Times New Roman" w:hAnsi="Times New Roman" w:cs="Times New Roman"/>
          <w:sz w:val="24"/>
          <w:szCs w:val="24"/>
        </w:rPr>
        <w:t>[is very important]</w:t>
      </w:r>
      <w:r w:rsidRPr="00F153F6">
        <w:rPr>
          <w:rFonts w:ascii="Times New Roman" w:hAnsi="Times New Roman" w:cs="Times New Roman"/>
          <w:i/>
          <w:iCs/>
          <w:sz w:val="24"/>
          <w:szCs w:val="24"/>
        </w:rPr>
        <w:t>. And we are always transparent about the issues we may face. And what we consistently look at is that the commitment of our partners and the ways to collaborate as equals. So being honest and transparent the thing is a very important thing.” (Project A1, Participant 2, Para. 22, 55)</w:t>
      </w:r>
    </w:p>
    <w:p w14:paraId="4493F686" w14:textId="5CC7DD72"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above quotation shows that during the inception stage, Living Lab projects follow the project structure as originally envisaged by the Living Lab project methodology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{"citationID":"0EzD0rdS","properties":{"formattedCitation":"(Malmberg et al., 2017)","plainCitation":"(Malmberg et al., 2017)","noteIndex":0},"citationItems":[{"id":1932,"uris":["http://zotero.org/users/5709166/items/N232RVUA"],"itemData":{"id":1932,"type":"article-journal","abstract":"Top experts in Living Lab research and practice from the European Network of Living Labs (ENoLL) have contributed to the Living Lab Methodology Handbook by sharing their knowledge on the most recent findings on the topic. This handbook introduces research background and serves as a practical guidance for researchers and practitioners on Living Lab methodologies, co-creation and user engagement. It also aims to inspire the reader with the lessons learned from thorough research together with practical experiences from real-life cases. The handbook is specifically focusing on the topical area of Internet of Things, and explains how the Living Lab approach can greatly support the research and development activities in that area.\n\nThis handbook was initiated under the coordination and support action “User Engagement for Large Scale Pilots in the Internet of Things” (U4IoT) that provides online and offline toolkits, workshops and other forms of support to actively engage end-users and citizens in the pilot projects of European IoT Large-scale pilots programme. This project has received funding from the European Union’s Horizon 2020 research and innovation programme and the Swiss State Secretariat for Education, Research and Innovation under grant agreement No 732078.","DOI":"10.5281/ZENODO.1146321","language":"en","license":"Creative Commons Attribution 4.0, Open Access","source":"DOI.org (Datacite)","title":"Living Lab Methodology Handbook","URL":"https://zenodo.org/record/1146321","author":[{"family":"Malmberg","given":"Katariina"},{"family":"Vaittinen","given":"Ines"},{"family":"Evans","given":"Penny"},{"family":"Schuurman","given":"Dimitri"},{"family":"Ståhlbröst","given":"Anna"},{"family":"Vervoort","given":"Koen"}],"accessed":{"date-parts":[["2019",11,26]]},"issued":{"date-parts":[["2017",10,16]]}}}],"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(Malmberg et al., 2017)</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There is not a single person acting as leader in their inter-organisational collaboration in such a structure, but project members adopt a flat hierarchy; each actor is leading on some processes, but they are not considered as being the leaders,  i.e. they steer others and coordinate without however instructing them. Such structure is developed originally as an inter-organisational context within which actors collaborate and steer their project activities through a decentralised decision-making process. As they interact, a transparent and honest workplace climate is developed. During this stage, actors manage to shape a context within which they can freely discuss their opinions and ideas as equals. Such a transparent inter-organisational climate and flat inter-organisational structure reflect an inter-organisational context as originally developed by actors during the inception stage of a Living Lab project. </w:t>
      </w:r>
    </w:p>
    <w:p w14:paraId="7A7A01DC" w14:textId="7A874882"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The Intra-organisational context, in turn, reflects how the actors who engage in ICT-based IOKE practice are also influenced by their own organisation’s characteristics, such as organisational routines and culture. As such, the intra-organisational context is the second contextual layer of the ICT-based IOKE practice. As one interviewee described:</w:t>
      </w:r>
    </w:p>
    <w:p w14:paraId="4AC5EB3B" w14:textId="72B9BD14" w:rsidR="0015201A" w:rsidRPr="00F153F6" w:rsidRDefault="0015201A" w:rsidP="007148BA">
      <w:pPr>
        <w:spacing w:line="360" w:lineRule="auto"/>
        <w:ind w:left="720"/>
        <w:jc w:val="both"/>
        <w:rPr>
          <w:rFonts w:ascii="Times New Roman" w:eastAsiaTheme="minorEastAsia" w:hAnsi="Times New Roman" w:cs="Times New Roman"/>
          <w:i/>
          <w:iCs/>
          <w:sz w:val="24"/>
          <w:szCs w:val="24"/>
        </w:rPr>
      </w:pPr>
      <w:r w:rsidRPr="00F153F6">
        <w:rPr>
          <w:rFonts w:ascii="Times New Roman" w:eastAsiaTheme="minorEastAsia" w:hAnsi="Times New Roman" w:cs="Times New Roman"/>
          <w:i/>
          <w:iCs/>
          <w:sz w:val="24"/>
          <w:szCs w:val="24"/>
        </w:rPr>
        <w:t xml:space="preserve">“We have… a very well-established procedure to communicate all the projects we work on. We have, like, our monthly chat, email that is sent to all of my colleagues. We are 1,400 people here in </w:t>
      </w:r>
      <w:r w:rsidRPr="00F153F6">
        <w:rPr>
          <w:rFonts w:ascii="Times New Roman" w:eastAsiaTheme="minorEastAsia" w:hAnsi="Times New Roman" w:cs="Times New Roman"/>
          <w:sz w:val="24"/>
          <w:szCs w:val="24"/>
        </w:rPr>
        <w:t>[our organisation]</w:t>
      </w:r>
      <w:r w:rsidRPr="00F153F6">
        <w:rPr>
          <w:rFonts w:ascii="Times New Roman" w:eastAsiaTheme="minorEastAsia" w:hAnsi="Times New Roman" w:cs="Times New Roman"/>
          <w:i/>
          <w:iCs/>
          <w:sz w:val="24"/>
          <w:szCs w:val="24"/>
        </w:rPr>
        <w:t xml:space="preserve"> so this is quite a big organisation. Yeah. So, we </w:t>
      </w:r>
      <w:r w:rsidRPr="00F153F6">
        <w:rPr>
          <w:rFonts w:ascii="Times New Roman" w:eastAsiaTheme="minorEastAsia" w:hAnsi="Times New Roman" w:cs="Times New Roman"/>
          <w:i/>
          <w:iCs/>
          <w:sz w:val="24"/>
          <w:szCs w:val="24"/>
        </w:rPr>
        <w:lastRenderedPageBreak/>
        <w:t>usually share with our department about the project that we are involved in. And then through social media, also, internally here, we have these internal meetings twice a year. Also, we have this kind of internal meeting where different working groups talk about the project experience. So, you usually talk about the more relevant project to get feedback from our colleagues.” (Project A1, Participant 3, Para. 90)</w:t>
      </w:r>
    </w:p>
    <w:p w14:paraId="54B2AD20" w14:textId="1409F8BE"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eastAsiaTheme="minorEastAsia" w:hAnsi="Times New Roman" w:cs="Times New Roman"/>
          <w:sz w:val="24"/>
          <w:szCs w:val="24"/>
        </w:rPr>
        <w:t xml:space="preserve">Each involved organisation has their own tool set, such as email or social media to support their intra-organisational activities. By doing so, actors get valuable insights such as feedback for their project from their own organisations. These communications take place in the same way as intra-organisational communications, following established communication procedures, organisational structure, or meeting frequency. It thus follows that the intra-organisational context is important for actors’ ICT-based IOKE. While these intra-organisational activities cannot directly influence actors’ ICT-based IOKE practice, they may become valuable when actors bring them into the context of their inter-organisational collaborations. Therefore, the intra-organisational context is viewed as the second contextual layer of the ICT-based IOKE practice. </w:t>
      </w:r>
    </w:p>
    <w:p w14:paraId="0C5BC928" w14:textId="5D985BBA"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Finally, the environmental context reflects that those actors who engage in ICT-based IOKE practice are a part of the wider society, and that their inter-organisational collaboration is influenced by macro-level environmental characteristics such as global health or national policy. As one interviewee described:</w:t>
      </w:r>
    </w:p>
    <w:p w14:paraId="24FEC1CE" w14:textId="4C62D683"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“In this year by, for example, it was foreseen because it was </w:t>
      </w:r>
      <w:r w:rsidR="009C3760" w:rsidRPr="00F153F6">
        <w:rPr>
          <w:rFonts w:ascii="Times New Roman" w:hAnsi="Times New Roman" w:cs="Times New Roman"/>
          <w:i/>
          <w:iCs/>
          <w:sz w:val="24"/>
          <w:szCs w:val="24"/>
        </w:rPr>
        <w:t>proposed,</w:t>
      </w:r>
      <w:r w:rsidRPr="00F153F6">
        <w:rPr>
          <w:rFonts w:ascii="Times New Roman" w:hAnsi="Times New Roman" w:cs="Times New Roman"/>
          <w:i/>
          <w:iCs/>
          <w:sz w:val="24"/>
          <w:szCs w:val="24"/>
        </w:rPr>
        <w:t xml:space="preserve"> and the proposal was written before Covid-19. It was proposed to have a lot of face-to-face meetings and face-to-face workshops and so on. But then Covid-19 came, and we realised that we couldn’t carry out the project set out in our proposal. So, we had to re-adapt the methodology to carry out those sessions online on a virtual basis. We had to develop a </w:t>
      </w:r>
      <w:r w:rsidR="009C3760" w:rsidRPr="00F153F6">
        <w:rPr>
          <w:rFonts w:ascii="Times New Roman" w:hAnsi="Times New Roman" w:cs="Times New Roman"/>
          <w:i/>
          <w:iCs/>
          <w:sz w:val="24"/>
          <w:szCs w:val="24"/>
        </w:rPr>
        <w:t>specific tool</w:t>
      </w:r>
      <w:r w:rsidRPr="00F153F6">
        <w:rPr>
          <w:rFonts w:ascii="Times New Roman" w:hAnsi="Times New Roman" w:cs="Times New Roman"/>
          <w:i/>
          <w:iCs/>
          <w:sz w:val="24"/>
          <w:szCs w:val="24"/>
        </w:rPr>
        <w:t xml:space="preserve"> for those types of activities and for the community to be engaged and for the community to be connected.” (</w:t>
      </w:r>
      <w:r w:rsidRPr="00F153F6">
        <w:rPr>
          <w:rFonts w:ascii="Times New Roman" w:eastAsiaTheme="minorEastAsia" w:hAnsi="Times New Roman" w:cs="Times New Roman"/>
          <w:i/>
          <w:iCs/>
          <w:sz w:val="24"/>
          <w:szCs w:val="24"/>
        </w:rPr>
        <w:t>Project A1, Participant 3</w:t>
      </w:r>
      <w:r w:rsidRPr="00F153F6">
        <w:rPr>
          <w:rFonts w:ascii="Times New Roman" w:hAnsi="Times New Roman" w:cs="Times New Roman"/>
          <w:i/>
          <w:iCs/>
          <w:sz w:val="24"/>
          <w:szCs w:val="24"/>
        </w:rPr>
        <w:t>, Para. 5)</w:t>
      </w:r>
    </w:p>
    <w:p w14:paraId="16B00176" w14:textId="7C35E961"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Due to the outbreak of the Covid-19 pandemic in Europe early 2020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{"citationID":"8ZHuTPu2","properties":{"formattedCitation":"(Goniewicz et al., 2020)","plainCitation":"(Goniewicz et al., 2020)","noteIndex":0},"citationItems":[{"id":10003,"uris":["http://zotero.org/users/5709166/items/5KGYUWZL"],"itemData":{"id":10003,"type":"article-journal","abstract":"COVID-19 has proven to be a formidable challenge for many countries in the European Union to manage eﬀectively. The European Union has implemented numerous strategies to face emerging issues. Member States have adopted measures such as the closure of borders and signiﬁcant limitations on the mobility of people to mitigate the spread of the virus. An unprecedented crisis coordination eﬀort between Member States has facilitated the ability to purchase equipment, personal protective equipment, and other medical supplies. Attention has also been focused on providing substantive money for research to ﬁnd a vaccine and promote eﬀective treatment therapies. Financial support has been made available to protect worker salaries and businesses to help facilitate a return to a functional economy. Lessons learned to date from COVID-19 in the European Union are many; the current crisis highlights the need to think about future pandemics from a population-based management approach and apply outside the box critical thinking. Due to the complexity, intensity, and frequency of complex disasters, global leaders in healthcare, government, and business will need to pivot from siloed approaches to decision-making to embrace multidisciplinary and transdisciplinary levels of cooperation. This cooperation requires courage and leadership to recognize that changes are necessary to avoid making the same mistakes we have planned countless times on avoiding. This study focuses on the European Union’s initial response to the COVID-19 pandemic, starting with how the European Union ﬁrst learned and processed the global information arising out of China, followed by the incremental population-based medicine/management decisions made that currently are deﬁning the European Union’s capacity and capability. The capacity to organize, deliver, and monitor care to a speciﬁc clinical population under a population-based management target includes strict social distancing strategies, contact testing and tracing, testing for the virus antigen and its antibodies, isolation, and treatment modalities such as new mitigating medications, and ﬁnally, a vaccine.","container-title":"Sustainability","DOI":"10.3390/su12093838","ISSN":"2071-1050","issue":"9","journalAbbreviation":"Sustainability","language":"en","page":"3838","source":"DOI.org (Crossref)","title":"Current Response and Management Decisions of the European Union to the COVID-19 Outbreak: A Review","title-short":"Current Response and Management Decisions of the European Union to the COVID-19 Outbreak","volume":"12","author":[{"family":"Goniewicz","given":"Krzysztof"},{"family":"Khorram-Manesh","given":"Amir"},{"family":"Hertelendy","given":"Attila J."},{"family":"Goniewicz","given":"Mariusz"},{"family":"Naylor","given":"Katarzyna"},{"family":"Burkle","given":"Frederick M."}],"issued":{"date-parts":[["2020",5,8]]}}}],"schema":"https://github.com/citation-style-language/schema/raw/master/csl-citation.json"}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(Goniewicz et al., 2020)</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actors had to avoid face-to-face meetings to slow the spread of the disease and keep healthy. Therefore, many inter-organisational collaboration projects could not be carried out as usual and actors had to adapt their collaboration approaches and knowledge exchange practice. New ICT had to be explored and considered so that actors could develop their projects in a virtual way during the global pandemic. These activities indicate the significant influence </w:t>
      </w:r>
      <w:r w:rsidRPr="00F153F6">
        <w:rPr>
          <w:rFonts w:ascii="Times New Roman" w:hAnsi="Times New Roman" w:cs="Times New Roman"/>
          <w:sz w:val="24"/>
          <w:szCs w:val="24"/>
        </w:rPr>
        <w:lastRenderedPageBreak/>
        <w:t>environmental changes have on actors’ ICT-based IOKE practice. Since this environmental context cannot be controlled by the project actors and because it usually generates impact on a macro-level, this context is viewed as the third contextual layer of the ICT-based IOKE practice.</w:t>
      </w:r>
    </w:p>
    <w:p w14:paraId="7B0FDCEF" w14:textId="14431799" w:rsidR="0015201A" w:rsidRPr="00F153F6" w:rsidRDefault="0015201A" w:rsidP="004424B4">
      <w:pPr>
        <w:spacing w:line="360" w:lineRule="auto"/>
        <w:jc w:val="both"/>
        <w:rPr>
          <w:rFonts w:ascii="Times New Roman" w:hAnsi="Times New Roman" w:cs="Times New Roman"/>
          <w:sz w:val="24"/>
          <w:szCs w:val="24"/>
        </w:rPr>
      </w:pPr>
      <w:bookmarkStart w:id="358" w:name="OLE_LINK241"/>
      <w:bookmarkStart w:id="359" w:name="OLE_LINK242"/>
      <w:r w:rsidRPr="00F153F6">
        <w:rPr>
          <w:rFonts w:ascii="Times New Roman" w:hAnsi="Times New Roman" w:cs="Times New Roman"/>
          <w:sz w:val="24"/>
          <w:szCs w:val="24"/>
        </w:rPr>
        <w:t xml:space="preserve">The empirical data in this study suggests that knowledge in ICT-based IOKE should be viewed as a capability, or knowledgeability which is the resulting of human interactions, facilitated by human interactive activities, and mediated by ICT. Such knowledgeability is performed through </w:t>
      </w:r>
      <w:bookmarkStart w:id="360" w:name="OLE_LINK157"/>
      <w:r w:rsidRPr="00F153F6">
        <w:rPr>
          <w:rFonts w:ascii="Times New Roman" w:hAnsi="Times New Roman" w:cs="Times New Roman"/>
          <w:sz w:val="24"/>
          <w:szCs w:val="24"/>
        </w:rPr>
        <w:t>practices</w:t>
      </w:r>
      <w:bookmarkEnd w:id="360"/>
      <w:r w:rsidRPr="00F153F6">
        <w:rPr>
          <w:rFonts w:ascii="Times New Roman" w:hAnsi="Times New Roman" w:cs="Times New Roman"/>
          <w:sz w:val="24"/>
          <w:szCs w:val="24"/>
        </w:rPr>
        <w:t>, emergent from activities, embedded in context, and bound up in the technologies that mediate human interactions</w:t>
      </w:r>
      <w:bookmarkEnd w:id="358"/>
      <w:bookmarkEnd w:id="359"/>
      <w:r w:rsidRPr="00F153F6">
        <w:rPr>
          <w:rFonts w:ascii="Times New Roman" w:hAnsi="Times New Roman" w:cs="Times New Roman"/>
          <w:sz w:val="24"/>
          <w:szCs w:val="24"/>
        </w:rPr>
        <w:t xml:space="preserve">. On the basis of this, IOKE at the inception stage is characterised by four different knowledgeabilities, namely: </w:t>
      </w:r>
      <w:bookmarkStart w:id="361" w:name="OLE_LINK239"/>
      <w:bookmarkStart w:id="362" w:name="OLE_LINK240"/>
      <w:r w:rsidRPr="00F153F6">
        <w:rPr>
          <w:rFonts w:ascii="Times New Roman" w:hAnsi="Times New Roman" w:cs="Times New Roman"/>
          <w:sz w:val="24"/>
          <w:szCs w:val="24"/>
        </w:rPr>
        <w:t>inter-connecting</w:t>
      </w:r>
      <w:bookmarkStart w:id="363" w:name="OLE_LINK753"/>
      <w:bookmarkStart w:id="364" w:name="OLE_LINK754"/>
      <w:r w:rsidRPr="00F153F6">
        <w:rPr>
          <w:rFonts w:ascii="Times New Roman" w:hAnsi="Times New Roman" w:cs="Times New Roman"/>
          <w:sz w:val="24"/>
          <w:szCs w:val="24"/>
        </w:rPr>
        <w:t>; shared understanding</w:t>
      </w:r>
      <w:bookmarkEnd w:id="363"/>
      <w:bookmarkEnd w:id="364"/>
      <w:r w:rsidRPr="00F153F6">
        <w:rPr>
          <w:rFonts w:ascii="Times New Roman" w:hAnsi="Times New Roman" w:cs="Times New Roman"/>
          <w:sz w:val="24"/>
          <w:szCs w:val="24"/>
        </w:rPr>
        <w:t>; interactive commenting; and co-ordinating.</w:t>
      </w:r>
      <w:bookmarkEnd w:id="361"/>
      <w:bookmarkEnd w:id="362"/>
      <w:r w:rsidRPr="00F153F6">
        <w:rPr>
          <w:rFonts w:ascii="Times New Roman" w:hAnsi="Times New Roman" w:cs="Times New Roman"/>
          <w:sz w:val="24"/>
          <w:szCs w:val="24"/>
        </w:rPr>
        <w:t xml:space="preserve"> Each of these knowledgeabilities are enacted through different activities and are mediated via ICT. Two of these knowledgeabilities, </w:t>
      </w:r>
      <w:bookmarkStart w:id="365" w:name="OLE_LINK755"/>
      <w:bookmarkStart w:id="366" w:name="OLE_LINK756"/>
      <w:r w:rsidRPr="00F153F6">
        <w:rPr>
          <w:rFonts w:ascii="Times New Roman" w:hAnsi="Times New Roman" w:cs="Times New Roman"/>
          <w:sz w:val="24"/>
          <w:szCs w:val="24"/>
        </w:rPr>
        <w:t xml:space="preserve">shared understanding and </w:t>
      </w:r>
      <w:bookmarkEnd w:id="365"/>
      <w:bookmarkEnd w:id="366"/>
      <w:r w:rsidRPr="00F153F6">
        <w:rPr>
          <w:rFonts w:ascii="Times New Roman" w:hAnsi="Times New Roman" w:cs="Times New Roman"/>
          <w:sz w:val="24"/>
          <w:szCs w:val="24"/>
        </w:rPr>
        <w:t xml:space="preserve">interactive </w:t>
      </w:r>
      <w:r w:rsidR="00497166" w:rsidRPr="00F153F6">
        <w:rPr>
          <w:rFonts w:ascii="Times New Roman" w:hAnsi="Times New Roman" w:cs="Times New Roman"/>
          <w:sz w:val="24"/>
          <w:szCs w:val="24"/>
        </w:rPr>
        <w:t>commenting, i.e.,</w:t>
      </w:r>
      <w:r w:rsidRPr="00F153F6">
        <w:rPr>
          <w:rFonts w:ascii="Times New Roman" w:hAnsi="Times New Roman" w:cs="Times New Roman"/>
          <w:sz w:val="24"/>
          <w:szCs w:val="24"/>
        </w:rPr>
        <w:t xml:space="preserve"> knowing how to align expertise and knowing how to assist peers respectively, are viewed as core knowledgeabilities because they are recognised as core abilities in the pursuit of project goals during the inception stage. These core knowledgeabilities occur only when actors can connect with each </w:t>
      </w:r>
      <w:r w:rsidR="00497166" w:rsidRPr="00F153F6">
        <w:rPr>
          <w:rFonts w:ascii="Times New Roman" w:hAnsi="Times New Roman" w:cs="Times New Roman"/>
          <w:sz w:val="24"/>
          <w:szCs w:val="24"/>
        </w:rPr>
        <w:t>other, i.e.,</w:t>
      </w:r>
      <w:r w:rsidRPr="00F153F6">
        <w:rPr>
          <w:rFonts w:ascii="Times New Roman" w:hAnsi="Times New Roman" w:cs="Times New Roman"/>
          <w:sz w:val="24"/>
          <w:szCs w:val="24"/>
        </w:rPr>
        <w:t xml:space="preserve"> inter-connecting is a condition for these knowledgeabilities, whereby knowing how to cultivate relationships with different actors is enacted. As a result of the enactment of shared understanding and interactive commenting, actors will co-ordinate their project activities moving forward, such as nudging collaborators to undertake and complete their work or evaluate the quality of performance. This in turn allows them to develop knowledge regarding how to direct the project moving forward. Therefore, co-ordinating is the resulting knowledgeability of these core knowledgeabilities. As part of the ICT-based interorganisational knowledge exchange practice, </w:t>
      </w:r>
      <w:bookmarkStart w:id="367" w:name="OLE_LINK247"/>
      <w:bookmarkStart w:id="368" w:name="OLE_LINK248"/>
      <w:r w:rsidRPr="00F153F6">
        <w:rPr>
          <w:rFonts w:ascii="Times New Roman" w:hAnsi="Times New Roman" w:cs="Times New Roman"/>
          <w:sz w:val="24"/>
          <w:szCs w:val="24"/>
        </w:rPr>
        <w:t xml:space="preserve">actors enact their different knowledgeabilities with the support of ICT to achieve their goals, and their knowledgeabilities are thereby (re)produced in recurrent inter-organisational knowledge exchange practices. </w:t>
      </w:r>
      <w:bookmarkEnd w:id="367"/>
      <w:bookmarkEnd w:id="368"/>
      <w:r w:rsidRPr="00F153F6">
        <w:rPr>
          <w:rFonts w:ascii="Times New Roman" w:hAnsi="Times New Roman" w:cs="Times New Roman"/>
          <w:sz w:val="24"/>
          <w:szCs w:val="24"/>
        </w:rPr>
        <w:t xml:space="preserve">As a result, </w:t>
      </w:r>
      <w:bookmarkStart w:id="369" w:name="OLE_LINK249"/>
      <w:bookmarkStart w:id="370" w:name="OLE_LINK250"/>
      <w:r w:rsidRPr="00F153F6">
        <w:rPr>
          <w:rFonts w:ascii="Times New Roman" w:hAnsi="Times New Roman" w:cs="Times New Roman"/>
          <w:sz w:val="24"/>
          <w:szCs w:val="24"/>
        </w:rPr>
        <w:t>ICT play</w:t>
      </w:r>
      <w:r w:rsidR="00FA6038" w:rsidRPr="00F153F6">
        <w:rPr>
          <w:rFonts w:ascii="Times New Roman" w:hAnsi="Times New Roman" w:cs="Times New Roman"/>
          <w:sz w:val="24"/>
          <w:szCs w:val="24"/>
        </w:rPr>
        <w:t>s</w:t>
      </w:r>
      <w:r w:rsidRPr="00F153F6">
        <w:rPr>
          <w:rFonts w:ascii="Times New Roman" w:hAnsi="Times New Roman" w:cs="Times New Roman"/>
          <w:sz w:val="24"/>
          <w:szCs w:val="24"/>
        </w:rPr>
        <w:t xml:space="preserve"> a significant role in these practices by promoting or constraining different action possibilities while actors engage in activities. </w:t>
      </w:r>
      <w:bookmarkEnd w:id="369"/>
      <w:bookmarkEnd w:id="370"/>
    </w:p>
    <w:p w14:paraId="7947A43D" w14:textId="4EF968BA" w:rsidR="00845905"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The above are summarised in Table 4.2. During the project inception stage, there are four different knowledgeabilities within the ICT-based IOKE practice, each of which is an expression of different knowledge in practice and is enacted or performed via different activities. The last column summarises how ICT mediate</w:t>
      </w:r>
      <w:r w:rsidR="00FA6038" w:rsidRPr="00F153F6">
        <w:rPr>
          <w:rFonts w:ascii="Times New Roman" w:hAnsi="Times New Roman" w:cs="Times New Roman"/>
          <w:sz w:val="24"/>
          <w:szCs w:val="24"/>
        </w:rPr>
        <w:t>s</w:t>
      </w:r>
      <w:r w:rsidRPr="00F153F6">
        <w:rPr>
          <w:rFonts w:ascii="Times New Roman" w:hAnsi="Times New Roman" w:cs="Times New Roman"/>
          <w:sz w:val="24"/>
          <w:szCs w:val="24"/>
        </w:rPr>
        <w:t xml:space="preserve"> actions as part of each </w:t>
      </w:r>
      <w:r w:rsidRPr="00F153F6">
        <w:rPr>
          <w:rFonts w:ascii="Times New Roman" w:hAnsi="Times New Roman" w:cs="Times New Roman"/>
          <w:sz w:val="24"/>
          <w:szCs w:val="24"/>
        </w:rPr>
        <w:lastRenderedPageBreak/>
        <w:t xml:space="preserve">knowledgeability, </w:t>
      </w:r>
      <w:r w:rsidR="003E53BD" w:rsidRPr="00F153F6">
        <w:rPr>
          <w:rFonts w:ascii="Times New Roman" w:hAnsi="Times New Roman" w:cs="Times New Roman"/>
          <w:sz w:val="24"/>
          <w:szCs w:val="24"/>
        </w:rPr>
        <w:t>affording</w:t>
      </w:r>
      <w:r w:rsidRPr="00F153F6">
        <w:rPr>
          <w:rFonts w:ascii="Times New Roman" w:hAnsi="Times New Roman" w:cs="Times New Roman"/>
          <w:sz w:val="24"/>
          <w:szCs w:val="24"/>
        </w:rPr>
        <w:t xml:space="preserve"> or constraining actors’ distinct skills. These are discussed in detail in the ensuing sections.</w:t>
      </w:r>
    </w:p>
    <w:p w14:paraId="4D88F744" w14:textId="77777777" w:rsidR="00845905" w:rsidRPr="00F153F6" w:rsidRDefault="00845905" w:rsidP="004424B4">
      <w:pPr>
        <w:spacing w:line="360" w:lineRule="auto"/>
        <w:jc w:val="both"/>
        <w:rPr>
          <w:rFonts w:ascii="Times New Roman" w:hAnsi="Times New Roman" w:cs="Times New Roman"/>
        </w:rPr>
      </w:pPr>
    </w:p>
    <w:p w14:paraId="330F2435" w14:textId="463F1912" w:rsidR="00845905" w:rsidRPr="00F153F6" w:rsidRDefault="00845905" w:rsidP="00845905">
      <w:pPr>
        <w:pStyle w:val="Caption"/>
        <w:keepNext/>
        <w:rPr>
          <w:rFonts w:ascii="Times New Roman" w:hAnsi="Times New Roman" w:cs="Times New Roman"/>
          <w:i w:val="0"/>
          <w:iCs w:val="0"/>
          <w:color w:val="auto"/>
          <w:sz w:val="22"/>
          <w:szCs w:val="22"/>
        </w:rPr>
      </w:pPr>
      <w:bookmarkStart w:id="371" w:name="_Toc119448036"/>
      <w:r w:rsidRPr="00F153F6">
        <w:rPr>
          <w:rFonts w:ascii="Times New Roman" w:hAnsi="Times New Roman" w:cs="Times New Roman"/>
          <w:i w:val="0"/>
          <w:iCs w:val="0"/>
          <w:color w:val="auto"/>
          <w:sz w:val="22"/>
          <w:szCs w:val="22"/>
        </w:rPr>
        <w:t xml:space="preserve">Table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Table_4. \* ARABIC </w:instrText>
      </w:r>
      <w:r w:rsidRPr="00F153F6">
        <w:rPr>
          <w:rFonts w:ascii="Times New Roman" w:hAnsi="Times New Roman" w:cs="Times New Roman"/>
          <w:i w:val="0"/>
          <w:iCs w:val="0"/>
          <w:color w:val="auto"/>
          <w:sz w:val="22"/>
          <w:szCs w:val="22"/>
        </w:rPr>
        <w:fldChar w:fldCharType="separate"/>
      </w:r>
      <w:r w:rsidR="007148BA" w:rsidRPr="00F153F6">
        <w:rPr>
          <w:rFonts w:ascii="Times New Roman" w:hAnsi="Times New Roman" w:cs="Times New Roman"/>
          <w:i w:val="0"/>
          <w:iCs w:val="0"/>
          <w:noProof/>
          <w:color w:val="auto"/>
          <w:sz w:val="22"/>
          <w:szCs w:val="22"/>
        </w:rPr>
        <w:t>2</w:t>
      </w:r>
      <w:r w:rsidRPr="00F153F6">
        <w:rPr>
          <w:rFonts w:ascii="Times New Roman" w:hAnsi="Times New Roman" w:cs="Times New Roman"/>
          <w:i w:val="0"/>
          <w:iCs w:val="0"/>
          <w:color w:val="auto"/>
          <w:sz w:val="22"/>
          <w:szCs w:val="22"/>
        </w:rPr>
        <w:fldChar w:fldCharType="end"/>
      </w:r>
      <w:bookmarkStart w:id="372" w:name="OLE_LINK819"/>
      <w:bookmarkStart w:id="373" w:name="OLE_LINK820"/>
      <w:r w:rsidRPr="00F153F6">
        <w:rPr>
          <w:rFonts w:ascii="Times New Roman" w:hAnsi="Times New Roman" w:cs="Times New Roman"/>
          <w:i w:val="0"/>
          <w:iCs w:val="0"/>
          <w:color w:val="auto"/>
          <w:sz w:val="22"/>
          <w:szCs w:val="22"/>
        </w:rPr>
        <w:t xml:space="preserve"> Summary of knowledgeabilities in ICT-based IOKE practice, its relevant activities, performed knowledge and ICT </w:t>
      </w:r>
      <w:r w:rsidR="003E53BD" w:rsidRPr="00F153F6">
        <w:rPr>
          <w:rFonts w:ascii="Times New Roman" w:hAnsi="Times New Roman" w:cs="Times New Roman"/>
          <w:i w:val="0"/>
          <w:iCs w:val="0"/>
          <w:color w:val="auto"/>
          <w:sz w:val="22"/>
          <w:szCs w:val="22"/>
        </w:rPr>
        <w:t>affordance</w:t>
      </w:r>
      <w:r w:rsidRPr="00F153F6">
        <w:rPr>
          <w:rFonts w:ascii="Times New Roman" w:hAnsi="Times New Roman" w:cs="Times New Roman"/>
          <w:i w:val="0"/>
          <w:iCs w:val="0"/>
          <w:color w:val="auto"/>
          <w:sz w:val="22"/>
          <w:szCs w:val="22"/>
        </w:rPr>
        <w:t xml:space="preserve"> and ICT constraints</w:t>
      </w:r>
      <w:bookmarkEnd w:id="372"/>
      <w:bookmarkEnd w:id="373"/>
      <w:r w:rsidRPr="00F153F6">
        <w:rPr>
          <w:rFonts w:ascii="Times New Roman" w:hAnsi="Times New Roman" w:cs="Times New Roman"/>
          <w:i w:val="0"/>
          <w:iCs w:val="0"/>
          <w:color w:val="auto"/>
          <w:sz w:val="22"/>
          <w:szCs w:val="22"/>
        </w:rPr>
        <w:t xml:space="preserve"> at the project inception stage</w:t>
      </w:r>
      <w:bookmarkEnd w:id="371"/>
    </w:p>
    <w:tbl>
      <w:tblPr>
        <w:tblStyle w:val="PlainTable5"/>
        <w:tblW w:w="5000" w:type="pct"/>
        <w:tblLook w:val="04A0" w:firstRow="1" w:lastRow="0" w:firstColumn="1" w:lastColumn="0" w:noHBand="0" w:noVBand="1"/>
      </w:tblPr>
      <w:tblGrid>
        <w:gridCol w:w="1930"/>
        <w:gridCol w:w="1377"/>
        <w:gridCol w:w="1796"/>
        <w:gridCol w:w="2127"/>
        <w:gridCol w:w="1796"/>
      </w:tblGrid>
      <w:tr w:rsidR="005549E4" w:rsidRPr="00F153F6" w14:paraId="5A09D830" w14:textId="77777777" w:rsidTr="005549E4">
        <w:trPr>
          <w:cnfStyle w:val="100000000000" w:firstRow="1" w:lastRow="0" w:firstColumn="0" w:lastColumn="0" w:oddVBand="0" w:evenVBand="0" w:oddHBand="0" w:evenHBand="0" w:firstRowFirstColumn="0" w:firstRowLastColumn="0" w:lastRowFirstColumn="0" w:lastRowLastColumn="0"/>
          <w:trHeight w:val="979"/>
        </w:trPr>
        <w:tc>
          <w:tcPr>
            <w:cnfStyle w:val="001000000100" w:firstRow="0" w:lastRow="0" w:firstColumn="1" w:lastColumn="0" w:oddVBand="0" w:evenVBand="0" w:oddHBand="0" w:evenHBand="0" w:firstRowFirstColumn="1" w:firstRowLastColumn="0" w:lastRowFirstColumn="0" w:lastRowLastColumn="0"/>
            <w:tcW w:w="1069" w:type="pct"/>
            <w:tcBorders>
              <w:top w:val="single" w:sz="4" w:space="0" w:color="auto"/>
            </w:tcBorders>
            <w:shd w:val="clear" w:color="auto" w:fill="auto"/>
          </w:tcPr>
          <w:p w14:paraId="15BF3DF2" w14:textId="77777777" w:rsidR="0015201A" w:rsidRPr="00F153F6" w:rsidRDefault="0015201A" w:rsidP="004424B4">
            <w:pPr>
              <w:spacing w:line="360" w:lineRule="auto"/>
              <w:jc w:val="both"/>
              <w:rPr>
                <w:rFonts w:ascii="Times New Roman" w:hAnsi="Times New Roman" w:cs="Times New Roman"/>
                <w:b/>
                <w:bCs/>
                <w:sz w:val="22"/>
                <w:szCs w:val="21"/>
              </w:rPr>
            </w:pPr>
            <w:bookmarkStart w:id="374" w:name="OLE_LINK72"/>
            <w:bookmarkStart w:id="375" w:name="OLE_LINK73"/>
            <w:bookmarkStart w:id="376" w:name="OLE_LINK823"/>
            <w:r w:rsidRPr="00F153F6">
              <w:rPr>
                <w:rFonts w:ascii="Times New Roman" w:hAnsi="Times New Roman" w:cs="Times New Roman"/>
                <w:b/>
                <w:bCs/>
                <w:sz w:val="22"/>
                <w:szCs w:val="21"/>
              </w:rPr>
              <w:t>Knowledgeabilities of ICT-based IOKE Practice</w:t>
            </w:r>
          </w:p>
        </w:tc>
        <w:tc>
          <w:tcPr>
            <w:tcW w:w="763" w:type="pct"/>
            <w:tcBorders>
              <w:top w:val="single" w:sz="4" w:space="0" w:color="auto"/>
            </w:tcBorders>
            <w:shd w:val="clear" w:color="auto" w:fill="auto"/>
          </w:tcPr>
          <w:p w14:paraId="64B8287B"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1"/>
              </w:rPr>
            </w:pPr>
            <w:r w:rsidRPr="00F153F6">
              <w:rPr>
                <w:rFonts w:ascii="Times New Roman" w:hAnsi="Times New Roman" w:cs="Times New Roman"/>
                <w:b/>
                <w:bCs/>
                <w:sz w:val="22"/>
                <w:szCs w:val="21"/>
              </w:rPr>
              <w:t>Knowing in practice</w:t>
            </w:r>
          </w:p>
        </w:tc>
        <w:tc>
          <w:tcPr>
            <w:tcW w:w="995" w:type="pct"/>
            <w:tcBorders>
              <w:top w:val="single" w:sz="4" w:space="0" w:color="auto"/>
            </w:tcBorders>
            <w:shd w:val="clear" w:color="auto" w:fill="auto"/>
          </w:tcPr>
          <w:p w14:paraId="07F5E009" w14:textId="77777777" w:rsidR="0015201A" w:rsidRPr="00F153F6" w:rsidRDefault="0015201A" w:rsidP="004424B4">
            <w:pPr>
              <w:tabs>
                <w:tab w:val="left" w:pos="495"/>
                <w:tab w:val="center" w:pos="964"/>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1"/>
              </w:rPr>
            </w:pPr>
            <w:r w:rsidRPr="00F153F6">
              <w:rPr>
                <w:rFonts w:ascii="Times New Roman" w:hAnsi="Times New Roman" w:cs="Times New Roman"/>
                <w:b/>
                <w:bCs/>
                <w:sz w:val="22"/>
                <w:szCs w:val="21"/>
              </w:rPr>
              <w:tab/>
            </w:r>
            <w:r w:rsidRPr="00F153F6">
              <w:rPr>
                <w:rFonts w:ascii="Times New Roman" w:hAnsi="Times New Roman" w:cs="Times New Roman"/>
                <w:b/>
                <w:bCs/>
                <w:sz w:val="22"/>
                <w:szCs w:val="21"/>
              </w:rPr>
              <w:tab/>
              <w:t>Activities</w:t>
            </w:r>
          </w:p>
        </w:tc>
        <w:tc>
          <w:tcPr>
            <w:tcW w:w="1178" w:type="pct"/>
            <w:tcBorders>
              <w:top w:val="single" w:sz="4" w:space="0" w:color="auto"/>
            </w:tcBorders>
            <w:shd w:val="clear" w:color="auto" w:fill="auto"/>
          </w:tcPr>
          <w:p w14:paraId="7EA07B94" w14:textId="43F14976"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1"/>
              </w:rPr>
            </w:pPr>
            <w:r w:rsidRPr="00F153F6">
              <w:rPr>
                <w:rFonts w:ascii="Times New Roman" w:hAnsi="Times New Roman" w:cs="Times New Roman"/>
                <w:b/>
                <w:bCs/>
                <w:sz w:val="22"/>
                <w:szCs w:val="21"/>
              </w:rPr>
              <w:t>ICT-</w:t>
            </w:r>
            <w:r w:rsidR="003E53BD" w:rsidRPr="00F153F6">
              <w:rPr>
                <w:rFonts w:ascii="Times New Roman" w:hAnsi="Times New Roman" w:cs="Times New Roman"/>
                <w:b/>
                <w:bCs/>
                <w:sz w:val="22"/>
                <w:szCs w:val="21"/>
              </w:rPr>
              <w:t>Afforded</w:t>
            </w:r>
            <w:r w:rsidRPr="00F153F6">
              <w:rPr>
                <w:rFonts w:ascii="Times New Roman" w:hAnsi="Times New Roman" w:cs="Times New Roman"/>
                <w:b/>
                <w:bCs/>
                <w:sz w:val="22"/>
                <w:szCs w:val="21"/>
              </w:rPr>
              <w:t xml:space="preserve"> Abilities </w:t>
            </w:r>
          </w:p>
        </w:tc>
        <w:tc>
          <w:tcPr>
            <w:tcW w:w="995" w:type="pct"/>
            <w:tcBorders>
              <w:top w:val="single" w:sz="4" w:space="0" w:color="auto"/>
            </w:tcBorders>
            <w:shd w:val="clear" w:color="auto" w:fill="auto"/>
          </w:tcPr>
          <w:p w14:paraId="6DB1D373"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1"/>
              </w:rPr>
            </w:pPr>
            <w:r w:rsidRPr="00F153F6">
              <w:rPr>
                <w:rFonts w:ascii="Times New Roman" w:hAnsi="Times New Roman" w:cs="Times New Roman"/>
                <w:b/>
                <w:bCs/>
                <w:sz w:val="22"/>
                <w:szCs w:val="21"/>
              </w:rPr>
              <w:t xml:space="preserve">ICT-Constrained Abilities </w:t>
            </w:r>
          </w:p>
        </w:tc>
      </w:tr>
      <w:tr w:rsidR="005549E4" w:rsidRPr="00F153F6" w14:paraId="28649045" w14:textId="77777777" w:rsidTr="004314D7">
        <w:trPr>
          <w:cnfStyle w:val="000000100000" w:firstRow="0" w:lastRow="0" w:firstColumn="0" w:lastColumn="0" w:oddVBand="0" w:evenVBand="0" w:oddHBand="1" w:evenHBand="0" w:firstRowFirstColumn="0" w:firstRowLastColumn="0" w:lastRowFirstColumn="0" w:lastRowLastColumn="0"/>
          <w:trHeight w:val="1973"/>
        </w:trPr>
        <w:tc>
          <w:tcPr>
            <w:cnfStyle w:val="001000000000" w:firstRow="0" w:lastRow="0" w:firstColumn="1" w:lastColumn="0" w:oddVBand="0" w:evenVBand="0" w:oddHBand="0" w:evenHBand="0" w:firstRowFirstColumn="0" w:firstRowLastColumn="0" w:lastRowFirstColumn="0" w:lastRowLastColumn="0"/>
            <w:tcW w:w="1069" w:type="pct"/>
            <w:shd w:val="clear" w:color="auto" w:fill="auto"/>
          </w:tcPr>
          <w:p w14:paraId="46B79B8E" w14:textId="77777777" w:rsidR="0015201A" w:rsidRPr="00F153F6" w:rsidRDefault="0015201A" w:rsidP="004424B4">
            <w:pPr>
              <w:spacing w:line="360" w:lineRule="auto"/>
              <w:jc w:val="both"/>
              <w:rPr>
                <w:rFonts w:ascii="Times New Roman" w:hAnsi="Times New Roman" w:cs="Times New Roman"/>
                <w:i w:val="0"/>
                <w:iCs w:val="0"/>
                <w:sz w:val="22"/>
                <w:szCs w:val="21"/>
              </w:rPr>
            </w:pPr>
            <w:r w:rsidRPr="00F153F6">
              <w:rPr>
                <w:rFonts w:ascii="Times New Roman" w:hAnsi="Times New Roman" w:cs="Times New Roman"/>
                <w:sz w:val="22"/>
                <w:szCs w:val="21"/>
              </w:rPr>
              <w:t xml:space="preserve">Inter-connecting </w:t>
            </w:r>
          </w:p>
          <w:p w14:paraId="0CD76291" w14:textId="77777777" w:rsidR="0015201A" w:rsidRPr="00F153F6" w:rsidRDefault="0015201A" w:rsidP="004424B4">
            <w:pPr>
              <w:spacing w:line="360" w:lineRule="auto"/>
              <w:jc w:val="both"/>
              <w:rPr>
                <w:rFonts w:ascii="Times New Roman" w:hAnsi="Times New Roman" w:cs="Times New Roman"/>
                <w:sz w:val="22"/>
                <w:szCs w:val="21"/>
              </w:rPr>
            </w:pPr>
          </w:p>
        </w:tc>
        <w:tc>
          <w:tcPr>
            <w:tcW w:w="763" w:type="pct"/>
            <w:shd w:val="clear" w:color="auto" w:fill="auto"/>
          </w:tcPr>
          <w:p w14:paraId="3DED0F32"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Knowing how to cultivate relationship</w:t>
            </w:r>
          </w:p>
        </w:tc>
        <w:tc>
          <w:tcPr>
            <w:tcW w:w="995" w:type="pct"/>
            <w:shd w:val="clear" w:color="auto" w:fill="auto"/>
          </w:tcPr>
          <w:p w14:paraId="4A6CC5AF"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bookmarkStart w:id="377" w:name="OLE_LINK852"/>
            <w:bookmarkStart w:id="378" w:name="OLE_LINK853"/>
            <w:r w:rsidRPr="00F153F6">
              <w:rPr>
                <w:rFonts w:ascii="Times New Roman" w:hAnsi="Times New Roman" w:cs="Times New Roman"/>
                <w:szCs w:val="21"/>
              </w:rPr>
              <w:t>Cultivating Partnership</w:t>
            </w:r>
          </w:p>
          <w:bookmarkEnd w:id="377"/>
          <w:bookmarkEnd w:id="378"/>
          <w:p w14:paraId="49E8A038"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7C574F6B"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Connecting</w:t>
            </w:r>
          </w:p>
          <w:p w14:paraId="3C8EBC39"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4AD7B664"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Bridging</w:t>
            </w:r>
          </w:p>
          <w:p w14:paraId="507CF271"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646DCA44"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Socialising</w:t>
            </w:r>
          </w:p>
          <w:p w14:paraId="62F57E26"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c>
          <w:tcPr>
            <w:tcW w:w="1178" w:type="pct"/>
            <w:shd w:val="clear" w:color="auto" w:fill="auto"/>
          </w:tcPr>
          <w:p w14:paraId="7EF563C6"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Cross-distance Networking</w:t>
            </w:r>
          </w:p>
          <w:p w14:paraId="27019951"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036391F8"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Notifying</w:t>
            </w:r>
          </w:p>
          <w:p w14:paraId="1DE38CE5"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3DA0F0B4"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Informal Interacting</w:t>
            </w:r>
          </w:p>
        </w:tc>
        <w:tc>
          <w:tcPr>
            <w:tcW w:w="995" w:type="pct"/>
            <w:shd w:val="clear" w:color="auto" w:fill="auto"/>
          </w:tcPr>
          <w:p w14:paraId="623EF61E"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Appealing</w:t>
            </w:r>
          </w:p>
          <w:p w14:paraId="2474B6BD"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2C934255"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Accessing</w:t>
            </w:r>
          </w:p>
        </w:tc>
      </w:tr>
      <w:tr w:rsidR="005549E4" w:rsidRPr="00F153F6" w14:paraId="4A09D232" w14:textId="77777777" w:rsidTr="004314D7">
        <w:trPr>
          <w:trHeight w:val="1724"/>
        </w:trPr>
        <w:tc>
          <w:tcPr>
            <w:cnfStyle w:val="001000000000" w:firstRow="0" w:lastRow="0" w:firstColumn="1" w:lastColumn="0" w:oddVBand="0" w:evenVBand="0" w:oddHBand="0" w:evenHBand="0" w:firstRowFirstColumn="0" w:firstRowLastColumn="0" w:lastRowFirstColumn="0" w:lastRowLastColumn="0"/>
            <w:tcW w:w="1069" w:type="pct"/>
            <w:shd w:val="clear" w:color="auto" w:fill="auto"/>
          </w:tcPr>
          <w:p w14:paraId="34FF754B" w14:textId="77777777" w:rsidR="0015201A" w:rsidRPr="00F153F6" w:rsidRDefault="0015201A" w:rsidP="004424B4">
            <w:pPr>
              <w:spacing w:line="360" w:lineRule="auto"/>
              <w:jc w:val="both"/>
              <w:rPr>
                <w:rFonts w:ascii="Times New Roman" w:hAnsi="Times New Roman" w:cs="Times New Roman"/>
                <w:i w:val="0"/>
                <w:iCs w:val="0"/>
                <w:sz w:val="22"/>
                <w:szCs w:val="21"/>
              </w:rPr>
            </w:pPr>
            <w:r w:rsidRPr="00F153F6">
              <w:rPr>
                <w:rFonts w:ascii="Times New Roman" w:hAnsi="Times New Roman" w:cs="Times New Roman"/>
                <w:sz w:val="22"/>
                <w:szCs w:val="21"/>
              </w:rPr>
              <w:t>Shared Understanding</w:t>
            </w:r>
          </w:p>
          <w:p w14:paraId="47438A00" w14:textId="77777777" w:rsidR="0015201A" w:rsidRPr="00F153F6" w:rsidRDefault="0015201A" w:rsidP="004424B4">
            <w:pPr>
              <w:spacing w:line="360" w:lineRule="auto"/>
              <w:jc w:val="both"/>
              <w:rPr>
                <w:rFonts w:ascii="Times New Roman" w:hAnsi="Times New Roman" w:cs="Times New Roman"/>
                <w:sz w:val="22"/>
                <w:szCs w:val="21"/>
              </w:rPr>
            </w:pPr>
          </w:p>
        </w:tc>
        <w:tc>
          <w:tcPr>
            <w:tcW w:w="763" w:type="pct"/>
            <w:shd w:val="clear" w:color="auto" w:fill="auto"/>
          </w:tcPr>
          <w:p w14:paraId="0511EDFB"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bookmarkStart w:id="379" w:name="OLE_LINK251"/>
            <w:bookmarkStart w:id="380" w:name="OLE_LINK252"/>
            <w:r w:rsidRPr="00F153F6">
              <w:rPr>
                <w:rFonts w:ascii="Times New Roman" w:hAnsi="Times New Roman" w:cs="Times New Roman"/>
                <w:szCs w:val="21"/>
              </w:rPr>
              <w:t xml:space="preserve">Knowing how to </w:t>
            </w:r>
            <w:bookmarkEnd w:id="379"/>
            <w:bookmarkEnd w:id="380"/>
            <w:r w:rsidRPr="00F153F6">
              <w:rPr>
                <w:rFonts w:ascii="Times New Roman" w:hAnsi="Times New Roman" w:cs="Times New Roman"/>
                <w:szCs w:val="21"/>
              </w:rPr>
              <w:t>align expertise</w:t>
            </w:r>
          </w:p>
        </w:tc>
        <w:tc>
          <w:tcPr>
            <w:tcW w:w="995" w:type="pct"/>
            <w:shd w:val="clear" w:color="auto" w:fill="auto"/>
          </w:tcPr>
          <w:p w14:paraId="1BE370B5"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Onboarding</w:t>
            </w:r>
          </w:p>
          <w:p w14:paraId="7F677DE8"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4056294A"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Sharing</w:t>
            </w:r>
          </w:p>
          <w:p w14:paraId="447AC709"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3532853A"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6E2DDD8E"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c>
          <w:tcPr>
            <w:tcW w:w="1178" w:type="pct"/>
            <w:shd w:val="clear" w:color="auto" w:fill="auto"/>
          </w:tcPr>
          <w:p w14:paraId="70998878"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Showcasing</w:t>
            </w:r>
          </w:p>
          <w:p w14:paraId="4D155569"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467A73B0"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Collective Storing</w:t>
            </w:r>
          </w:p>
        </w:tc>
        <w:tc>
          <w:tcPr>
            <w:tcW w:w="995" w:type="pct"/>
            <w:shd w:val="clear" w:color="auto" w:fill="auto"/>
          </w:tcPr>
          <w:p w14:paraId="62B4F8E8"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Public Codifying</w:t>
            </w:r>
          </w:p>
          <w:p w14:paraId="53BDD18B"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341CA59A"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 xml:space="preserve">Implicit </w:t>
            </w:r>
            <w:bookmarkStart w:id="381" w:name="OLE_LINK817"/>
            <w:bookmarkStart w:id="382" w:name="OLE_LINK818"/>
            <w:r w:rsidRPr="00F153F6">
              <w:rPr>
                <w:rFonts w:ascii="Times New Roman" w:hAnsi="Times New Roman" w:cs="Times New Roman"/>
                <w:szCs w:val="21"/>
              </w:rPr>
              <w:t>Signalling</w:t>
            </w:r>
            <w:bookmarkEnd w:id="381"/>
            <w:bookmarkEnd w:id="382"/>
          </w:p>
        </w:tc>
      </w:tr>
      <w:tr w:rsidR="005549E4" w:rsidRPr="00F153F6" w14:paraId="4AEE05B7" w14:textId="77777777" w:rsidTr="004314D7">
        <w:trPr>
          <w:cnfStyle w:val="000000100000" w:firstRow="0" w:lastRow="0" w:firstColumn="0" w:lastColumn="0" w:oddVBand="0" w:evenVBand="0" w:oddHBand="1" w:evenHBand="0" w:firstRowFirstColumn="0" w:firstRowLastColumn="0" w:lastRowFirstColumn="0" w:lastRowLastColumn="0"/>
          <w:trHeight w:val="1724"/>
        </w:trPr>
        <w:tc>
          <w:tcPr>
            <w:cnfStyle w:val="001000000000" w:firstRow="0" w:lastRow="0" w:firstColumn="1" w:lastColumn="0" w:oddVBand="0" w:evenVBand="0" w:oddHBand="0" w:evenHBand="0" w:firstRowFirstColumn="0" w:firstRowLastColumn="0" w:lastRowFirstColumn="0" w:lastRowLastColumn="0"/>
            <w:tcW w:w="1069" w:type="pct"/>
            <w:shd w:val="clear" w:color="auto" w:fill="auto"/>
          </w:tcPr>
          <w:p w14:paraId="75D1AC6A" w14:textId="77777777" w:rsidR="0015201A" w:rsidRPr="00F153F6" w:rsidRDefault="0015201A" w:rsidP="004424B4">
            <w:pPr>
              <w:spacing w:line="360" w:lineRule="auto"/>
              <w:jc w:val="both"/>
              <w:rPr>
                <w:rFonts w:ascii="Times New Roman" w:hAnsi="Times New Roman" w:cs="Times New Roman"/>
                <w:i w:val="0"/>
                <w:iCs w:val="0"/>
                <w:sz w:val="22"/>
                <w:szCs w:val="21"/>
              </w:rPr>
            </w:pPr>
            <w:bookmarkStart w:id="383" w:name="OLE_LINK793"/>
            <w:bookmarkStart w:id="384" w:name="OLE_LINK794"/>
            <w:r w:rsidRPr="00F153F6">
              <w:rPr>
                <w:rFonts w:ascii="Times New Roman" w:hAnsi="Times New Roman" w:cs="Times New Roman"/>
                <w:sz w:val="22"/>
                <w:szCs w:val="21"/>
              </w:rPr>
              <w:t xml:space="preserve">Interactive </w:t>
            </w:r>
            <w:bookmarkEnd w:id="383"/>
            <w:bookmarkEnd w:id="384"/>
            <w:r w:rsidRPr="00F153F6">
              <w:rPr>
                <w:rFonts w:ascii="Times New Roman" w:hAnsi="Times New Roman" w:cs="Times New Roman"/>
                <w:sz w:val="22"/>
                <w:szCs w:val="21"/>
              </w:rPr>
              <w:t>Commenting</w:t>
            </w:r>
          </w:p>
          <w:p w14:paraId="07D06010" w14:textId="77777777" w:rsidR="0015201A" w:rsidRPr="00F153F6" w:rsidRDefault="0015201A" w:rsidP="004424B4">
            <w:pPr>
              <w:spacing w:line="360" w:lineRule="auto"/>
              <w:jc w:val="both"/>
              <w:rPr>
                <w:rFonts w:ascii="Times New Roman" w:hAnsi="Times New Roman" w:cs="Times New Roman"/>
                <w:sz w:val="22"/>
                <w:szCs w:val="21"/>
              </w:rPr>
            </w:pPr>
          </w:p>
        </w:tc>
        <w:tc>
          <w:tcPr>
            <w:tcW w:w="763" w:type="pct"/>
            <w:shd w:val="clear" w:color="auto" w:fill="auto"/>
          </w:tcPr>
          <w:p w14:paraId="6001FB89"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bookmarkStart w:id="385" w:name="OLE_LINK253"/>
            <w:bookmarkStart w:id="386" w:name="OLE_LINK254"/>
            <w:r w:rsidRPr="00F153F6">
              <w:rPr>
                <w:rFonts w:ascii="Times New Roman" w:hAnsi="Times New Roman" w:cs="Times New Roman"/>
                <w:szCs w:val="21"/>
              </w:rPr>
              <w:t xml:space="preserve">Knowing how to </w:t>
            </w:r>
            <w:bookmarkEnd w:id="385"/>
            <w:bookmarkEnd w:id="386"/>
            <w:r w:rsidRPr="00F153F6">
              <w:rPr>
                <w:rFonts w:ascii="Times New Roman" w:hAnsi="Times New Roman" w:cs="Times New Roman"/>
                <w:szCs w:val="21"/>
              </w:rPr>
              <w:t>assist peers</w:t>
            </w:r>
          </w:p>
        </w:tc>
        <w:tc>
          <w:tcPr>
            <w:tcW w:w="995" w:type="pct"/>
            <w:shd w:val="clear" w:color="auto" w:fill="auto"/>
          </w:tcPr>
          <w:p w14:paraId="471B99AD"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 xml:space="preserve">Collaborative Writing </w:t>
            </w:r>
          </w:p>
          <w:p w14:paraId="08E352B3"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13E85022"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lastRenderedPageBreak/>
              <w:t>Group Discussing</w:t>
            </w:r>
          </w:p>
          <w:p w14:paraId="5256D72E"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c>
          <w:tcPr>
            <w:tcW w:w="1178" w:type="pct"/>
            <w:shd w:val="clear" w:color="auto" w:fill="auto"/>
          </w:tcPr>
          <w:p w14:paraId="6889EDB4"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lastRenderedPageBreak/>
              <w:t>Flexibility</w:t>
            </w:r>
          </w:p>
          <w:p w14:paraId="0E71051C"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20DDBA2C"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Instant Workaround</w:t>
            </w:r>
          </w:p>
          <w:p w14:paraId="753BE9E5"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1688F413"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c>
          <w:tcPr>
            <w:tcW w:w="995" w:type="pct"/>
            <w:shd w:val="clear" w:color="auto" w:fill="auto"/>
          </w:tcPr>
          <w:p w14:paraId="1F083660"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lastRenderedPageBreak/>
              <w:t>Concentrating</w:t>
            </w:r>
          </w:p>
          <w:p w14:paraId="191AC091"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325A3D4A"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r>
      <w:tr w:rsidR="005549E4" w:rsidRPr="00F153F6" w14:paraId="02762B29" w14:textId="77777777" w:rsidTr="005549E4">
        <w:trPr>
          <w:trHeight w:val="1476"/>
        </w:trPr>
        <w:tc>
          <w:tcPr>
            <w:cnfStyle w:val="001000000000" w:firstRow="0" w:lastRow="0" w:firstColumn="1" w:lastColumn="0" w:oddVBand="0" w:evenVBand="0" w:oddHBand="0" w:evenHBand="0" w:firstRowFirstColumn="0" w:firstRowLastColumn="0" w:lastRowFirstColumn="0" w:lastRowLastColumn="0"/>
            <w:tcW w:w="1069" w:type="pct"/>
            <w:tcBorders>
              <w:bottom w:val="single" w:sz="4" w:space="0" w:color="auto"/>
            </w:tcBorders>
            <w:shd w:val="clear" w:color="auto" w:fill="auto"/>
          </w:tcPr>
          <w:p w14:paraId="285E2269" w14:textId="77777777" w:rsidR="0015201A" w:rsidRPr="00F153F6" w:rsidRDefault="0015201A" w:rsidP="004424B4">
            <w:pPr>
              <w:spacing w:line="360" w:lineRule="auto"/>
              <w:jc w:val="both"/>
              <w:rPr>
                <w:rFonts w:ascii="Times New Roman" w:hAnsi="Times New Roman" w:cs="Times New Roman"/>
                <w:sz w:val="22"/>
                <w:szCs w:val="21"/>
              </w:rPr>
            </w:pPr>
            <w:r w:rsidRPr="00F153F6">
              <w:rPr>
                <w:rFonts w:ascii="Times New Roman" w:hAnsi="Times New Roman" w:cs="Times New Roman"/>
                <w:sz w:val="22"/>
                <w:szCs w:val="21"/>
              </w:rPr>
              <w:t>Co-ordinating</w:t>
            </w:r>
          </w:p>
        </w:tc>
        <w:tc>
          <w:tcPr>
            <w:tcW w:w="763" w:type="pct"/>
            <w:tcBorders>
              <w:bottom w:val="single" w:sz="4" w:space="0" w:color="auto"/>
            </w:tcBorders>
            <w:shd w:val="clear" w:color="auto" w:fill="auto"/>
          </w:tcPr>
          <w:p w14:paraId="3E5AE352"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bookmarkStart w:id="387" w:name="OLE_LINK255"/>
            <w:bookmarkStart w:id="388" w:name="OLE_LINK256"/>
            <w:r w:rsidRPr="00F153F6">
              <w:rPr>
                <w:rFonts w:ascii="Times New Roman" w:hAnsi="Times New Roman" w:cs="Times New Roman"/>
                <w:szCs w:val="21"/>
              </w:rPr>
              <w:t xml:space="preserve">Knowing how to </w:t>
            </w:r>
            <w:bookmarkEnd w:id="387"/>
            <w:bookmarkEnd w:id="388"/>
            <w:r w:rsidRPr="00F153F6">
              <w:rPr>
                <w:rFonts w:ascii="Times New Roman" w:hAnsi="Times New Roman" w:cs="Times New Roman"/>
                <w:szCs w:val="21"/>
              </w:rPr>
              <w:t>direct performance</w:t>
            </w:r>
          </w:p>
        </w:tc>
        <w:tc>
          <w:tcPr>
            <w:tcW w:w="995" w:type="pct"/>
            <w:tcBorders>
              <w:bottom w:val="single" w:sz="4" w:space="0" w:color="auto"/>
            </w:tcBorders>
            <w:shd w:val="clear" w:color="auto" w:fill="auto"/>
          </w:tcPr>
          <w:p w14:paraId="3FCF9E13"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Controlling</w:t>
            </w:r>
          </w:p>
          <w:p w14:paraId="1AF01E37"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08C3D942"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Staffing</w:t>
            </w:r>
          </w:p>
          <w:p w14:paraId="5C727212"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2D8F061D"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 xml:space="preserve">Nudging </w:t>
            </w:r>
          </w:p>
        </w:tc>
        <w:tc>
          <w:tcPr>
            <w:tcW w:w="1178" w:type="pct"/>
            <w:tcBorders>
              <w:bottom w:val="single" w:sz="4" w:space="0" w:color="auto"/>
            </w:tcBorders>
            <w:shd w:val="clear" w:color="auto" w:fill="auto"/>
          </w:tcPr>
          <w:p w14:paraId="62EA5DC0"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Confirming</w:t>
            </w:r>
          </w:p>
          <w:p w14:paraId="541B7913"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3D009E13"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Collective Evaluating</w:t>
            </w:r>
          </w:p>
        </w:tc>
        <w:tc>
          <w:tcPr>
            <w:tcW w:w="995" w:type="pct"/>
            <w:tcBorders>
              <w:bottom w:val="single" w:sz="4" w:space="0" w:color="auto"/>
            </w:tcBorders>
            <w:shd w:val="clear" w:color="auto" w:fill="auto"/>
          </w:tcPr>
          <w:p w14:paraId="5BBD2660"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Instant Responsiveness</w:t>
            </w:r>
          </w:p>
        </w:tc>
      </w:tr>
      <w:bookmarkEnd w:id="374"/>
      <w:bookmarkEnd w:id="375"/>
      <w:bookmarkEnd w:id="376"/>
    </w:tbl>
    <w:p w14:paraId="0A628828" w14:textId="77777777" w:rsidR="0015201A" w:rsidRPr="00F153F6" w:rsidRDefault="0015201A" w:rsidP="004424B4">
      <w:pPr>
        <w:spacing w:line="360" w:lineRule="auto"/>
        <w:jc w:val="both"/>
        <w:rPr>
          <w:rFonts w:ascii="Times New Roman" w:hAnsi="Times New Roman" w:cs="Times New Roman"/>
        </w:rPr>
      </w:pPr>
    </w:p>
    <w:p w14:paraId="010E2C39" w14:textId="77777777" w:rsidR="0015201A" w:rsidRPr="00F153F6" w:rsidRDefault="0015201A" w:rsidP="004424B4">
      <w:pPr>
        <w:spacing w:line="360" w:lineRule="auto"/>
        <w:jc w:val="both"/>
        <w:rPr>
          <w:rFonts w:ascii="Times New Roman" w:hAnsi="Times New Roman" w:cs="Times New Roman"/>
        </w:rPr>
      </w:pPr>
    </w:p>
    <w:p w14:paraId="17C327F8" w14:textId="035EFE13" w:rsidR="0015201A" w:rsidRPr="00F153F6" w:rsidRDefault="0015201A" w:rsidP="00116210">
      <w:pPr>
        <w:pStyle w:val="Heading3"/>
        <w:spacing w:line="360" w:lineRule="auto"/>
        <w:ind w:left="720"/>
        <w:jc w:val="both"/>
        <w:rPr>
          <w:rFonts w:ascii="Times New Roman" w:hAnsi="Times New Roman" w:cs="Times New Roman"/>
          <w:b/>
          <w:color w:val="auto"/>
          <w:sz w:val="28"/>
          <w:szCs w:val="28"/>
        </w:rPr>
      </w:pPr>
      <w:bookmarkStart w:id="389" w:name="_Toc118371132"/>
      <w:bookmarkStart w:id="390" w:name="_Toc133252158"/>
      <w:bookmarkStart w:id="391" w:name="OLE_LINK2"/>
      <w:bookmarkStart w:id="392" w:name="OLE_LINK17"/>
      <w:bookmarkStart w:id="393" w:name="OLE_LINK1"/>
      <w:r w:rsidRPr="00F153F6">
        <w:rPr>
          <w:rFonts w:ascii="Times New Roman" w:hAnsi="Times New Roman" w:cs="Times New Roman"/>
          <w:b/>
          <w:color w:val="auto"/>
          <w:sz w:val="28"/>
          <w:szCs w:val="28"/>
        </w:rPr>
        <w:t>4.2.1. Inter-connecting and ICT</w:t>
      </w:r>
      <w:bookmarkEnd w:id="389"/>
      <w:bookmarkEnd w:id="390"/>
    </w:p>
    <w:p w14:paraId="34E11231" w14:textId="50CEB5C2" w:rsidR="0015201A" w:rsidRPr="00F153F6" w:rsidRDefault="0015201A" w:rsidP="004424B4">
      <w:pPr>
        <w:spacing w:line="360" w:lineRule="auto"/>
        <w:jc w:val="both"/>
        <w:rPr>
          <w:rFonts w:ascii="Times New Roman" w:hAnsi="Times New Roman" w:cs="Times New Roman"/>
          <w:sz w:val="24"/>
          <w:szCs w:val="24"/>
        </w:rPr>
      </w:pPr>
      <w:bookmarkStart w:id="394" w:name="OLE_LINK347"/>
      <w:bookmarkStart w:id="395" w:name="OLE_LINK348"/>
      <w:bookmarkStart w:id="396" w:name="OLE_LINK257"/>
      <w:bookmarkStart w:id="397" w:name="OLE_LINK258"/>
      <w:bookmarkStart w:id="398" w:name="OLE_LINK299"/>
      <w:bookmarkStart w:id="399" w:name="OLE_LINK300"/>
      <w:bookmarkStart w:id="400" w:name="OLE_LINK848"/>
      <w:bookmarkStart w:id="401" w:name="OLE_LINK779"/>
      <w:bookmarkStart w:id="402" w:name="OLE_LINK780"/>
      <w:bookmarkEnd w:id="391"/>
      <w:bookmarkEnd w:id="392"/>
      <w:bookmarkEnd w:id="393"/>
      <w:r w:rsidRPr="00F153F6">
        <w:rPr>
          <w:rFonts w:ascii="Times New Roman" w:hAnsi="Times New Roman" w:cs="Times New Roman"/>
          <w:sz w:val="24"/>
          <w:szCs w:val="24"/>
        </w:rPr>
        <w:t xml:space="preserve">Inter-connecting </w:t>
      </w:r>
      <w:bookmarkEnd w:id="394"/>
      <w:bookmarkEnd w:id="395"/>
      <w:r w:rsidRPr="00F153F6">
        <w:rPr>
          <w:rFonts w:ascii="Times New Roman" w:hAnsi="Times New Roman" w:cs="Times New Roman"/>
          <w:sz w:val="24"/>
          <w:szCs w:val="24"/>
        </w:rPr>
        <w:t xml:space="preserve">refers to a knowledgeability </w:t>
      </w:r>
      <w:bookmarkStart w:id="403" w:name="OLE_LINK243"/>
      <w:bookmarkStart w:id="404" w:name="OLE_LINK244"/>
      <w:r w:rsidRPr="00F153F6">
        <w:rPr>
          <w:rFonts w:ascii="Times New Roman" w:hAnsi="Times New Roman" w:cs="Times New Roman"/>
          <w:sz w:val="24"/>
          <w:szCs w:val="24"/>
        </w:rPr>
        <w:t xml:space="preserve">by which actors get inter-connected with the help of ICT to establish a network among them. </w:t>
      </w:r>
      <w:bookmarkEnd w:id="403"/>
      <w:bookmarkEnd w:id="404"/>
      <w:r w:rsidRPr="00F153F6">
        <w:rPr>
          <w:rFonts w:ascii="Times New Roman" w:hAnsi="Times New Roman" w:cs="Times New Roman"/>
          <w:sz w:val="24"/>
          <w:szCs w:val="24"/>
        </w:rPr>
        <w:t>There are four types of activities involved in this: Cultivating Partnerships; Connecting; Bridging; and Socialising.</w:t>
      </w:r>
      <w:bookmarkEnd w:id="396"/>
      <w:bookmarkEnd w:id="397"/>
      <w:r w:rsidRPr="00F153F6">
        <w:rPr>
          <w:rFonts w:ascii="Times New Roman" w:hAnsi="Times New Roman" w:cs="Times New Roman"/>
          <w:sz w:val="24"/>
          <w:szCs w:val="24"/>
        </w:rPr>
        <w:t xml:space="preserve"> During these activities, </w:t>
      </w:r>
      <w:bookmarkStart w:id="405" w:name="OLE_LINK259"/>
      <w:bookmarkStart w:id="406" w:name="OLE_LINK260"/>
      <w:r w:rsidRPr="00F153F6">
        <w:rPr>
          <w:rFonts w:ascii="Times New Roman" w:hAnsi="Times New Roman" w:cs="Times New Roman"/>
          <w:sz w:val="24"/>
          <w:szCs w:val="24"/>
        </w:rPr>
        <w:t>ICT facilitate</w:t>
      </w:r>
      <w:r w:rsidR="00FA6038" w:rsidRPr="00F153F6">
        <w:rPr>
          <w:rFonts w:ascii="Times New Roman" w:hAnsi="Times New Roman" w:cs="Times New Roman"/>
          <w:sz w:val="24"/>
          <w:szCs w:val="24"/>
        </w:rPr>
        <w:t>s</w:t>
      </w:r>
      <w:r w:rsidRPr="00F153F6">
        <w:rPr>
          <w:rFonts w:ascii="Times New Roman" w:hAnsi="Times New Roman" w:cs="Times New Roman"/>
          <w:sz w:val="24"/>
          <w:szCs w:val="24"/>
        </w:rPr>
        <w:t xml:space="preserve"> inter-connecting by </w:t>
      </w:r>
      <w:r w:rsidR="003E53BD" w:rsidRPr="00F153F6">
        <w:rPr>
          <w:rFonts w:ascii="Times New Roman" w:hAnsi="Times New Roman" w:cs="Times New Roman"/>
          <w:sz w:val="24"/>
          <w:szCs w:val="24"/>
        </w:rPr>
        <w:t>affording</w:t>
      </w:r>
      <w:r w:rsidRPr="00F153F6">
        <w:rPr>
          <w:rFonts w:ascii="Times New Roman" w:hAnsi="Times New Roman" w:cs="Times New Roman"/>
          <w:sz w:val="24"/>
          <w:szCs w:val="24"/>
        </w:rPr>
        <w:t xml:space="preserve"> actors cross-distance networking, notifying, and informal interacting abilities, which together support </w:t>
      </w:r>
      <w:bookmarkStart w:id="407" w:name="OLE_LINK245"/>
      <w:bookmarkStart w:id="408" w:name="OLE_LINK246"/>
      <w:r w:rsidRPr="00F153F6">
        <w:rPr>
          <w:rFonts w:ascii="Times New Roman" w:hAnsi="Times New Roman" w:cs="Times New Roman"/>
          <w:sz w:val="24"/>
          <w:szCs w:val="24"/>
        </w:rPr>
        <w:t>the knowledge of how to cultivate relationships with others</w:t>
      </w:r>
      <w:bookmarkEnd w:id="405"/>
      <w:bookmarkEnd w:id="406"/>
      <w:bookmarkEnd w:id="407"/>
      <w:bookmarkEnd w:id="408"/>
      <w:r w:rsidRPr="00F153F6">
        <w:rPr>
          <w:rFonts w:ascii="Times New Roman" w:hAnsi="Times New Roman" w:cs="Times New Roman"/>
          <w:sz w:val="24"/>
          <w:szCs w:val="24"/>
        </w:rPr>
        <w:t xml:space="preserve">. </w:t>
      </w:r>
      <w:bookmarkStart w:id="409" w:name="OLE_LINK261"/>
      <w:bookmarkStart w:id="410" w:name="OLE_LINK262"/>
      <w:r w:rsidRPr="00F153F6">
        <w:rPr>
          <w:rFonts w:ascii="Times New Roman" w:hAnsi="Times New Roman" w:cs="Times New Roman"/>
          <w:sz w:val="24"/>
          <w:szCs w:val="24"/>
        </w:rPr>
        <w:t>At the same time, ICT may inhibit such enactment of knowledgeability by constraining their ability to make their work appealing to prospective collaborators and counteracting simplified accessing to the group interaction.</w:t>
      </w:r>
      <w:bookmarkEnd w:id="409"/>
      <w:bookmarkEnd w:id="410"/>
      <w:r w:rsidRPr="00F153F6">
        <w:rPr>
          <w:rFonts w:ascii="Times New Roman" w:hAnsi="Times New Roman" w:cs="Times New Roman"/>
          <w:sz w:val="24"/>
          <w:szCs w:val="24"/>
        </w:rPr>
        <w:t xml:space="preserve"> Table 4.3 </w:t>
      </w:r>
      <w:bookmarkStart w:id="411" w:name="OLE_LINK761"/>
      <w:bookmarkStart w:id="412" w:name="OLE_LINK762"/>
      <w:r w:rsidRPr="00F153F6">
        <w:rPr>
          <w:rFonts w:ascii="Times New Roman" w:hAnsi="Times New Roman" w:cs="Times New Roman"/>
          <w:sz w:val="24"/>
          <w:szCs w:val="24"/>
        </w:rPr>
        <w:t>provides a summary of inter-connecting knowledgeability, its accomplished knowing in practice, activities that allow the enactment of such knowledgeability, and their explanations</w:t>
      </w:r>
      <w:bookmarkEnd w:id="411"/>
      <w:bookmarkEnd w:id="412"/>
      <w:r w:rsidRPr="00F153F6">
        <w:rPr>
          <w:rFonts w:ascii="Times New Roman" w:hAnsi="Times New Roman" w:cs="Times New Roman"/>
          <w:sz w:val="24"/>
          <w:szCs w:val="24"/>
        </w:rPr>
        <w:t>.</w:t>
      </w:r>
    </w:p>
    <w:p w14:paraId="3983A99A" w14:textId="77777777" w:rsidR="0015201A" w:rsidRPr="00F153F6" w:rsidRDefault="0015201A" w:rsidP="004424B4">
      <w:pPr>
        <w:spacing w:line="360" w:lineRule="auto"/>
        <w:jc w:val="both"/>
        <w:rPr>
          <w:rFonts w:ascii="Times New Roman" w:hAnsi="Times New Roman" w:cs="Times New Roman"/>
        </w:rPr>
      </w:pPr>
    </w:p>
    <w:p w14:paraId="27829FC3" w14:textId="6905A01E" w:rsidR="00845905" w:rsidRPr="00F153F6" w:rsidRDefault="00845905" w:rsidP="00845905">
      <w:pPr>
        <w:pStyle w:val="Caption"/>
        <w:keepNext/>
        <w:rPr>
          <w:rFonts w:ascii="Times New Roman" w:hAnsi="Times New Roman" w:cs="Times New Roman"/>
          <w:i w:val="0"/>
          <w:iCs w:val="0"/>
          <w:color w:val="auto"/>
          <w:sz w:val="22"/>
          <w:szCs w:val="22"/>
        </w:rPr>
      </w:pPr>
      <w:bookmarkStart w:id="413" w:name="_Toc119448037"/>
      <w:bookmarkEnd w:id="398"/>
      <w:bookmarkEnd w:id="399"/>
      <w:bookmarkEnd w:id="400"/>
      <w:r w:rsidRPr="00F153F6">
        <w:rPr>
          <w:rFonts w:ascii="Times New Roman" w:hAnsi="Times New Roman" w:cs="Times New Roman"/>
          <w:i w:val="0"/>
          <w:iCs w:val="0"/>
          <w:color w:val="auto"/>
          <w:sz w:val="22"/>
          <w:szCs w:val="22"/>
        </w:rPr>
        <w:t xml:space="preserve">Table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Table_4. \* ARABIC </w:instrText>
      </w:r>
      <w:r w:rsidRPr="00F153F6">
        <w:rPr>
          <w:rFonts w:ascii="Times New Roman" w:hAnsi="Times New Roman" w:cs="Times New Roman"/>
          <w:i w:val="0"/>
          <w:iCs w:val="0"/>
          <w:color w:val="auto"/>
          <w:sz w:val="22"/>
          <w:szCs w:val="22"/>
        </w:rPr>
        <w:fldChar w:fldCharType="separate"/>
      </w:r>
      <w:r w:rsidR="007148BA" w:rsidRPr="00F153F6">
        <w:rPr>
          <w:rFonts w:ascii="Times New Roman" w:hAnsi="Times New Roman" w:cs="Times New Roman"/>
          <w:i w:val="0"/>
          <w:iCs w:val="0"/>
          <w:noProof/>
          <w:color w:val="auto"/>
          <w:sz w:val="22"/>
          <w:szCs w:val="22"/>
        </w:rPr>
        <w:t>3</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Summary of the inter-connecting knowledgeability and its relevant elements</w:t>
      </w:r>
      <w:bookmarkEnd w:id="413"/>
    </w:p>
    <w:tbl>
      <w:tblPr>
        <w:tblStyle w:val="PlainTable5"/>
        <w:tblW w:w="9067" w:type="dxa"/>
        <w:tblLook w:val="04A0" w:firstRow="1" w:lastRow="0" w:firstColumn="1" w:lastColumn="0" w:noHBand="0" w:noVBand="1"/>
      </w:tblPr>
      <w:tblGrid>
        <w:gridCol w:w="2552"/>
        <w:gridCol w:w="2263"/>
        <w:gridCol w:w="4252"/>
      </w:tblGrid>
      <w:tr w:rsidR="005549E4" w:rsidRPr="00F153F6" w14:paraId="6C7C5559" w14:textId="77777777" w:rsidTr="005549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Borders>
              <w:top w:val="single" w:sz="4" w:space="0" w:color="auto"/>
            </w:tcBorders>
            <w:shd w:val="clear" w:color="auto" w:fill="auto"/>
          </w:tcPr>
          <w:p w14:paraId="22EDFE84" w14:textId="77777777" w:rsidR="0015201A" w:rsidRPr="00F153F6" w:rsidRDefault="0015201A" w:rsidP="004424B4">
            <w:pPr>
              <w:spacing w:line="360" w:lineRule="auto"/>
              <w:jc w:val="both"/>
              <w:rPr>
                <w:rFonts w:ascii="Times New Roman" w:hAnsi="Times New Roman" w:cs="Times New Roman"/>
                <w:b/>
                <w:bCs/>
                <w:sz w:val="22"/>
              </w:rPr>
            </w:pPr>
            <w:bookmarkStart w:id="414" w:name="OLE_LINK301"/>
            <w:bookmarkStart w:id="415" w:name="OLE_LINK302"/>
            <w:bookmarkStart w:id="416" w:name="OLE_LINK849"/>
            <w:r w:rsidRPr="00F153F6">
              <w:rPr>
                <w:rFonts w:ascii="Times New Roman" w:hAnsi="Times New Roman" w:cs="Times New Roman"/>
                <w:b/>
                <w:bCs/>
                <w:sz w:val="22"/>
              </w:rPr>
              <w:t>Knowledgeability</w:t>
            </w:r>
          </w:p>
        </w:tc>
        <w:tc>
          <w:tcPr>
            <w:tcW w:w="2263" w:type="dxa"/>
            <w:tcBorders>
              <w:top w:val="single" w:sz="4" w:space="0" w:color="auto"/>
            </w:tcBorders>
            <w:shd w:val="clear" w:color="auto" w:fill="auto"/>
          </w:tcPr>
          <w:p w14:paraId="1F49DD74"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Activities</w:t>
            </w:r>
          </w:p>
        </w:tc>
        <w:tc>
          <w:tcPr>
            <w:tcW w:w="4252" w:type="dxa"/>
            <w:tcBorders>
              <w:top w:val="single" w:sz="4" w:space="0" w:color="auto"/>
            </w:tcBorders>
            <w:shd w:val="clear" w:color="auto" w:fill="auto"/>
          </w:tcPr>
          <w:p w14:paraId="6FC17A43"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Explanations</w:t>
            </w:r>
          </w:p>
        </w:tc>
      </w:tr>
      <w:tr w:rsidR="005549E4" w:rsidRPr="00F153F6" w14:paraId="51EB5D78" w14:textId="77777777" w:rsidTr="004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shd w:val="clear" w:color="auto" w:fill="auto"/>
          </w:tcPr>
          <w:p w14:paraId="78E31EA8" w14:textId="77777777" w:rsidR="0015201A" w:rsidRPr="00F153F6" w:rsidRDefault="0015201A" w:rsidP="004424B4">
            <w:pPr>
              <w:spacing w:line="360" w:lineRule="auto"/>
              <w:jc w:val="both"/>
              <w:rPr>
                <w:rFonts w:ascii="Times New Roman" w:hAnsi="Times New Roman" w:cs="Times New Roman"/>
                <w:sz w:val="22"/>
              </w:rPr>
            </w:pPr>
            <w:r w:rsidRPr="00F153F6">
              <w:rPr>
                <w:rFonts w:ascii="Times New Roman" w:hAnsi="Times New Roman" w:cs="Times New Roman"/>
                <w:sz w:val="22"/>
              </w:rPr>
              <w:t xml:space="preserve">Inter-connecting </w:t>
            </w:r>
          </w:p>
          <w:p w14:paraId="3C1BFF74" w14:textId="77777777" w:rsidR="0015201A" w:rsidRPr="00F153F6" w:rsidRDefault="0015201A" w:rsidP="004424B4">
            <w:pPr>
              <w:spacing w:line="360" w:lineRule="auto"/>
              <w:jc w:val="both"/>
              <w:rPr>
                <w:rFonts w:ascii="Times New Roman" w:hAnsi="Times New Roman" w:cs="Times New Roman"/>
                <w:sz w:val="22"/>
              </w:rPr>
            </w:pPr>
          </w:p>
          <w:p w14:paraId="1923D8B0" w14:textId="77777777" w:rsidR="0015201A" w:rsidRPr="00F153F6" w:rsidRDefault="0015201A" w:rsidP="004424B4">
            <w:pPr>
              <w:spacing w:line="360" w:lineRule="auto"/>
              <w:jc w:val="both"/>
              <w:rPr>
                <w:rFonts w:ascii="Times New Roman" w:hAnsi="Times New Roman" w:cs="Times New Roman"/>
                <w:sz w:val="22"/>
              </w:rPr>
            </w:pPr>
            <w:r w:rsidRPr="00F153F6">
              <w:rPr>
                <w:rFonts w:ascii="Times New Roman" w:hAnsi="Times New Roman" w:cs="Times New Roman"/>
                <w:sz w:val="22"/>
              </w:rPr>
              <w:lastRenderedPageBreak/>
              <w:t>Explanation: Knowing how to cultivate relationship</w:t>
            </w:r>
          </w:p>
        </w:tc>
        <w:tc>
          <w:tcPr>
            <w:tcW w:w="2263" w:type="dxa"/>
            <w:shd w:val="clear" w:color="auto" w:fill="auto"/>
          </w:tcPr>
          <w:p w14:paraId="0F3C9FB9"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lastRenderedPageBreak/>
              <w:t>Cultivating Partnership</w:t>
            </w:r>
          </w:p>
        </w:tc>
        <w:tc>
          <w:tcPr>
            <w:tcW w:w="4252" w:type="dxa"/>
            <w:shd w:val="clear" w:color="auto" w:fill="auto"/>
          </w:tcPr>
          <w:p w14:paraId="23C83022"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bookmarkStart w:id="417" w:name="OLE_LINK263"/>
            <w:bookmarkStart w:id="418" w:name="OLE_LINK264"/>
            <w:r w:rsidRPr="00F153F6">
              <w:rPr>
                <w:rFonts w:ascii="Times New Roman" w:hAnsi="Times New Roman" w:cs="Times New Roman"/>
              </w:rPr>
              <w:t xml:space="preserve">Actors build initial contacts so that they are inter-connected, through which they are developing a knowledge of how to cultivate an initial relationship and make decisions about </w:t>
            </w:r>
            <w:r w:rsidRPr="00F153F6">
              <w:rPr>
                <w:rFonts w:ascii="Times New Roman" w:hAnsi="Times New Roman" w:cs="Times New Roman"/>
              </w:rPr>
              <w:lastRenderedPageBreak/>
              <w:t>whether they want to get involved or not.</w:t>
            </w:r>
            <w:bookmarkEnd w:id="417"/>
            <w:bookmarkEnd w:id="418"/>
          </w:p>
        </w:tc>
      </w:tr>
      <w:bookmarkEnd w:id="401"/>
      <w:bookmarkEnd w:id="402"/>
      <w:tr w:rsidR="005549E4" w:rsidRPr="00F153F6" w14:paraId="0B0C2F75" w14:textId="77777777" w:rsidTr="004314D7">
        <w:tc>
          <w:tcPr>
            <w:cnfStyle w:val="001000000000" w:firstRow="0" w:lastRow="0" w:firstColumn="1" w:lastColumn="0" w:oddVBand="0" w:evenVBand="0" w:oddHBand="0" w:evenHBand="0" w:firstRowFirstColumn="0" w:firstRowLastColumn="0" w:lastRowFirstColumn="0" w:lastRowLastColumn="0"/>
            <w:tcW w:w="2552" w:type="dxa"/>
            <w:vMerge/>
            <w:shd w:val="clear" w:color="auto" w:fill="auto"/>
          </w:tcPr>
          <w:p w14:paraId="4D6DAB9F" w14:textId="77777777" w:rsidR="0015201A" w:rsidRPr="00F153F6" w:rsidRDefault="0015201A" w:rsidP="004424B4">
            <w:pPr>
              <w:spacing w:line="360" w:lineRule="auto"/>
              <w:jc w:val="both"/>
              <w:rPr>
                <w:rFonts w:ascii="Times New Roman" w:hAnsi="Times New Roman" w:cs="Times New Roman"/>
                <w:sz w:val="22"/>
              </w:rPr>
            </w:pPr>
          </w:p>
        </w:tc>
        <w:tc>
          <w:tcPr>
            <w:tcW w:w="2263" w:type="dxa"/>
            <w:shd w:val="clear" w:color="auto" w:fill="auto"/>
          </w:tcPr>
          <w:p w14:paraId="035DC33D"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Connecting</w:t>
            </w:r>
          </w:p>
        </w:tc>
        <w:tc>
          <w:tcPr>
            <w:tcW w:w="4252" w:type="dxa"/>
            <w:shd w:val="clear" w:color="auto" w:fill="auto"/>
          </w:tcPr>
          <w:p w14:paraId="3F17B1C9"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bookmarkStart w:id="419" w:name="OLE_LINK265"/>
            <w:bookmarkStart w:id="420" w:name="OLE_LINK266"/>
            <w:r w:rsidRPr="00F153F6">
              <w:rPr>
                <w:rFonts w:ascii="Times New Roman" w:hAnsi="Times New Roman" w:cs="Times New Roman"/>
              </w:rPr>
              <w:t xml:space="preserve">Actors approach each other and are connected to interact in order to achieve work-related goals. </w:t>
            </w:r>
            <w:bookmarkEnd w:id="419"/>
            <w:bookmarkEnd w:id="420"/>
            <w:r w:rsidRPr="00F153F6">
              <w:rPr>
                <w:rFonts w:ascii="Times New Roman" w:hAnsi="Times New Roman" w:cs="Times New Roman"/>
              </w:rPr>
              <w:t xml:space="preserve">The connecting activity indicate how actors become inter-connected and develop their knowledge on how to cultivate a workplace goal-oriented relationship. </w:t>
            </w:r>
          </w:p>
        </w:tc>
      </w:tr>
      <w:tr w:rsidR="005549E4" w:rsidRPr="00F153F6" w14:paraId="211F0FB9" w14:textId="77777777" w:rsidTr="004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shd w:val="clear" w:color="auto" w:fill="auto"/>
          </w:tcPr>
          <w:p w14:paraId="6D856142" w14:textId="77777777" w:rsidR="0015201A" w:rsidRPr="00F153F6" w:rsidRDefault="0015201A" w:rsidP="004424B4">
            <w:pPr>
              <w:spacing w:line="360" w:lineRule="auto"/>
              <w:jc w:val="both"/>
              <w:rPr>
                <w:rFonts w:ascii="Times New Roman" w:hAnsi="Times New Roman" w:cs="Times New Roman"/>
                <w:sz w:val="22"/>
              </w:rPr>
            </w:pPr>
          </w:p>
        </w:tc>
        <w:tc>
          <w:tcPr>
            <w:tcW w:w="2263" w:type="dxa"/>
            <w:shd w:val="clear" w:color="auto" w:fill="auto"/>
          </w:tcPr>
          <w:p w14:paraId="30F1254D"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Bridging</w:t>
            </w:r>
          </w:p>
        </w:tc>
        <w:tc>
          <w:tcPr>
            <w:tcW w:w="4252" w:type="dxa"/>
            <w:shd w:val="clear" w:color="auto" w:fill="auto"/>
          </w:tcPr>
          <w:p w14:paraId="2E30CC6C"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bookmarkStart w:id="421" w:name="OLE_LINK267"/>
            <w:bookmarkStart w:id="422" w:name="OLE_LINK268"/>
            <w:r w:rsidRPr="00F153F6">
              <w:rPr>
                <w:rFonts w:ascii="Times New Roman" w:hAnsi="Times New Roman" w:cs="Times New Roman"/>
              </w:rPr>
              <w:t xml:space="preserve">One or more actors work with individuals and groups of actors to bridge their different backgrounds. With the support of these actors, actors of different backgrounds are able to understand each other and connect with each other more effectively. </w:t>
            </w:r>
            <w:bookmarkEnd w:id="421"/>
            <w:bookmarkEnd w:id="422"/>
            <w:r w:rsidRPr="00F153F6">
              <w:rPr>
                <w:rFonts w:ascii="Times New Roman" w:hAnsi="Times New Roman" w:cs="Times New Roman"/>
              </w:rPr>
              <w:t>This, in turn, allows them to develop a knowledge of how to cultivate a relationship with the involvement and help of a third-party.</w:t>
            </w:r>
          </w:p>
        </w:tc>
      </w:tr>
      <w:tr w:rsidR="005549E4" w:rsidRPr="00F153F6" w14:paraId="457C740C" w14:textId="77777777" w:rsidTr="005549E4">
        <w:tc>
          <w:tcPr>
            <w:cnfStyle w:val="001000000000" w:firstRow="0" w:lastRow="0" w:firstColumn="1" w:lastColumn="0" w:oddVBand="0" w:evenVBand="0" w:oddHBand="0" w:evenHBand="0" w:firstRowFirstColumn="0" w:firstRowLastColumn="0" w:lastRowFirstColumn="0" w:lastRowLastColumn="0"/>
            <w:tcW w:w="2552" w:type="dxa"/>
            <w:vMerge/>
            <w:tcBorders>
              <w:bottom w:val="single" w:sz="4" w:space="0" w:color="auto"/>
            </w:tcBorders>
            <w:shd w:val="clear" w:color="auto" w:fill="auto"/>
          </w:tcPr>
          <w:p w14:paraId="3FAAE06F" w14:textId="77777777" w:rsidR="0015201A" w:rsidRPr="00F153F6" w:rsidRDefault="0015201A" w:rsidP="004424B4">
            <w:pPr>
              <w:spacing w:line="360" w:lineRule="auto"/>
              <w:jc w:val="both"/>
              <w:rPr>
                <w:rFonts w:ascii="Times New Roman" w:hAnsi="Times New Roman" w:cs="Times New Roman"/>
                <w:sz w:val="22"/>
              </w:rPr>
            </w:pPr>
          </w:p>
        </w:tc>
        <w:tc>
          <w:tcPr>
            <w:tcW w:w="2263" w:type="dxa"/>
            <w:tcBorders>
              <w:bottom w:val="single" w:sz="4" w:space="0" w:color="auto"/>
            </w:tcBorders>
            <w:shd w:val="clear" w:color="auto" w:fill="auto"/>
          </w:tcPr>
          <w:p w14:paraId="1970CCF5"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Socialising</w:t>
            </w:r>
          </w:p>
        </w:tc>
        <w:tc>
          <w:tcPr>
            <w:tcW w:w="4252" w:type="dxa"/>
            <w:tcBorders>
              <w:bottom w:val="single" w:sz="4" w:space="0" w:color="auto"/>
            </w:tcBorders>
            <w:shd w:val="clear" w:color="auto" w:fill="auto"/>
          </w:tcPr>
          <w:p w14:paraId="17738330" w14:textId="6BD210F1"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bookmarkStart w:id="423" w:name="OLE_LINK269"/>
            <w:bookmarkStart w:id="424" w:name="OLE_LINK270"/>
            <w:r w:rsidRPr="00F153F6">
              <w:rPr>
                <w:rFonts w:ascii="Times New Roman" w:hAnsi="Times New Roman" w:cs="Times New Roman"/>
              </w:rPr>
              <w:t>Actors get together and chat informally for some social goals (</w:t>
            </w:r>
            <w:r w:rsidR="009C3760" w:rsidRPr="00F153F6">
              <w:rPr>
                <w:rFonts w:ascii="Times New Roman" w:hAnsi="Times New Roman" w:cs="Times New Roman"/>
              </w:rPr>
              <w:t>i.e.,</w:t>
            </w:r>
            <w:r w:rsidRPr="00F153F6">
              <w:rPr>
                <w:rFonts w:ascii="Times New Roman" w:hAnsi="Times New Roman" w:cs="Times New Roman"/>
              </w:rPr>
              <w:t xml:space="preserve"> non-work-related goals) and thus develop informal communication.</w:t>
            </w:r>
            <w:bookmarkEnd w:id="423"/>
            <w:bookmarkEnd w:id="424"/>
            <w:r w:rsidRPr="00F153F6">
              <w:rPr>
                <w:rFonts w:ascii="Times New Roman" w:hAnsi="Times New Roman" w:cs="Times New Roman"/>
              </w:rPr>
              <w:t xml:space="preserve"> This allows them to develop their knowledge on how to cultivate a social and informal relationship during the project.</w:t>
            </w:r>
          </w:p>
        </w:tc>
      </w:tr>
      <w:bookmarkEnd w:id="414"/>
      <w:bookmarkEnd w:id="415"/>
      <w:bookmarkEnd w:id="416"/>
    </w:tbl>
    <w:p w14:paraId="527CBF42" w14:textId="77777777" w:rsidR="0015201A" w:rsidRPr="00F153F6" w:rsidRDefault="0015201A" w:rsidP="004424B4">
      <w:pPr>
        <w:spacing w:line="360" w:lineRule="auto"/>
        <w:jc w:val="both"/>
        <w:rPr>
          <w:rFonts w:ascii="Times New Roman" w:hAnsi="Times New Roman" w:cs="Times New Roman"/>
        </w:rPr>
      </w:pPr>
    </w:p>
    <w:p w14:paraId="16C22B15" w14:textId="77777777" w:rsidR="0015201A" w:rsidRPr="00F153F6" w:rsidRDefault="0015201A" w:rsidP="004424B4">
      <w:pPr>
        <w:spacing w:line="360" w:lineRule="auto"/>
        <w:jc w:val="both"/>
        <w:rPr>
          <w:rFonts w:ascii="Times New Roman" w:hAnsi="Times New Roman" w:cs="Times New Roman"/>
        </w:rPr>
      </w:pPr>
    </w:p>
    <w:p w14:paraId="31FB91E2" w14:textId="77777777" w:rsidR="0015201A" w:rsidRPr="00F153F6" w:rsidRDefault="0015201A" w:rsidP="004424B4">
      <w:pPr>
        <w:spacing w:line="360" w:lineRule="auto"/>
        <w:jc w:val="both"/>
        <w:rPr>
          <w:rFonts w:ascii="Times New Roman" w:hAnsi="Times New Roman" w:cs="Times New Roman"/>
          <w:sz w:val="24"/>
          <w:szCs w:val="24"/>
        </w:rPr>
      </w:pPr>
      <w:bookmarkStart w:id="425" w:name="OLE_LINK854"/>
      <w:bookmarkStart w:id="426" w:name="OLE_LINK855"/>
      <w:r w:rsidRPr="00F153F6">
        <w:rPr>
          <w:rFonts w:ascii="Times New Roman" w:hAnsi="Times New Roman" w:cs="Times New Roman"/>
          <w:b/>
          <w:bCs/>
          <w:sz w:val="24"/>
          <w:szCs w:val="24"/>
        </w:rPr>
        <w:t>Cultivating Partnership:</w:t>
      </w:r>
    </w:p>
    <w:p w14:paraId="0DB51377" w14:textId="3DCAD639" w:rsidR="0015201A" w:rsidRPr="00F153F6" w:rsidRDefault="0015201A" w:rsidP="004424B4">
      <w:pPr>
        <w:spacing w:line="360" w:lineRule="auto"/>
        <w:jc w:val="both"/>
        <w:rPr>
          <w:rFonts w:ascii="Times New Roman" w:hAnsi="Times New Roman" w:cs="Times New Roman"/>
          <w:sz w:val="24"/>
          <w:szCs w:val="24"/>
        </w:rPr>
      </w:pPr>
      <w:bookmarkStart w:id="427" w:name="OLE_LINK271"/>
      <w:bookmarkStart w:id="428" w:name="OLE_LINK272"/>
      <w:r w:rsidRPr="00F153F6">
        <w:rPr>
          <w:rFonts w:ascii="Times New Roman" w:hAnsi="Times New Roman" w:cs="Times New Roman"/>
          <w:sz w:val="24"/>
          <w:szCs w:val="24"/>
        </w:rPr>
        <w:t xml:space="preserve">Actors establish initial contacts to build up initial relationships such as project partnerships by cultivating activities such as approaching new partners. For example, Living Lab actors at the inception stage usually need to reach out to new partners and include them in the partnership, so that they can acquire new insights or resources from these new partners and their organisations. </w:t>
      </w:r>
      <w:bookmarkEnd w:id="427"/>
      <w:bookmarkEnd w:id="428"/>
      <w:r w:rsidRPr="00F153F6">
        <w:rPr>
          <w:rFonts w:ascii="Times New Roman" w:hAnsi="Times New Roman" w:cs="Times New Roman"/>
          <w:sz w:val="24"/>
          <w:szCs w:val="24"/>
        </w:rPr>
        <w:t xml:space="preserve">When actors engage in cultivating partnership activities they negotiate and exchange information in order to decide whether they want to build this new partnership or not. </w:t>
      </w:r>
      <w:bookmarkEnd w:id="425"/>
      <w:bookmarkEnd w:id="426"/>
      <w:r w:rsidRPr="00F153F6">
        <w:rPr>
          <w:rFonts w:ascii="Times New Roman" w:hAnsi="Times New Roman" w:cs="Times New Roman"/>
          <w:sz w:val="24"/>
          <w:szCs w:val="24"/>
        </w:rPr>
        <w:t>As two interviewees note:</w:t>
      </w:r>
    </w:p>
    <w:p w14:paraId="1CF5A0AE" w14:textId="6E95B187" w:rsidR="0015201A" w:rsidRPr="00F153F6" w:rsidRDefault="0015201A" w:rsidP="004424B4">
      <w:pPr>
        <w:spacing w:line="360" w:lineRule="auto"/>
        <w:ind w:left="360"/>
        <w:jc w:val="both"/>
        <w:rPr>
          <w:rFonts w:ascii="Times New Roman" w:hAnsi="Times New Roman" w:cs="Times New Roman"/>
          <w:sz w:val="24"/>
          <w:szCs w:val="24"/>
        </w:rPr>
      </w:pPr>
      <w:bookmarkStart w:id="429" w:name="OLE_LINK273"/>
      <w:bookmarkStart w:id="430" w:name="OLE_LINK274"/>
      <w:bookmarkStart w:id="431" w:name="OLE_LINK277"/>
      <w:r w:rsidRPr="00F153F6">
        <w:rPr>
          <w:rFonts w:ascii="Times New Roman" w:hAnsi="Times New Roman" w:cs="Times New Roman"/>
          <w:i/>
          <w:iCs/>
          <w:sz w:val="24"/>
          <w:szCs w:val="24"/>
        </w:rPr>
        <w:lastRenderedPageBreak/>
        <w:t>“What we do is like establishing and connecting the networks. And at the end, building a trusted community among the stakeholders…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 xml:space="preserve">I think that is especially relevant now, because of Covid-19 in this and last year, it is like more important to have an information system to establish </w:t>
      </w:r>
      <w:r w:rsidRPr="00F153F6">
        <w:rPr>
          <w:rFonts w:ascii="Times New Roman" w:hAnsi="Times New Roman" w:cs="Times New Roman"/>
          <w:sz w:val="24"/>
          <w:szCs w:val="24"/>
        </w:rPr>
        <w:t>[contacts]</w:t>
      </w:r>
      <w:r w:rsidRPr="00F153F6">
        <w:rPr>
          <w:rFonts w:ascii="Times New Roman" w:hAnsi="Times New Roman" w:cs="Times New Roman"/>
          <w:i/>
          <w:iCs/>
          <w:sz w:val="24"/>
          <w:szCs w:val="24"/>
        </w:rPr>
        <w:t xml:space="preserve"> with the stakeholders… We usually use e-mail to establish the first contact with the partners and the public service in each of the cities and so on, and therefore they appear in our network, and they’re stakeholders.” (Project A1, Participant 3, Para. 5)</w:t>
      </w:r>
      <w:bookmarkEnd w:id="429"/>
      <w:bookmarkEnd w:id="430"/>
      <w:bookmarkEnd w:id="431"/>
    </w:p>
    <w:p w14:paraId="2CE3C7E3" w14:textId="011927F9" w:rsidR="0015201A" w:rsidRPr="00F153F6" w:rsidRDefault="0015201A" w:rsidP="007148BA">
      <w:pPr>
        <w:spacing w:line="360" w:lineRule="auto"/>
        <w:ind w:left="360"/>
        <w:jc w:val="both"/>
        <w:rPr>
          <w:rFonts w:ascii="Times New Roman" w:hAnsi="Times New Roman" w:cs="Times New Roman"/>
          <w:sz w:val="24"/>
          <w:szCs w:val="24"/>
        </w:rPr>
      </w:pPr>
      <w:bookmarkStart w:id="432" w:name="OLE_LINK275"/>
      <w:bookmarkStart w:id="433" w:name="OLE_LINK276"/>
      <w:r w:rsidRPr="00F153F6">
        <w:rPr>
          <w:rFonts w:ascii="Times New Roman" w:hAnsi="Times New Roman" w:cs="Times New Roman"/>
          <w:i/>
          <w:iCs/>
          <w:sz w:val="24"/>
          <w:szCs w:val="24"/>
        </w:rPr>
        <w:t>“We try to find the right balance between involving technical partners and understanding how they could be interested in participating in this project through Technical Information and challenging questions on the technical side. So, we communicated a lot in emails when we start involving them into our partnership. We primarily use email as the official communication channel for approaching partners from other cities or places. And there has been some efforts in using, like, direct messaging but they didn’t provide successful communication. Because usually we need to provide a lot of substantial or background information to attract partners and pose our questions, but social media with its direct messaging services, I’m sure, are not strong enough in supporting that.” (Project A1, Participant 2, Para. 43)</w:t>
      </w:r>
      <w:bookmarkEnd w:id="432"/>
      <w:bookmarkEnd w:id="433"/>
    </w:p>
    <w:p w14:paraId="3978240F" w14:textId="630444CC"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above examples indicate how actors involved in inter-organisational collaboration at the inception stage strive to establish initial relationships with new partners via ICT. In the first example, actors from project A1 built new relationships with the goal to shape a trust-based community, which indicates that trust is an important component for the inter-organisational context. ICT, such as emails, are required to facilitate these cultivating activities, particularly when there is a crisis within the environmental context such as the constraints imposed by the Covid-19 pandemic, which entailed social distancing and inhibited face-to-face contact. Emails though may also be required because often actors are </w:t>
      </w:r>
      <w:bookmarkStart w:id="434" w:name="OLE_LINK278"/>
      <w:bookmarkStart w:id="435" w:name="OLE_LINK279"/>
      <w:r w:rsidRPr="00F153F6">
        <w:rPr>
          <w:rFonts w:ascii="Times New Roman" w:hAnsi="Times New Roman" w:cs="Times New Roman"/>
          <w:sz w:val="24"/>
          <w:szCs w:val="24"/>
        </w:rPr>
        <w:t>geographically distributed</w:t>
      </w:r>
      <w:bookmarkEnd w:id="434"/>
      <w:bookmarkEnd w:id="435"/>
      <w:r w:rsidRPr="00F153F6">
        <w:rPr>
          <w:rFonts w:ascii="Times New Roman" w:hAnsi="Times New Roman" w:cs="Times New Roman"/>
          <w:sz w:val="24"/>
          <w:szCs w:val="24"/>
        </w:rPr>
        <w:t xml:space="preserve">. These factors (inter-organisational trust, distance, environmental crisis) indicate how the inter-organisational and environmental contexts work together to shape and influence a mutual trust-based and cross-distance Living Lab context. </w:t>
      </w:r>
      <w:bookmarkStart w:id="436" w:name="OLE_LINK280"/>
      <w:bookmarkStart w:id="437" w:name="OLE_LINK281"/>
      <w:r w:rsidRPr="00F153F6">
        <w:rPr>
          <w:rFonts w:ascii="Times New Roman" w:hAnsi="Times New Roman" w:cs="Times New Roman"/>
          <w:sz w:val="24"/>
          <w:szCs w:val="24"/>
        </w:rPr>
        <w:t xml:space="preserve">ICT </w:t>
      </w:r>
      <w:r w:rsidR="00FA6038" w:rsidRPr="00F153F6">
        <w:rPr>
          <w:rFonts w:ascii="Times New Roman" w:hAnsi="Times New Roman" w:cs="Times New Roman"/>
          <w:sz w:val="24"/>
          <w:szCs w:val="24"/>
        </w:rPr>
        <w:t>is</w:t>
      </w:r>
      <w:r w:rsidRPr="00F153F6">
        <w:rPr>
          <w:rFonts w:ascii="Times New Roman" w:hAnsi="Times New Roman" w:cs="Times New Roman"/>
          <w:sz w:val="24"/>
          <w:szCs w:val="24"/>
        </w:rPr>
        <w:t xml:space="preserve"> employed here to bring actors together irrespective of their geographical distance and other constraints by </w:t>
      </w:r>
      <w:r w:rsidR="003E53BD" w:rsidRPr="00F153F6">
        <w:rPr>
          <w:rFonts w:ascii="Times New Roman" w:hAnsi="Times New Roman" w:cs="Times New Roman"/>
          <w:sz w:val="24"/>
          <w:szCs w:val="24"/>
        </w:rPr>
        <w:t>affording</w:t>
      </w:r>
      <w:r w:rsidRPr="00F153F6">
        <w:rPr>
          <w:rFonts w:ascii="Times New Roman" w:hAnsi="Times New Roman" w:cs="Times New Roman"/>
          <w:sz w:val="24"/>
          <w:szCs w:val="24"/>
        </w:rPr>
        <w:t xml:space="preserve"> them a cross-distance networking ability, so that actors can cultivate an initial relationship, such as a project partnership within Living Lab, </w:t>
      </w:r>
      <w:bookmarkStart w:id="438" w:name="OLE_LINK282"/>
      <w:bookmarkStart w:id="439" w:name="OLE_LINK283"/>
      <w:bookmarkEnd w:id="436"/>
      <w:bookmarkEnd w:id="437"/>
      <w:r w:rsidRPr="00F153F6">
        <w:rPr>
          <w:rFonts w:ascii="Times New Roman" w:hAnsi="Times New Roman" w:cs="Times New Roman"/>
          <w:sz w:val="24"/>
          <w:szCs w:val="24"/>
        </w:rPr>
        <w:t>regardless of constraints</w:t>
      </w:r>
      <w:bookmarkEnd w:id="438"/>
      <w:bookmarkEnd w:id="439"/>
      <w:r w:rsidRPr="00F153F6">
        <w:rPr>
          <w:rFonts w:ascii="Times New Roman" w:hAnsi="Times New Roman" w:cs="Times New Roman"/>
          <w:sz w:val="24"/>
          <w:szCs w:val="24"/>
        </w:rPr>
        <w:t>. Drawing from the second example, actors need to consider new collaborators’ (</w:t>
      </w:r>
      <w:r w:rsidR="009C3760" w:rsidRPr="00F153F6">
        <w:rPr>
          <w:rFonts w:ascii="Times New Roman" w:hAnsi="Times New Roman" w:cs="Times New Roman"/>
          <w:sz w:val="24"/>
          <w:szCs w:val="24"/>
        </w:rPr>
        <w:t>e.g.,</w:t>
      </w:r>
      <w:r w:rsidRPr="00F153F6">
        <w:rPr>
          <w:rFonts w:ascii="Times New Roman" w:hAnsi="Times New Roman" w:cs="Times New Roman"/>
          <w:sz w:val="24"/>
          <w:szCs w:val="24"/>
        </w:rPr>
        <w:t xml:space="preserve"> technical partners) intrinsic motivations for participating in the Living Lab project. They need to provide rich information (such as a </w:t>
      </w:r>
      <w:r w:rsidRPr="00F153F6">
        <w:rPr>
          <w:rFonts w:ascii="Times New Roman" w:hAnsi="Times New Roman" w:cs="Times New Roman"/>
          <w:sz w:val="24"/>
          <w:szCs w:val="24"/>
        </w:rPr>
        <w:lastRenderedPageBreak/>
        <w:t>detailed background to the project) so that the collaboration is appealing and that they can attract new collaborators. Emails are perceived to provide cross-distance networking abilities by helping actors reach out to new collaborators from other locations and cultivate new networks; as such they are extensively used. In addition to email, actors may use alternative means for communication, such as social media, and have made use of them for facilitating the cultivation of relationship activities, because social media are also perceived to provide cross-distance networking abilities. However, social media are not considered to be as effective at communicating information, which is why their use may be discontinued as shown in the example above. This shows that actors prefer to use technologies that afford them multiple activities instead of only a few in their ICT-based IOKE practice.</w:t>
      </w:r>
    </w:p>
    <w:p w14:paraId="510C300F" w14:textId="77777777" w:rsidR="0015201A" w:rsidRPr="00F153F6" w:rsidRDefault="0015201A" w:rsidP="004424B4">
      <w:pPr>
        <w:spacing w:line="360" w:lineRule="auto"/>
        <w:jc w:val="both"/>
        <w:rPr>
          <w:rFonts w:ascii="Times New Roman" w:hAnsi="Times New Roman" w:cs="Times New Roman"/>
          <w:sz w:val="24"/>
          <w:szCs w:val="24"/>
        </w:rPr>
      </w:pPr>
    </w:p>
    <w:p w14:paraId="5B9C9CC5" w14:textId="77777777"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b/>
          <w:bCs/>
          <w:sz w:val="24"/>
          <w:szCs w:val="24"/>
        </w:rPr>
        <w:t>Connecting:</w:t>
      </w:r>
    </w:p>
    <w:p w14:paraId="34D1858C" w14:textId="3B3579B9"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Connecting refers to the activities through which actors are assembled together to establish project-based and goal-oriented relationships with each other. For example, actors in a project usually need to meet up with each other to discuss project activities. In connecting activities, actors use ICT to contact each other for specific work-related purposes, thus allowing them to establish their workplace relationships. The use of ICT such as Google chat or calendar allow actors to inform each other about activities, i.e. ICT allow</w:t>
      </w:r>
      <w:r w:rsidR="00FA6038" w:rsidRPr="00F153F6">
        <w:rPr>
          <w:rFonts w:ascii="Times New Roman" w:hAnsi="Times New Roman" w:cs="Times New Roman"/>
          <w:sz w:val="24"/>
          <w:szCs w:val="24"/>
        </w:rPr>
        <w:t>s</w:t>
      </w:r>
      <w:r w:rsidRPr="00F153F6">
        <w:rPr>
          <w:rFonts w:ascii="Times New Roman" w:hAnsi="Times New Roman" w:cs="Times New Roman"/>
          <w:sz w:val="24"/>
          <w:szCs w:val="24"/>
        </w:rPr>
        <w:t xml:space="preserve"> actors to notify each other. As two interviewees note:</w:t>
      </w:r>
    </w:p>
    <w:p w14:paraId="64FD2EC3" w14:textId="5FD7D28A" w:rsidR="0015201A" w:rsidRPr="00F153F6" w:rsidRDefault="0015201A" w:rsidP="004424B4">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“We have used Google Chat that is part of the email. That can be informal and really useful if I need to ask something really quickly, something small. I can try if this person is available.… or like, if there’s something you need to ask really quickly, then just type a message to them, like “Hey, do you have this and this”. So, it’s quite fast. But before the Covid 19, we never used Google chat like that.” (Project A1, Participant 1, Para. 71)</w:t>
      </w:r>
    </w:p>
    <w:p w14:paraId="44415A30" w14:textId="787D7C5E"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“For the meetings, we are using a calendar. Just a simple calendar, send the invitation. So, when I schedule an email, send an invitation with the calendar, so everyone has the information, get informed on their own calendar, it is there automatically.” (Project A1, Participant 4, Para. 69)</w:t>
      </w:r>
    </w:p>
    <w:p w14:paraId="1A2DB8A2" w14:textId="2EC98AA2"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Actors in the inter-organisational collaboration workplace usually need to connect with others for goal-oriented discussions such as project work related discussions. These communications </w:t>
      </w:r>
      <w:r w:rsidRPr="00F153F6">
        <w:rPr>
          <w:rFonts w:ascii="Times New Roman" w:hAnsi="Times New Roman" w:cs="Times New Roman"/>
          <w:sz w:val="24"/>
          <w:szCs w:val="24"/>
        </w:rPr>
        <w:lastRenderedPageBreak/>
        <w:t xml:space="preserve">could take place as actors meet-up or engage in some quick catch-up way as in the incident described above, </w:t>
      </w:r>
      <w:r w:rsidR="009C3760" w:rsidRPr="00F153F6">
        <w:rPr>
          <w:rFonts w:ascii="Times New Roman" w:hAnsi="Times New Roman" w:cs="Times New Roman"/>
          <w:sz w:val="24"/>
          <w:szCs w:val="24"/>
        </w:rPr>
        <w:t>i.e.,</w:t>
      </w:r>
      <w:r w:rsidRPr="00F153F6">
        <w:rPr>
          <w:rFonts w:ascii="Times New Roman" w:hAnsi="Times New Roman" w:cs="Times New Roman"/>
          <w:sz w:val="24"/>
          <w:szCs w:val="24"/>
        </w:rPr>
        <w:t xml:space="preserve"> transient connections, which are accomplished with the use of ICT such as Google chat or calendar. Therefore, the use of these ICT can inform actors about the connection whereby actors get notified and decide if they can and want to get in touch or not. Thus, ICT provide</w:t>
      </w:r>
      <w:r w:rsidR="00FA6038" w:rsidRPr="00F153F6">
        <w:rPr>
          <w:rFonts w:ascii="Times New Roman" w:hAnsi="Times New Roman" w:cs="Times New Roman"/>
          <w:sz w:val="24"/>
          <w:szCs w:val="24"/>
        </w:rPr>
        <w:t>s</w:t>
      </w:r>
      <w:r w:rsidRPr="00F153F6">
        <w:rPr>
          <w:rFonts w:ascii="Times New Roman" w:hAnsi="Times New Roman" w:cs="Times New Roman"/>
          <w:sz w:val="24"/>
          <w:szCs w:val="24"/>
        </w:rPr>
        <w:t xml:space="preserve"> actors with the notifying ability which helps to facilitate the enactment of inter-connecting knowledgeability during connecting activities. However, these activities usually entail some difficulty because actors have their own work patterns or personal circumstances; thus, they may not be available to connect as required. Actors involved in inter-organisational collaboration usually </w:t>
      </w:r>
      <w:r w:rsidR="00497166" w:rsidRPr="00F153F6">
        <w:rPr>
          <w:rFonts w:ascii="Times New Roman" w:hAnsi="Times New Roman" w:cs="Times New Roman"/>
          <w:sz w:val="24"/>
          <w:szCs w:val="24"/>
        </w:rPr>
        <w:t>show</w:t>
      </w:r>
      <w:r w:rsidRPr="00F153F6">
        <w:rPr>
          <w:rFonts w:ascii="Times New Roman" w:hAnsi="Times New Roman" w:cs="Times New Roman"/>
          <w:sz w:val="24"/>
          <w:szCs w:val="24"/>
        </w:rPr>
        <w:t xml:space="preserve"> respect </w:t>
      </w:r>
      <w:r w:rsidR="00497166" w:rsidRPr="00F153F6">
        <w:rPr>
          <w:rFonts w:ascii="Times New Roman" w:hAnsi="Times New Roman" w:cs="Times New Roman"/>
          <w:sz w:val="24"/>
          <w:szCs w:val="24"/>
        </w:rPr>
        <w:t>to</w:t>
      </w:r>
      <w:r w:rsidRPr="00F153F6">
        <w:rPr>
          <w:rFonts w:ascii="Times New Roman" w:hAnsi="Times New Roman" w:cs="Times New Roman"/>
          <w:sz w:val="24"/>
          <w:szCs w:val="24"/>
        </w:rPr>
        <w:t xml:space="preserve"> each other’s </w:t>
      </w:r>
      <w:r w:rsidR="00497166" w:rsidRPr="00F153F6">
        <w:rPr>
          <w:rFonts w:ascii="Times New Roman" w:hAnsi="Times New Roman" w:cs="Times New Roman"/>
          <w:sz w:val="24"/>
          <w:szCs w:val="24"/>
        </w:rPr>
        <w:t>availability (check their available slots</w:t>
      </w:r>
      <w:r w:rsidRPr="00F153F6">
        <w:rPr>
          <w:rFonts w:ascii="Times New Roman" w:hAnsi="Times New Roman" w:cs="Times New Roman"/>
          <w:sz w:val="24"/>
          <w:szCs w:val="24"/>
        </w:rPr>
        <w:t xml:space="preserve"> in advance</w:t>
      </w:r>
      <w:r w:rsidR="00497166" w:rsidRPr="00F153F6">
        <w:rPr>
          <w:rFonts w:ascii="Times New Roman" w:hAnsi="Times New Roman" w:cs="Times New Roman"/>
          <w:sz w:val="24"/>
          <w:szCs w:val="24"/>
        </w:rPr>
        <w:t>)</w:t>
      </w:r>
      <w:r w:rsidRPr="00F153F6">
        <w:rPr>
          <w:rFonts w:ascii="Times New Roman" w:hAnsi="Times New Roman" w:cs="Times New Roman"/>
          <w:sz w:val="24"/>
          <w:szCs w:val="24"/>
        </w:rPr>
        <w:t xml:space="preserve"> for these transient connections, which helps to shape a flexible and respectful IOKE. Environmental factors. such as Covid-19, force actors to explore new functions and uses of technologies to accomplish their connecting goals online and at the same time</w:t>
      </w:r>
      <w:r w:rsidRPr="00F153F6" w:rsidDel="006A3E34">
        <w:rPr>
          <w:rFonts w:ascii="Times New Roman" w:hAnsi="Times New Roman" w:cs="Times New Roman"/>
          <w:sz w:val="24"/>
          <w:szCs w:val="24"/>
        </w:rPr>
        <w:t xml:space="preserve"> </w:t>
      </w:r>
      <w:r w:rsidRPr="00F153F6">
        <w:rPr>
          <w:rFonts w:ascii="Times New Roman" w:hAnsi="Times New Roman" w:cs="Times New Roman"/>
          <w:sz w:val="24"/>
          <w:szCs w:val="24"/>
        </w:rPr>
        <w:t>maintain social distancing as required. </w:t>
      </w:r>
    </w:p>
    <w:p w14:paraId="6710E67B" w14:textId="77777777" w:rsidR="0015201A" w:rsidRPr="00F153F6" w:rsidRDefault="0015201A" w:rsidP="004424B4">
      <w:pPr>
        <w:spacing w:line="360" w:lineRule="auto"/>
        <w:jc w:val="both"/>
        <w:rPr>
          <w:rFonts w:ascii="Times New Roman" w:hAnsi="Times New Roman" w:cs="Times New Roman"/>
          <w:sz w:val="24"/>
          <w:szCs w:val="24"/>
        </w:rPr>
      </w:pPr>
    </w:p>
    <w:p w14:paraId="1DFAF96B" w14:textId="7C6E8F89"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Although actors can use ICT to enable their notifying ability, ICT may also inhibit inter-connecting by constraining them in how they make their work appealing to others. For example, with regards to connecting activities, one interviewee notes:</w:t>
      </w:r>
    </w:p>
    <w:p w14:paraId="55321F89" w14:textId="60C81FEC"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“I think the online workshops are not attractive enough to participate, people maybe like a city’s stakeholders and the citizens, it’s impossible to bring them all. Like they are not interested in workshops, especially it’s hard to maybe participate in the Zoom meeting if they haven’t ever used it or they don’t know how to use a computer or they aren’t much interested or like after a long day on a computer, they don’t want to spend time on a computer anymore. At that time there is a need to try to find something new. (Project A1, Participant 2, Para. 75)”</w:t>
      </w:r>
    </w:p>
    <w:p w14:paraId="71CDBBFF" w14:textId="068DD175"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When actors try to connect with other partners or stakeholders, they seem to have to make the envisioned activities attractive to them. Those targeted partners may have different reasons for which they resist connecting with others, and sometimes virtual meetings seem unhelpful and occasionally the reason for said resistance. In the example above, tools that support online workshops may be too complex to be understood by new users or they may exacerbate their daily fatigue, which leads to unwillingness to attend the workshops. The failure of connecting collaborators due to the use of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results in difficulties regarding knowing how to cultivate relationships. As a result, the actors may have to seek other ways to do this, which may include </w:t>
      </w:r>
      <w:r w:rsidRPr="00F153F6">
        <w:rPr>
          <w:rFonts w:ascii="Times New Roman" w:hAnsi="Times New Roman" w:cs="Times New Roman"/>
          <w:sz w:val="24"/>
          <w:szCs w:val="24"/>
        </w:rPr>
        <w:lastRenderedPageBreak/>
        <w:t xml:space="preserve">finding new and more attractive tools to the target audience. This reflects a need for an attractive and friendly interface between users and virtual technologies in the context of inter-organisational collaboration to mitigate users’ resistance to technologies. </w:t>
      </w:r>
    </w:p>
    <w:p w14:paraId="55ED22AF" w14:textId="75D0DCEC"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In addition, if actors change ICT, the materiality of new ICT may result in new constraints that inhibit actors to connect with each other. As one interviewee notes:</w:t>
      </w:r>
    </w:p>
    <w:p w14:paraId="2DE5BC1C" w14:textId="70CF6E51"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“Today, for example, I have a new phone. I try to go for, first of all, for a small walk to listen to the meeting. But then because of the new school system </w:t>
      </w:r>
      <w:r w:rsidR="00497166" w:rsidRPr="00F153F6">
        <w:rPr>
          <w:rFonts w:ascii="Times New Roman" w:hAnsi="Times New Roman" w:cs="Times New Roman"/>
          <w:i/>
          <w:iCs/>
          <w:sz w:val="24"/>
          <w:szCs w:val="24"/>
        </w:rPr>
        <w:t>and the</w:t>
      </w:r>
      <w:r w:rsidRPr="00F153F6">
        <w:rPr>
          <w:rFonts w:ascii="Times New Roman" w:hAnsi="Times New Roman" w:cs="Times New Roman"/>
          <w:i/>
          <w:iCs/>
          <w:sz w:val="24"/>
          <w:szCs w:val="24"/>
        </w:rPr>
        <w:t xml:space="preserve"> Teams meeting, we have, like, two factor authentications. And if I didn’t memorise the key like the Microsoft key, like on the new phone, I can’t access the meeting. But when I got it, the meeting was already over, but it didn’t still work. And I feel very frustrating.” (Project A1, Participant 1, Para. 53) </w:t>
      </w:r>
    </w:p>
    <w:p w14:paraId="6019896F" w14:textId="50905FD6"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As shown, the change of smartphone in the above example can lead to changes in the materiality of the ICT, as the MS key was stored in the previous device and was not available when needed in the new phone. Therefore, ICT in this case ha</w:t>
      </w:r>
      <w:r w:rsidR="00FA6038" w:rsidRPr="00F153F6">
        <w:rPr>
          <w:rFonts w:ascii="Times New Roman" w:hAnsi="Times New Roman" w:cs="Times New Roman"/>
          <w:sz w:val="24"/>
          <w:szCs w:val="24"/>
        </w:rPr>
        <w:t>s</w:t>
      </w:r>
      <w:r w:rsidRPr="00F153F6">
        <w:rPr>
          <w:rFonts w:ascii="Times New Roman" w:hAnsi="Times New Roman" w:cs="Times New Roman"/>
          <w:sz w:val="24"/>
          <w:szCs w:val="24"/>
        </w:rPr>
        <w:t xml:space="preserve"> constrained the actor’s ability to make a connection with their colleagues. </w:t>
      </w:r>
    </w:p>
    <w:p w14:paraId="4EBA54F2" w14:textId="77777777" w:rsidR="0015201A" w:rsidRPr="00F153F6" w:rsidRDefault="0015201A" w:rsidP="004424B4">
      <w:pPr>
        <w:spacing w:line="360" w:lineRule="auto"/>
        <w:jc w:val="both"/>
        <w:rPr>
          <w:rFonts w:ascii="Times New Roman" w:hAnsi="Times New Roman" w:cs="Times New Roman"/>
          <w:sz w:val="24"/>
          <w:szCs w:val="24"/>
        </w:rPr>
      </w:pPr>
    </w:p>
    <w:p w14:paraId="5D5997C9" w14:textId="77777777"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b/>
          <w:bCs/>
          <w:sz w:val="24"/>
          <w:szCs w:val="24"/>
        </w:rPr>
        <w:t>Bridging:</w:t>
      </w:r>
    </w:p>
    <w:p w14:paraId="770A06F3" w14:textId="79C413F3"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Actors can also get inter-connected through bridging activities. In these activities, actors endeavour to establish relationships with others, but they are sometimes restricted by multiple factors such as the diverse culture and background of actors. In this case, one or more individuals may act as a bridge to establish a common ground and understanding between each other and therefore become inter-connected and develop the partnership. ICT </w:t>
      </w:r>
      <w:r w:rsidR="00FA6038" w:rsidRPr="00F153F6">
        <w:rPr>
          <w:rFonts w:ascii="Times New Roman" w:hAnsi="Times New Roman" w:cs="Times New Roman"/>
          <w:sz w:val="24"/>
          <w:szCs w:val="24"/>
        </w:rPr>
        <w:t>is</w:t>
      </w:r>
      <w:r w:rsidRPr="00F153F6">
        <w:rPr>
          <w:rFonts w:ascii="Times New Roman" w:hAnsi="Times New Roman" w:cs="Times New Roman"/>
          <w:sz w:val="24"/>
          <w:szCs w:val="24"/>
        </w:rPr>
        <w:t xml:space="preserve"> leveraged here to facilitate actors’ cross-distance networking abilities to build networks through which actors develop a know</w:t>
      </w:r>
      <w:r w:rsidR="003E53BD" w:rsidRPr="00F153F6">
        <w:rPr>
          <w:rFonts w:ascii="Times New Roman" w:hAnsi="Times New Roman" w:cs="Times New Roman"/>
          <w:sz w:val="24"/>
          <w:szCs w:val="24"/>
        </w:rPr>
        <w:t>ing</w:t>
      </w:r>
      <w:r w:rsidRPr="00F153F6">
        <w:rPr>
          <w:rFonts w:ascii="Times New Roman" w:hAnsi="Times New Roman" w:cs="Times New Roman"/>
          <w:sz w:val="24"/>
          <w:szCs w:val="24"/>
        </w:rPr>
        <w:t xml:space="preserve"> how to cultivate relationship with the involvement of a third party (i.e., the bridger or boundary spanner). As one interviewee notes:</w:t>
      </w:r>
    </w:p>
    <w:p w14:paraId="25A62044" w14:textId="50EEB844" w:rsidR="0015201A" w:rsidRPr="00F153F6" w:rsidRDefault="0015201A" w:rsidP="007148BA">
      <w:pPr>
        <w:spacing w:line="360" w:lineRule="auto"/>
        <w:ind w:left="720"/>
        <w:jc w:val="both"/>
        <w:rPr>
          <w:rFonts w:ascii="Times New Roman" w:hAnsi="Times New Roman" w:cs="Times New Roman"/>
          <w:sz w:val="24"/>
          <w:szCs w:val="24"/>
        </w:rPr>
      </w:pPr>
      <w:bookmarkStart w:id="440" w:name="OLE_LINK728"/>
      <w:bookmarkStart w:id="441" w:name="OLE_LINK729"/>
      <w:r w:rsidRPr="00F153F6">
        <w:rPr>
          <w:rFonts w:ascii="Times New Roman" w:hAnsi="Times New Roman" w:cs="Times New Roman"/>
          <w:i/>
          <w:iCs/>
          <w:sz w:val="24"/>
          <w:szCs w:val="24"/>
        </w:rPr>
        <w:t>“</w:t>
      </w:r>
      <w:r w:rsidRPr="00F153F6">
        <w:rPr>
          <w:rFonts w:ascii="Times New Roman" w:hAnsi="Times New Roman" w:cs="Times New Roman"/>
          <w:sz w:val="24"/>
          <w:szCs w:val="24"/>
        </w:rPr>
        <w:t>[I collaborate]</w:t>
      </w:r>
      <w:r w:rsidRPr="00F153F6">
        <w:rPr>
          <w:rFonts w:ascii="Times New Roman" w:hAnsi="Times New Roman" w:cs="Times New Roman"/>
          <w:i/>
          <w:iCs/>
          <w:sz w:val="24"/>
          <w:szCs w:val="24"/>
        </w:rPr>
        <w:t xml:space="preserve"> with a partner wh</w:t>
      </w:r>
      <w:r w:rsidR="00497166" w:rsidRPr="00F153F6">
        <w:rPr>
          <w:rFonts w:ascii="Times New Roman" w:hAnsi="Times New Roman" w:cs="Times New Roman"/>
          <w:i/>
          <w:iCs/>
          <w:sz w:val="24"/>
          <w:szCs w:val="24"/>
        </w:rPr>
        <w:t>o</w:t>
      </w:r>
      <w:r w:rsidRPr="00F153F6">
        <w:rPr>
          <w:rFonts w:ascii="Times New Roman" w:hAnsi="Times New Roman" w:cs="Times New Roman"/>
          <w:i/>
          <w:iCs/>
          <w:sz w:val="24"/>
          <w:szCs w:val="24"/>
        </w:rPr>
        <w:t xml:space="preserve">’s from Italy, and we have some virtual meetings before, mainly for pilot cities in my cooperation. And </w:t>
      </w:r>
      <w:r w:rsidR="00497166" w:rsidRPr="00F153F6">
        <w:rPr>
          <w:rFonts w:ascii="Times New Roman" w:hAnsi="Times New Roman" w:cs="Times New Roman"/>
          <w:i/>
          <w:iCs/>
          <w:sz w:val="24"/>
          <w:szCs w:val="24"/>
        </w:rPr>
        <w:t>he’s</w:t>
      </w:r>
      <w:r w:rsidRPr="00F153F6">
        <w:rPr>
          <w:rFonts w:ascii="Times New Roman" w:hAnsi="Times New Roman" w:cs="Times New Roman"/>
          <w:i/>
          <w:iCs/>
          <w:sz w:val="24"/>
          <w:szCs w:val="24"/>
        </w:rPr>
        <w:t xml:space="preserve"> in between, like technical partners and with the pilot cities because I </w:t>
      </w:r>
      <w:r w:rsidR="00497166" w:rsidRPr="00F153F6">
        <w:rPr>
          <w:rFonts w:ascii="Times New Roman" w:hAnsi="Times New Roman" w:cs="Times New Roman"/>
          <w:i/>
          <w:iCs/>
          <w:sz w:val="24"/>
          <w:szCs w:val="24"/>
        </w:rPr>
        <w:t>didn’t</w:t>
      </w:r>
      <w:r w:rsidRPr="00F153F6">
        <w:rPr>
          <w:rFonts w:ascii="Times New Roman" w:hAnsi="Times New Roman" w:cs="Times New Roman"/>
          <w:i/>
          <w:iCs/>
          <w:sz w:val="24"/>
          <w:szCs w:val="24"/>
        </w:rPr>
        <w:t xml:space="preserve"> have a technical background but h</w:t>
      </w:r>
      <w:r w:rsidR="00497166" w:rsidRPr="00F153F6">
        <w:rPr>
          <w:rFonts w:ascii="Times New Roman" w:hAnsi="Times New Roman" w:cs="Times New Roman"/>
          <w:i/>
          <w:iCs/>
          <w:sz w:val="24"/>
          <w:szCs w:val="24"/>
        </w:rPr>
        <w:t>e</w:t>
      </w:r>
      <w:r w:rsidRPr="00F153F6">
        <w:rPr>
          <w:rFonts w:ascii="Times New Roman" w:hAnsi="Times New Roman" w:cs="Times New Roman"/>
          <w:i/>
          <w:iCs/>
          <w:sz w:val="24"/>
          <w:szCs w:val="24"/>
        </w:rPr>
        <w:t xml:space="preserve">’s there. With these technical partners from Slovenia, Germany, and also from Spain, I have some direct meetings with them but not that often. </w:t>
      </w:r>
      <w:r w:rsidRPr="00F153F6">
        <w:rPr>
          <w:rFonts w:ascii="Times New Roman" w:hAnsi="Times New Roman" w:cs="Times New Roman"/>
          <w:sz w:val="24"/>
          <w:szCs w:val="24"/>
        </w:rPr>
        <w:t>[Because]</w:t>
      </w:r>
      <w:r w:rsidRPr="00F153F6">
        <w:rPr>
          <w:rFonts w:ascii="Times New Roman" w:hAnsi="Times New Roman" w:cs="Times New Roman"/>
          <w:i/>
          <w:iCs/>
          <w:sz w:val="24"/>
          <w:szCs w:val="24"/>
        </w:rPr>
        <w:t xml:space="preserve"> their languages are </w:t>
      </w:r>
      <w:r w:rsidRPr="00F153F6">
        <w:rPr>
          <w:rFonts w:ascii="Times New Roman" w:hAnsi="Times New Roman" w:cs="Times New Roman"/>
          <w:i/>
          <w:iCs/>
          <w:sz w:val="24"/>
          <w:szCs w:val="24"/>
        </w:rPr>
        <w:lastRenderedPageBreak/>
        <w:t xml:space="preserve">really hard to understand because i’’s so technical. They speak about the technical details all the time. I’’s hard to understand. So, we need someone </w:t>
      </w:r>
      <w:r w:rsidRPr="00F153F6">
        <w:rPr>
          <w:rFonts w:ascii="Times New Roman" w:hAnsi="Times New Roman" w:cs="Times New Roman"/>
          <w:sz w:val="24"/>
          <w:szCs w:val="24"/>
        </w:rPr>
        <w:t>[such as our Italian partner]</w:t>
      </w:r>
      <w:r w:rsidRPr="00F153F6">
        <w:rPr>
          <w:rFonts w:ascii="Times New Roman" w:hAnsi="Times New Roman" w:cs="Times New Roman"/>
          <w:i/>
          <w:iCs/>
          <w:sz w:val="24"/>
          <w:szCs w:val="24"/>
        </w:rPr>
        <w:t xml:space="preserve"> working in between to explain me those technical things. I know that other pilot cities have similar problems</w:t>
      </w:r>
      <w:bookmarkEnd w:id="440"/>
      <w:bookmarkEnd w:id="441"/>
      <w:r w:rsidRPr="00F153F6">
        <w:rPr>
          <w:rFonts w:ascii="Times New Roman" w:hAnsi="Times New Roman" w:cs="Times New Roman"/>
          <w:i/>
          <w:iCs/>
          <w:sz w:val="24"/>
          <w:szCs w:val="24"/>
        </w:rPr>
        <w:t>.” (Project A1, Participant 1, Para. 18)</w:t>
      </w:r>
    </w:p>
    <w:p w14:paraId="71308DFE" w14:textId="0ABB5E72"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The above example shows that actors Involved in inter-organisational collaborations get inter-connected by someone working as a boundary spanner between two groups (such as the project manager (participant 1) and technical partners) to link with each other. Living Lab projects take place within an inter-organisational context and require multiple resources and expertise from diverse organisations. Therefore, actors in Living Lab projects are usually from multiple types of organisations and experts in different fields, which collectively help them achieve project goals. Within their own respective organisation, they have their own culture, background or own specialised language to communicate (e.g. technical language from technical partner organisation in the example above), which may be difficult to be understood by actors from other organisations. Although in this instance virtual meeting technologies allow the project manager (participant 1) to directly connect and communicate with their technical partners, such connection is to some extent problematic due to the actors’ diverse background. Actors address these issues by involving in their meetings a third-party role as a boundary spanner (Lundberg, 2013) who is a master in both aspects of expertise</w:t>
      </w:r>
      <w:r w:rsidR="00497166" w:rsidRPr="00F153F6">
        <w:rPr>
          <w:rFonts w:ascii="Times New Roman" w:hAnsi="Times New Roman" w:cs="Times New Roman"/>
          <w:sz w:val="24"/>
          <w:szCs w:val="24"/>
        </w:rPr>
        <w:t xml:space="preserve"> (technical and non-technical expertise)</w:t>
      </w:r>
      <w:r w:rsidRPr="00F153F6">
        <w:rPr>
          <w:rFonts w:ascii="Times New Roman" w:hAnsi="Times New Roman" w:cs="Times New Roman"/>
          <w:sz w:val="24"/>
          <w:szCs w:val="24"/>
        </w:rPr>
        <w:t xml:space="preserve">. Although actors may have different physical locations such as Italy, Slovenia or Germany, virtual meeting technologies become useful here because they allow the boundary spanner to connect regardless of location. </w:t>
      </w:r>
    </w:p>
    <w:p w14:paraId="6EC43970" w14:textId="77777777" w:rsidR="0015201A" w:rsidRPr="00F153F6" w:rsidRDefault="0015201A" w:rsidP="004424B4">
      <w:pPr>
        <w:spacing w:line="360" w:lineRule="auto"/>
        <w:jc w:val="both"/>
        <w:rPr>
          <w:rFonts w:ascii="Times New Roman" w:hAnsi="Times New Roman" w:cs="Times New Roman"/>
          <w:sz w:val="24"/>
          <w:szCs w:val="24"/>
        </w:rPr>
      </w:pPr>
    </w:p>
    <w:p w14:paraId="78DC7ABD" w14:textId="77777777" w:rsidR="0015201A" w:rsidRPr="00F153F6" w:rsidRDefault="0015201A" w:rsidP="004424B4">
      <w:pPr>
        <w:spacing w:line="360" w:lineRule="auto"/>
        <w:jc w:val="both"/>
        <w:rPr>
          <w:rFonts w:ascii="Times New Roman" w:hAnsi="Times New Roman" w:cs="Times New Roman"/>
          <w:sz w:val="24"/>
          <w:szCs w:val="24"/>
        </w:rPr>
      </w:pPr>
      <w:bookmarkStart w:id="442" w:name="OLE_LINK862"/>
      <w:bookmarkStart w:id="443" w:name="OLE_LINK863"/>
      <w:r w:rsidRPr="00F153F6">
        <w:rPr>
          <w:rFonts w:ascii="Times New Roman" w:hAnsi="Times New Roman" w:cs="Times New Roman"/>
          <w:b/>
          <w:bCs/>
          <w:sz w:val="24"/>
          <w:szCs w:val="24"/>
        </w:rPr>
        <w:t>Socialising:</w:t>
      </w:r>
    </w:p>
    <w:p w14:paraId="4D76396D" w14:textId="0DDA4A93"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Socialising refers to the activities in which actors communicate informally with a social purpose, whereby they may discuss some personal or social topics that are less relevant to the project. ICT </w:t>
      </w:r>
      <w:r w:rsidR="00FA6038" w:rsidRPr="00F153F6">
        <w:rPr>
          <w:rFonts w:ascii="Times New Roman" w:hAnsi="Times New Roman" w:cs="Times New Roman"/>
          <w:sz w:val="24"/>
          <w:szCs w:val="24"/>
        </w:rPr>
        <w:t>is</w:t>
      </w:r>
      <w:r w:rsidRPr="00F153F6">
        <w:rPr>
          <w:rFonts w:ascii="Times New Roman" w:hAnsi="Times New Roman" w:cs="Times New Roman"/>
          <w:sz w:val="24"/>
          <w:szCs w:val="24"/>
        </w:rPr>
        <w:t xml:space="preserve"> used here to help actors connect for these informal situations and they provide actors informal interacting abilities to build such networks, through which they can develop their knowledge on how to cultivate informal or social relationships with each other. However, for this to be possible, actors will need to use ICT that are familiar to them, as potentially different functionalities and issues regarding familiarity may work counterintuitively and restrict such opportunities. As one interviewee notes:</w:t>
      </w:r>
    </w:p>
    <w:p w14:paraId="6CAD366F" w14:textId="50726DE5" w:rsidR="0015201A" w:rsidRPr="00F153F6" w:rsidRDefault="0015201A" w:rsidP="007148BA">
      <w:pPr>
        <w:spacing w:line="360" w:lineRule="auto"/>
        <w:ind w:left="720"/>
        <w:jc w:val="both"/>
        <w:rPr>
          <w:rFonts w:ascii="Times New Roman" w:hAnsi="Times New Roman" w:cs="Times New Roman"/>
          <w:sz w:val="24"/>
          <w:szCs w:val="24"/>
        </w:rPr>
      </w:pPr>
      <w:r w:rsidRPr="00F153F6">
        <w:rPr>
          <w:rFonts w:ascii="Times New Roman" w:hAnsi="Times New Roman" w:cs="Times New Roman"/>
          <w:i/>
          <w:iCs/>
          <w:sz w:val="24"/>
          <w:szCs w:val="24"/>
        </w:rPr>
        <w:lastRenderedPageBreak/>
        <w:t>“</w:t>
      </w:r>
      <w:bookmarkStart w:id="444" w:name="OLE_LINK726"/>
      <w:bookmarkStart w:id="445" w:name="OLE_LINK727"/>
      <w:r w:rsidRPr="00F153F6">
        <w:rPr>
          <w:rFonts w:ascii="Times New Roman" w:hAnsi="Times New Roman" w:cs="Times New Roman"/>
          <w:i/>
          <w:iCs/>
          <w:sz w:val="24"/>
          <w:szCs w:val="24"/>
        </w:rPr>
        <w:t xml:space="preserve">We can have some face-to-face communication, like, some informal discussions, like, corridor discussions, but they </w:t>
      </w:r>
      <w:r w:rsidR="00497166" w:rsidRPr="00F153F6">
        <w:rPr>
          <w:rFonts w:ascii="Times New Roman" w:hAnsi="Times New Roman" w:cs="Times New Roman"/>
          <w:i/>
          <w:iCs/>
          <w:sz w:val="24"/>
          <w:szCs w:val="24"/>
        </w:rPr>
        <w:t>don’t</w:t>
      </w:r>
      <w:r w:rsidRPr="00F153F6">
        <w:rPr>
          <w:rFonts w:ascii="Times New Roman" w:hAnsi="Times New Roman" w:cs="Times New Roman"/>
          <w:i/>
          <w:iCs/>
          <w:sz w:val="24"/>
          <w:szCs w:val="24"/>
        </w:rPr>
        <w:t xml:space="preserve"> exist when working from home… Like, in face-face meetings, we have coffee breaks. We used to have them every day. And actually, they went very popular. Now we have used something like Jitsi for </w:t>
      </w:r>
      <w:r w:rsidRPr="00F153F6">
        <w:rPr>
          <w:rFonts w:ascii="Times New Roman" w:hAnsi="Times New Roman" w:cs="Times New Roman"/>
          <w:sz w:val="24"/>
          <w:szCs w:val="24"/>
        </w:rPr>
        <w:t>[informal chats]</w:t>
      </w:r>
      <w:r w:rsidRPr="00F153F6">
        <w:rPr>
          <w:rFonts w:ascii="Times New Roman" w:hAnsi="Times New Roman" w:cs="Times New Roman"/>
          <w:i/>
          <w:iCs/>
          <w:sz w:val="24"/>
          <w:szCs w:val="24"/>
        </w:rPr>
        <w:t xml:space="preserve">. But actually, I </w:t>
      </w:r>
      <w:r w:rsidR="00497166" w:rsidRPr="00F153F6">
        <w:rPr>
          <w:rFonts w:ascii="Times New Roman" w:hAnsi="Times New Roman" w:cs="Times New Roman"/>
          <w:i/>
          <w:iCs/>
          <w:sz w:val="24"/>
          <w:szCs w:val="24"/>
        </w:rPr>
        <w:t>don’t</w:t>
      </w:r>
      <w:r w:rsidRPr="00F153F6">
        <w:rPr>
          <w:rFonts w:ascii="Times New Roman" w:hAnsi="Times New Roman" w:cs="Times New Roman"/>
          <w:i/>
          <w:iCs/>
          <w:sz w:val="24"/>
          <w:szCs w:val="24"/>
        </w:rPr>
        <w:t xml:space="preserve"> know why our ICT persons wanted us to use </w:t>
      </w:r>
      <w:r w:rsidRPr="00F153F6">
        <w:rPr>
          <w:rFonts w:ascii="Times New Roman" w:hAnsi="Times New Roman" w:cs="Times New Roman"/>
          <w:sz w:val="24"/>
          <w:szCs w:val="24"/>
        </w:rPr>
        <w:t>[Jitsi]</w:t>
      </w:r>
      <w:r w:rsidRPr="00F153F6">
        <w:rPr>
          <w:rFonts w:ascii="Times New Roman" w:hAnsi="Times New Roman" w:cs="Times New Roman"/>
          <w:i/>
          <w:iCs/>
          <w:sz w:val="24"/>
          <w:szCs w:val="24"/>
        </w:rPr>
        <w:t xml:space="preserve">. Because we are used to Google Meet. So, we take this </w:t>
      </w:r>
      <w:r w:rsidRPr="00F153F6">
        <w:rPr>
          <w:rFonts w:ascii="Times New Roman" w:hAnsi="Times New Roman" w:cs="Times New Roman"/>
          <w:sz w:val="24"/>
          <w:szCs w:val="24"/>
        </w:rPr>
        <w:t>[Jitsi]</w:t>
      </w:r>
      <w:r w:rsidRPr="00F153F6">
        <w:rPr>
          <w:rFonts w:ascii="Times New Roman" w:hAnsi="Times New Roman" w:cs="Times New Roman"/>
          <w:i/>
          <w:iCs/>
          <w:sz w:val="24"/>
          <w:szCs w:val="24"/>
        </w:rPr>
        <w:t xml:space="preserve"> for use, probably just wanted to test it. But </w:t>
      </w:r>
      <w:r w:rsidR="00497166" w:rsidRPr="00F153F6">
        <w:rPr>
          <w:rFonts w:ascii="Times New Roman" w:hAnsi="Times New Roman" w:cs="Times New Roman"/>
          <w:i/>
          <w:iCs/>
          <w:sz w:val="24"/>
          <w:szCs w:val="24"/>
        </w:rPr>
        <w:t>finally,</w:t>
      </w:r>
      <w:r w:rsidRPr="00F153F6">
        <w:rPr>
          <w:rFonts w:ascii="Times New Roman" w:hAnsi="Times New Roman" w:cs="Times New Roman"/>
          <w:i/>
          <w:iCs/>
          <w:sz w:val="24"/>
          <w:szCs w:val="24"/>
        </w:rPr>
        <w:t xml:space="preserve"> we changed it to Google Meet because we use them in many ways. Yeah. Like coffee breaks there. Actually, they are quite funny</w:t>
      </w:r>
      <w:bookmarkEnd w:id="444"/>
      <w:bookmarkEnd w:id="445"/>
      <w:r w:rsidRPr="00F153F6">
        <w:rPr>
          <w:rFonts w:ascii="Times New Roman" w:hAnsi="Times New Roman" w:cs="Times New Roman"/>
          <w:i/>
          <w:iCs/>
          <w:sz w:val="24"/>
          <w:szCs w:val="24"/>
        </w:rPr>
        <w:t>.” (Project A1, Participant 1, Para. 69)</w:t>
      </w:r>
    </w:p>
    <w:p w14:paraId="54B82773" w14:textId="5E33E643"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Inter-organisational </w:t>
      </w:r>
      <w:bookmarkEnd w:id="442"/>
      <w:bookmarkEnd w:id="443"/>
      <w:r w:rsidRPr="00F153F6">
        <w:rPr>
          <w:rFonts w:ascii="Times New Roman" w:hAnsi="Times New Roman" w:cs="Times New Roman"/>
          <w:sz w:val="24"/>
          <w:szCs w:val="24"/>
        </w:rPr>
        <w:t xml:space="preserve">collaboration activities sometimes create pressure for involved actors, who sometimes may need a break, disengage from project activities and have fun with each other that is not related to work. These informal discussions create a comfortable climate within the inter-organisational context and seems to be welcomed by actors. Environmental changes such as those brought about by the Covid-19 pandemic, transformed such informal activities from offline to online, because actors may have to stay at home and are unable to physically get in touch. The frequency of these activities may also change because everyone has their own work schedules when working from home and thereby it is hard to simply find moments to have a corridor discussion or a real coffee break. ICT such as Jitsi and Google Meets allow actors to re-shape these informal activities and </w:t>
      </w:r>
      <w:r w:rsidR="003E53BD" w:rsidRPr="00F153F6">
        <w:rPr>
          <w:rFonts w:ascii="Times New Roman" w:hAnsi="Times New Roman" w:cs="Times New Roman"/>
          <w:sz w:val="24"/>
          <w:szCs w:val="24"/>
        </w:rPr>
        <w:t>afford</w:t>
      </w:r>
      <w:r w:rsidRPr="00F153F6">
        <w:rPr>
          <w:rFonts w:ascii="Times New Roman" w:hAnsi="Times New Roman" w:cs="Times New Roman"/>
          <w:sz w:val="24"/>
          <w:szCs w:val="24"/>
        </w:rPr>
        <w:t xml:space="preserve"> actors the ability to informal interact and develop </w:t>
      </w:r>
      <w:r w:rsidR="003E53BD" w:rsidRPr="00F153F6">
        <w:rPr>
          <w:rFonts w:ascii="Times New Roman" w:hAnsi="Times New Roman" w:cs="Times New Roman"/>
          <w:sz w:val="24"/>
          <w:szCs w:val="24"/>
        </w:rPr>
        <w:t>a</w:t>
      </w:r>
      <w:r w:rsidRPr="00F153F6">
        <w:rPr>
          <w:rFonts w:ascii="Times New Roman" w:hAnsi="Times New Roman" w:cs="Times New Roman"/>
          <w:sz w:val="24"/>
          <w:szCs w:val="24"/>
        </w:rPr>
        <w:t xml:space="preserve"> know</w:t>
      </w:r>
      <w:r w:rsidR="003E53BD" w:rsidRPr="00F153F6">
        <w:rPr>
          <w:rFonts w:ascii="Times New Roman" w:hAnsi="Times New Roman" w:cs="Times New Roman"/>
          <w:sz w:val="24"/>
          <w:szCs w:val="24"/>
        </w:rPr>
        <w:t>ing</w:t>
      </w:r>
      <w:r w:rsidRPr="00F153F6">
        <w:rPr>
          <w:rFonts w:ascii="Times New Roman" w:hAnsi="Times New Roman" w:cs="Times New Roman"/>
          <w:sz w:val="24"/>
          <w:szCs w:val="24"/>
        </w:rPr>
        <w:t xml:space="preserve"> how to cultivate social relationships. However, actors prefer those technologies that they are familiar with to indulge these informal activities, and resist the introduction and use of new ones, such as Jitsi. This may indicate that actors do not want to be forced anymore and desire to use tools they are familiar with in these social activities. In addition, these social activities show that an inter-organisational context is not one that requires intensive or high-pressure work all the time, but rather familiarity. </w:t>
      </w:r>
    </w:p>
    <w:p w14:paraId="37CE4124" w14:textId="77777777" w:rsidR="0015201A" w:rsidRPr="00F153F6" w:rsidRDefault="0015201A" w:rsidP="004424B4">
      <w:pPr>
        <w:spacing w:line="360" w:lineRule="auto"/>
        <w:jc w:val="both"/>
        <w:rPr>
          <w:rFonts w:ascii="Times New Roman" w:hAnsi="Times New Roman" w:cs="Times New Roman"/>
        </w:rPr>
      </w:pPr>
    </w:p>
    <w:p w14:paraId="7EA5DE29" w14:textId="5EB5E6AA" w:rsidR="0015201A" w:rsidRPr="00F153F6" w:rsidRDefault="0015201A" w:rsidP="000543CB">
      <w:pPr>
        <w:pStyle w:val="Heading3"/>
        <w:spacing w:line="360" w:lineRule="auto"/>
        <w:ind w:firstLine="720"/>
        <w:jc w:val="both"/>
        <w:rPr>
          <w:rFonts w:ascii="Times New Roman" w:hAnsi="Times New Roman" w:cs="Times New Roman"/>
          <w:b/>
          <w:color w:val="auto"/>
          <w:sz w:val="28"/>
          <w:szCs w:val="28"/>
        </w:rPr>
      </w:pPr>
      <w:bookmarkStart w:id="446" w:name="_Toc133252159"/>
      <w:bookmarkStart w:id="447" w:name="_Hlk102319358"/>
      <w:r w:rsidRPr="00F153F6">
        <w:rPr>
          <w:rFonts w:ascii="Times New Roman" w:hAnsi="Times New Roman" w:cs="Times New Roman"/>
          <w:b/>
          <w:color w:val="auto"/>
          <w:sz w:val="28"/>
          <w:szCs w:val="28"/>
        </w:rPr>
        <w:t>4.2.2. Shared Understanding and ICT</w:t>
      </w:r>
      <w:bookmarkEnd w:id="446"/>
    </w:p>
    <w:p w14:paraId="3C48D42A" w14:textId="17457F77" w:rsidR="0015201A" w:rsidRPr="00F153F6" w:rsidRDefault="0015201A" w:rsidP="004424B4">
      <w:pPr>
        <w:spacing w:line="360" w:lineRule="auto"/>
        <w:jc w:val="both"/>
        <w:rPr>
          <w:rFonts w:ascii="Times New Roman" w:eastAsiaTheme="minorEastAsia" w:hAnsi="Times New Roman" w:cs="Times New Roman"/>
          <w:sz w:val="24"/>
          <w:szCs w:val="24"/>
        </w:rPr>
      </w:pPr>
      <w:bookmarkStart w:id="448" w:name="OLE_LINK284"/>
      <w:bookmarkStart w:id="449" w:name="OLE_LINK285"/>
      <w:bookmarkStart w:id="450" w:name="_Hlk102174004"/>
      <w:bookmarkStart w:id="451" w:name="OLE_LINK712"/>
      <w:r w:rsidRPr="00F153F6">
        <w:rPr>
          <w:rFonts w:ascii="Times New Roman" w:hAnsi="Times New Roman" w:cs="Times New Roman"/>
          <w:sz w:val="24"/>
          <w:szCs w:val="24"/>
        </w:rPr>
        <w:t xml:space="preserve">Shared understanding refers to a knowledgeability enacted by actors who together develop their understanding and expertise towards a common level. At the inception stage, actors who are from different organisations may have diverse expertise. To bring these skills to the project, actors are required to build up a common understanding on any concepts that are related to the project. This requires actors to enact their shared understanding and knowledgeability such that </w:t>
      </w:r>
      <w:r w:rsidRPr="00F153F6">
        <w:rPr>
          <w:rFonts w:ascii="Times New Roman" w:hAnsi="Times New Roman" w:cs="Times New Roman"/>
          <w:sz w:val="24"/>
          <w:szCs w:val="24"/>
        </w:rPr>
        <w:lastRenderedPageBreak/>
        <w:t>they are able to develop a common understanding on how to align expertise towards a common level. Actors accomplish this knowledgeability through two primary activities: Onboarding; and Sharing</w:t>
      </w:r>
      <w:bookmarkEnd w:id="448"/>
      <w:bookmarkEnd w:id="449"/>
      <w:r w:rsidRPr="00F153F6">
        <w:rPr>
          <w:rFonts w:ascii="Times New Roman" w:hAnsi="Times New Roman" w:cs="Times New Roman"/>
          <w:sz w:val="24"/>
          <w:szCs w:val="24"/>
        </w:rPr>
        <w:t xml:space="preserve">.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 support such accomplishments by </w:t>
      </w:r>
      <w:r w:rsidR="003E53BD" w:rsidRPr="00F153F6">
        <w:rPr>
          <w:rFonts w:ascii="Times New Roman" w:hAnsi="Times New Roman" w:cs="Times New Roman"/>
          <w:sz w:val="24"/>
          <w:szCs w:val="24"/>
        </w:rPr>
        <w:t>affording</w:t>
      </w:r>
      <w:r w:rsidRPr="00F153F6">
        <w:rPr>
          <w:rFonts w:ascii="Times New Roman" w:hAnsi="Times New Roman" w:cs="Times New Roman"/>
          <w:sz w:val="24"/>
          <w:szCs w:val="24"/>
        </w:rPr>
        <w:t xml:space="preserve"> actors with the showcasing and storing ability while constraining an actors public codifying ability at the same time. Table 4.4 provides a summary of </w:t>
      </w:r>
      <w:bookmarkStart w:id="452" w:name="OLE_LINK763"/>
      <w:bookmarkStart w:id="453" w:name="OLE_LINK764"/>
      <w:r w:rsidRPr="00F153F6">
        <w:rPr>
          <w:rFonts w:ascii="Times New Roman" w:hAnsi="Times New Roman" w:cs="Times New Roman"/>
          <w:sz w:val="24"/>
          <w:szCs w:val="24"/>
        </w:rPr>
        <w:t xml:space="preserve">shared understanding </w:t>
      </w:r>
      <w:bookmarkEnd w:id="452"/>
      <w:bookmarkEnd w:id="453"/>
      <w:r w:rsidRPr="00F153F6">
        <w:rPr>
          <w:rFonts w:ascii="Times New Roman" w:hAnsi="Times New Roman" w:cs="Times New Roman"/>
          <w:sz w:val="24"/>
          <w:szCs w:val="24"/>
        </w:rPr>
        <w:t>knowledgeability, its accomplished knowing-in-practice activities that allow the enactment of such knowledgeability, and their explanations.</w:t>
      </w:r>
      <w:bookmarkEnd w:id="450"/>
      <w:bookmarkEnd w:id="451"/>
    </w:p>
    <w:p w14:paraId="5100201B" w14:textId="77777777" w:rsidR="0015201A" w:rsidRPr="00F153F6" w:rsidRDefault="0015201A" w:rsidP="004424B4">
      <w:pPr>
        <w:spacing w:line="360" w:lineRule="auto"/>
        <w:jc w:val="both"/>
        <w:rPr>
          <w:rFonts w:ascii="Times New Roman" w:hAnsi="Times New Roman" w:cs="Times New Roman"/>
        </w:rPr>
      </w:pPr>
    </w:p>
    <w:p w14:paraId="7B349DBE" w14:textId="1D58B8EB" w:rsidR="00845905" w:rsidRPr="00F153F6" w:rsidRDefault="00845905" w:rsidP="00845905">
      <w:pPr>
        <w:pStyle w:val="Caption"/>
        <w:keepNext/>
        <w:rPr>
          <w:rFonts w:ascii="Times New Roman" w:hAnsi="Times New Roman" w:cs="Times New Roman"/>
          <w:i w:val="0"/>
          <w:iCs w:val="0"/>
          <w:color w:val="auto"/>
          <w:sz w:val="22"/>
          <w:szCs w:val="22"/>
        </w:rPr>
      </w:pPr>
      <w:bookmarkStart w:id="454" w:name="_Toc119448038"/>
      <w:r w:rsidRPr="00F153F6">
        <w:rPr>
          <w:rFonts w:ascii="Times New Roman" w:hAnsi="Times New Roman" w:cs="Times New Roman"/>
          <w:i w:val="0"/>
          <w:iCs w:val="0"/>
          <w:color w:val="auto"/>
          <w:sz w:val="22"/>
          <w:szCs w:val="22"/>
        </w:rPr>
        <w:t xml:space="preserve">Table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Table_4. \* ARABIC </w:instrText>
      </w:r>
      <w:r w:rsidRPr="00F153F6">
        <w:rPr>
          <w:rFonts w:ascii="Times New Roman" w:hAnsi="Times New Roman" w:cs="Times New Roman"/>
          <w:i w:val="0"/>
          <w:iCs w:val="0"/>
          <w:color w:val="auto"/>
          <w:sz w:val="22"/>
          <w:szCs w:val="22"/>
        </w:rPr>
        <w:fldChar w:fldCharType="separate"/>
      </w:r>
      <w:r w:rsidR="007148BA" w:rsidRPr="00F153F6">
        <w:rPr>
          <w:rFonts w:ascii="Times New Roman" w:hAnsi="Times New Roman" w:cs="Times New Roman"/>
          <w:i w:val="0"/>
          <w:iCs w:val="0"/>
          <w:noProof/>
          <w:color w:val="auto"/>
          <w:sz w:val="22"/>
          <w:szCs w:val="22"/>
        </w:rPr>
        <w:t>4</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Summary of the shared understanding knowledgeability and its relevant elements</w:t>
      </w:r>
      <w:bookmarkEnd w:id="454"/>
    </w:p>
    <w:tbl>
      <w:tblPr>
        <w:tblStyle w:val="PlainTable5"/>
        <w:tblW w:w="9067" w:type="dxa"/>
        <w:tblLook w:val="04A0" w:firstRow="1" w:lastRow="0" w:firstColumn="1" w:lastColumn="0" w:noHBand="0" w:noVBand="1"/>
      </w:tblPr>
      <w:tblGrid>
        <w:gridCol w:w="2552"/>
        <w:gridCol w:w="2263"/>
        <w:gridCol w:w="4252"/>
      </w:tblGrid>
      <w:tr w:rsidR="005549E4" w:rsidRPr="00F153F6" w14:paraId="4DF06570" w14:textId="77777777" w:rsidTr="004314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Borders>
              <w:top w:val="nil"/>
              <w:left w:val="nil"/>
            </w:tcBorders>
            <w:shd w:val="clear" w:color="auto" w:fill="auto"/>
            <w:hideMark/>
          </w:tcPr>
          <w:p w14:paraId="0B1EF8C3" w14:textId="77777777" w:rsidR="0015201A" w:rsidRPr="00F153F6" w:rsidRDefault="0015201A" w:rsidP="004424B4">
            <w:pPr>
              <w:spacing w:line="360" w:lineRule="auto"/>
              <w:jc w:val="both"/>
              <w:rPr>
                <w:rFonts w:ascii="Times New Roman" w:hAnsi="Times New Roman" w:cs="Times New Roman"/>
                <w:b/>
                <w:bCs/>
                <w:sz w:val="22"/>
              </w:rPr>
            </w:pPr>
            <w:r w:rsidRPr="00F153F6">
              <w:rPr>
                <w:rFonts w:ascii="Times New Roman" w:hAnsi="Times New Roman" w:cs="Times New Roman"/>
                <w:b/>
                <w:bCs/>
                <w:sz w:val="22"/>
              </w:rPr>
              <w:t>Knowledgeability</w:t>
            </w:r>
          </w:p>
        </w:tc>
        <w:tc>
          <w:tcPr>
            <w:tcW w:w="2263" w:type="dxa"/>
            <w:tcBorders>
              <w:top w:val="nil"/>
              <w:left w:val="nil"/>
              <w:right w:val="nil"/>
            </w:tcBorders>
            <w:shd w:val="clear" w:color="auto" w:fill="auto"/>
            <w:hideMark/>
          </w:tcPr>
          <w:p w14:paraId="3E39F6D5"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Activities</w:t>
            </w:r>
          </w:p>
        </w:tc>
        <w:tc>
          <w:tcPr>
            <w:tcW w:w="4252" w:type="dxa"/>
            <w:tcBorders>
              <w:top w:val="nil"/>
              <w:left w:val="nil"/>
              <w:right w:val="nil"/>
            </w:tcBorders>
            <w:shd w:val="clear" w:color="auto" w:fill="auto"/>
            <w:hideMark/>
          </w:tcPr>
          <w:p w14:paraId="50BF175F"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Explanations</w:t>
            </w:r>
          </w:p>
        </w:tc>
      </w:tr>
      <w:tr w:rsidR="005549E4" w:rsidRPr="00F153F6" w14:paraId="4E45E17A" w14:textId="77777777" w:rsidTr="004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il"/>
              <w:left w:val="nil"/>
              <w:bottom w:val="nil"/>
            </w:tcBorders>
            <w:shd w:val="clear" w:color="auto" w:fill="auto"/>
            <w:hideMark/>
          </w:tcPr>
          <w:p w14:paraId="1A704FEF" w14:textId="77777777" w:rsidR="0015201A" w:rsidRPr="00F153F6" w:rsidRDefault="0015201A" w:rsidP="004424B4">
            <w:pPr>
              <w:spacing w:line="360" w:lineRule="auto"/>
              <w:jc w:val="both"/>
              <w:rPr>
                <w:rFonts w:ascii="Times New Roman" w:hAnsi="Times New Roman" w:cs="Times New Roman"/>
                <w:i w:val="0"/>
                <w:iCs w:val="0"/>
                <w:sz w:val="22"/>
              </w:rPr>
            </w:pPr>
            <w:r w:rsidRPr="00F153F6">
              <w:rPr>
                <w:rFonts w:ascii="Times New Roman" w:hAnsi="Times New Roman" w:cs="Times New Roman"/>
                <w:sz w:val="22"/>
              </w:rPr>
              <w:t xml:space="preserve">Shared Understanding </w:t>
            </w:r>
          </w:p>
          <w:p w14:paraId="61B739EC" w14:textId="77777777" w:rsidR="0015201A" w:rsidRPr="00F153F6" w:rsidRDefault="0015201A" w:rsidP="004424B4">
            <w:pPr>
              <w:spacing w:line="360" w:lineRule="auto"/>
              <w:jc w:val="both"/>
              <w:rPr>
                <w:rFonts w:ascii="Times New Roman" w:hAnsi="Times New Roman" w:cs="Times New Roman"/>
                <w:i w:val="0"/>
                <w:iCs w:val="0"/>
                <w:sz w:val="22"/>
              </w:rPr>
            </w:pPr>
          </w:p>
          <w:p w14:paraId="4D35F21E" w14:textId="77777777" w:rsidR="0015201A" w:rsidRPr="00F153F6" w:rsidRDefault="0015201A" w:rsidP="004424B4">
            <w:pPr>
              <w:spacing w:line="360" w:lineRule="auto"/>
              <w:jc w:val="both"/>
              <w:rPr>
                <w:rFonts w:ascii="Times New Roman" w:hAnsi="Times New Roman" w:cs="Times New Roman"/>
                <w:sz w:val="22"/>
              </w:rPr>
            </w:pPr>
            <w:r w:rsidRPr="00F153F6">
              <w:rPr>
                <w:rFonts w:ascii="Times New Roman" w:hAnsi="Times New Roman" w:cs="Times New Roman"/>
                <w:sz w:val="22"/>
              </w:rPr>
              <w:t>Explanation: Knowing how to Align Expertise</w:t>
            </w:r>
          </w:p>
        </w:tc>
        <w:tc>
          <w:tcPr>
            <w:tcW w:w="2263" w:type="dxa"/>
            <w:shd w:val="clear" w:color="auto" w:fill="auto"/>
            <w:hideMark/>
          </w:tcPr>
          <w:p w14:paraId="29964B81"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Onboarding</w:t>
            </w:r>
          </w:p>
        </w:tc>
        <w:tc>
          <w:tcPr>
            <w:tcW w:w="4252" w:type="dxa"/>
            <w:shd w:val="clear" w:color="auto" w:fill="auto"/>
            <w:hideMark/>
          </w:tcPr>
          <w:p w14:paraId="05DB6F34"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bookmarkStart w:id="455" w:name="OLE_LINK286"/>
            <w:bookmarkStart w:id="456" w:name="OLE_LINK287"/>
            <w:r w:rsidRPr="00F153F6">
              <w:rPr>
                <w:rFonts w:ascii="Times New Roman" w:hAnsi="Times New Roman" w:cs="Times New Roman"/>
              </w:rPr>
              <w:t>Actors get onboard in the project towards a shared knowledge level required by the project team.</w:t>
            </w:r>
            <w:bookmarkEnd w:id="455"/>
            <w:bookmarkEnd w:id="456"/>
          </w:p>
        </w:tc>
      </w:tr>
      <w:tr w:rsidR="005549E4" w:rsidRPr="00F153F6" w14:paraId="5A65EED9" w14:textId="77777777" w:rsidTr="004314D7">
        <w:trPr>
          <w:trHeight w:val="1435"/>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shd w:val="clear" w:color="auto" w:fill="auto"/>
            <w:vAlign w:val="center"/>
          </w:tcPr>
          <w:p w14:paraId="69E7D903" w14:textId="77777777" w:rsidR="0015201A" w:rsidRPr="00F153F6" w:rsidRDefault="0015201A" w:rsidP="004424B4">
            <w:pPr>
              <w:spacing w:line="360" w:lineRule="auto"/>
              <w:jc w:val="both"/>
              <w:rPr>
                <w:rFonts w:ascii="Times New Roman" w:hAnsi="Times New Roman" w:cs="Times New Roman"/>
                <w:i w:val="0"/>
                <w:iCs w:val="0"/>
                <w:sz w:val="22"/>
              </w:rPr>
            </w:pPr>
          </w:p>
        </w:tc>
        <w:tc>
          <w:tcPr>
            <w:tcW w:w="2263" w:type="dxa"/>
            <w:shd w:val="clear" w:color="auto" w:fill="auto"/>
          </w:tcPr>
          <w:p w14:paraId="7E7D442B"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Sharing</w:t>
            </w:r>
          </w:p>
        </w:tc>
        <w:tc>
          <w:tcPr>
            <w:tcW w:w="4252" w:type="dxa"/>
            <w:shd w:val="clear" w:color="auto" w:fill="auto"/>
          </w:tcPr>
          <w:p w14:paraId="26AD1E08"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 xml:space="preserve">Actors </w:t>
            </w:r>
            <w:bookmarkStart w:id="457" w:name="OLE_LINK767"/>
            <w:bookmarkStart w:id="458" w:name="OLE_LINK768"/>
            <w:r w:rsidRPr="00F153F6">
              <w:rPr>
                <w:rFonts w:ascii="Times New Roman" w:hAnsi="Times New Roman" w:cs="Times New Roman"/>
              </w:rPr>
              <w:t>share insights and expertise with each other towards a common understanding on specific topic</w:t>
            </w:r>
            <w:bookmarkEnd w:id="457"/>
            <w:bookmarkEnd w:id="458"/>
          </w:p>
        </w:tc>
      </w:tr>
    </w:tbl>
    <w:p w14:paraId="054AA587" w14:textId="77777777" w:rsidR="0015201A" w:rsidRPr="00F153F6" w:rsidRDefault="0015201A" w:rsidP="004424B4">
      <w:pPr>
        <w:spacing w:line="360" w:lineRule="auto"/>
        <w:jc w:val="both"/>
        <w:rPr>
          <w:rFonts w:ascii="Times New Roman" w:hAnsi="Times New Roman" w:cs="Times New Roman"/>
        </w:rPr>
      </w:pPr>
    </w:p>
    <w:p w14:paraId="1BBCE6CA" w14:textId="77777777" w:rsidR="0015201A" w:rsidRPr="00F153F6" w:rsidRDefault="0015201A" w:rsidP="004424B4">
      <w:pPr>
        <w:spacing w:line="360" w:lineRule="auto"/>
        <w:jc w:val="both"/>
        <w:rPr>
          <w:rFonts w:ascii="Times New Roman" w:hAnsi="Times New Roman" w:cs="Times New Roman"/>
        </w:rPr>
      </w:pPr>
    </w:p>
    <w:p w14:paraId="38EE9672" w14:textId="77777777"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Onboarding</w:t>
      </w:r>
    </w:p>
    <w:p w14:paraId="2606E4DE" w14:textId="0A3D1DA5"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Onboarding refers to an activity through which actors get onboard in the project towards providing the level of shared knowledge required by the project team. There are usually training courses or instructions organised by the project team to advance actors’ knowledge level. Actors who engage in onboarding activities are able to develop a common understanding towards project relevant concepts so that they know what the project is about, what expertise they have, and what they should do in this project. The use of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such as digital slides </w:t>
      </w:r>
      <w:r w:rsidR="003E53BD" w:rsidRPr="00F153F6">
        <w:rPr>
          <w:rFonts w:ascii="Times New Roman" w:hAnsi="Times New Roman" w:cs="Times New Roman"/>
          <w:sz w:val="24"/>
          <w:szCs w:val="24"/>
        </w:rPr>
        <w:t>affords</w:t>
      </w:r>
      <w:r w:rsidRPr="00F153F6">
        <w:rPr>
          <w:rFonts w:ascii="Times New Roman" w:hAnsi="Times New Roman" w:cs="Times New Roman"/>
          <w:sz w:val="24"/>
          <w:szCs w:val="24"/>
        </w:rPr>
        <w:t xml:space="preserve"> actors showcasing ability so that they can learn the project from each other. This allows actors to enact their shared understanding knowledgeability as they get onboard and develop an understanding on how to align expertise towards a common level. As one interviewee notes:</w:t>
      </w:r>
    </w:p>
    <w:p w14:paraId="5F81E90F" w14:textId="1E1B88F6"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lastRenderedPageBreak/>
        <w:t>“</w:t>
      </w:r>
      <w:bookmarkStart w:id="459" w:name="OLE_LINK715"/>
      <w:bookmarkStart w:id="460" w:name="OLE_LINK716"/>
      <w:r w:rsidRPr="00F153F6">
        <w:rPr>
          <w:rFonts w:ascii="Times New Roman" w:hAnsi="Times New Roman" w:cs="Times New Roman"/>
          <w:i/>
          <w:iCs/>
          <w:sz w:val="24"/>
          <w:szCs w:val="24"/>
        </w:rPr>
        <w:t xml:space="preserve">We try to get all the participants on board on the same kind of knowledge level about the project and what is expected from them by presenting the project in some slides. These slides provide very rich </w:t>
      </w:r>
      <w:r w:rsidR="009C3760" w:rsidRPr="00F153F6">
        <w:rPr>
          <w:rFonts w:ascii="Times New Roman" w:hAnsi="Times New Roman" w:cs="Times New Roman"/>
          <w:i/>
          <w:iCs/>
          <w:sz w:val="24"/>
          <w:szCs w:val="24"/>
        </w:rPr>
        <w:t>information,</w:t>
      </w:r>
      <w:r w:rsidRPr="00F153F6">
        <w:rPr>
          <w:rFonts w:ascii="Times New Roman" w:hAnsi="Times New Roman" w:cs="Times New Roman"/>
          <w:i/>
          <w:iCs/>
          <w:sz w:val="24"/>
          <w:szCs w:val="24"/>
        </w:rPr>
        <w:t xml:space="preserve"> and they could easily get to know what we are expecting from them and how they should be contributing</w:t>
      </w:r>
      <w:bookmarkEnd w:id="459"/>
      <w:bookmarkEnd w:id="460"/>
      <w:r w:rsidRPr="00F153F6">
        <w:rPr>
          <w:rFonts w:ascii="Times New Roman" w:hAnsi="Times New Roman" w:cs="Times New Roman"/>
          <w:i/>
          <w:iCs/>
          <w:sz w:val="24"/>
          <w:szCs w:val="24"/>
        </w:rPr>
        <w:t>.” (Project A1, Participant 2, Para. 39)</w:t>
      </w:r>
    </w:p>
    <w:p w14:paraId="15D6BB4B" w14:textId="028C1BCF"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Actors who are collaborating in the project may possess an insufficient level of knowledge and understanding to perform their tasks as required by the project. Therefore, actors will need to learn this information by engaging in onboarding activities. The use of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such as digital slides, are usually prepared containing detailed information before their presentation. This shows that actors can use these slides to showcase their expertise and that they can learn from each other and develop and share their knowledge.</w:t>
      </w:r>
    </w:p>
    <w:p w14:paraId="69DBF3BA" w14:textId="77777777" w:rsidR="0015201A" w:rsidRPr="00F153F6" w:rsidRDefault="0015201A" w:rsidP="004424B4">
      <w:pPr>
        <w:spacing w:line="360" w:lineRule="auto"/>
        <w:jc w:val="both"/>
        <w:rPr>
          <w:rFonts w:ascii="Times New Roman" w:hAnsi="Times New Roman" w:cs="Times New Roman"/>
          <w:sz w:val="24"/>
          <w:szCs w:val="24"/>
        </w:rPr>
      </w:pPr>
    </w:p>
    <w:p w14:paraId="36220B5A" w14:textId="77777777"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Sharing</w:t>
      </w:r>
    </w:p>
    <w:p w14:paraId="3053C85A" w14:textId="6DCABDB9" w:rsidR="0015201A" w:rsidRPr="00F153F6" w:rsidRDefault="0015201A" w:rsidP="004424B4">
      <w:pPr>
        <w:spacing w:line="360" w:lineRule="auto"/>
        <w:jc w:val="both"/>
        <w:rPr>
          <w:rFonts w:ascii="Times New Roman" w:hAnsi="Times New Roman" w:cs="Times New Roman"/>
          <w:sz w:val="24"/>
          <w:szCs w:val="24"/>
        </w:rPr>
      </w:pPr>
      <w:bookmarkStart w:id="461" w:name="OLE_LINK901"/>
      <w:bookmarkStart w:id="462" w:name="OLE_LINK902"/>
      <w:r w:rsidRPr="00F153F6">
        <w:rPr>
          <w:rFonts w:ascii="Times New Roman" w:hAnsi="Times New Roman" w:cs="Times New Roman"/>
          <w:sz w:val="24"/>
          <w:szCs w:val="24"/>
        </w:rPr>
        <w:t xml:space="preserve">Sharing refers to the activity through which actors share insights and expertise with each other towards a common understanding of a specific topic. At the inception stage, actors may explain their expertise by sharing information with regards to some specific concepts upon which they can develop a mutual understanding. In doing so, actors are able to improve their understanding of how to align diverse expertise through the enactment of shared understanding knowledgeability.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 facilitate the above by </w:t>
      </w:r>
      <w:r w:rsidR="003E53BD" w:rsidRPr="00F153F6">
        <w:rPr>
          <w:rFonts w:ascii="Times New Roman" w:hAnsi="Times New Roman" w:cs="Times New Roman"/>
          <w:sz w:val="24"/>
          <w:szCs w:val="24"/>
        </w:rPr>
        <w:t>affording</w:t>
      </w:r>
      <w:r w:rsidRPr="00F153F6">
        <w:rPr>
          <w:rFonts w:ascii="Times New Roman" w:hAnsi="Times New Roman" w:cs="Times New Roman"/>
          <w:sz w:val="24"/>
          <w:szCs w:val="24"/>
        </w:rPr>
        <w:t xml:space="preserve"> actors collective storing ability. As one interviewee notes:</w:t>
      </w:r>
      <w:bookmarkEnd w:id="461"/>
      <w:bookmarkEnd w:id="462"/>
    </w:p>
    <w:p w14:paraId="619BB74B" w14:textId="7B35E3F8"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“We have to set up a kind of common understanding for all of them, not only in this project A, but in other projects, what we did is to have a wiki. So, with wiki what we did in our groups is to have a wiki where it demonstrates some key concepts that we identified. We all are in that way, we ensure that we all are understanding the same thing when we talk about some key concepts, right? Because we all can contribute to that concept, so it is a good way to have this common understanding and to have this common vision of the project for the next several years.” </w:t>
      </w:r>
      <w:bookmarkStart w:id="463" w:name="OLE_LINK775"/>
      <w:bookmarkStart w:id="464" w:name="OLE_LINK776"/>
      <w:r w:rsidRPr="00F153F6">
        <w:rPr>
          <w:rFonts w:ascii="Times New Roman" w:hAnsi="Times New Roman" w:cs="Times New Roman"/>
          <w:i/>
          <w:iCs/>
          <w:sz w:val="24"/>
          <w:szCs w:val="24"/>
        </w:rPr>
        <w:t>(Project A1, Participant 3, Para. 26)</w:t>
      </w:r>
      <w:bookmarkEnd w:id="463"/>
      <w:bookmarkEnd w:id="464"/>
      <w:r w:rsidRPr="00F153F6">
        <w:rPr>
          <w:rFonts w:ascii="Times New Roman" w:hAnsi="Times New Roman" w:cs="Times New Roman"/>
          <w:i/>
          <w:iCs/>
          <w:sz w:val="24"/>
          <w:szCs w:val="24"/>
        </w:rPr>
        <w:t xml:space="preserve"> </w:t>
      </w:r>
    </w:p>
    <w:p w14:paraId="29DCF90D" w14:textId="5FA712C0"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the above instance, project partners use Wiki as a common repository to store key project concepts or ideas collectively. Due to the democratic nature of inter-organisational knowledge exchanges, all partners have access to the website and can view and learn about, and store new </w:t>
      </w:r>
      <w:r w:rsidRPr="00F153F6">
        <w:rPr>
          <w:rFonts w:ascii="Times New Roman" w:hAnsi="Times New Roman" w:cs="Times New Roman"/>
          <w:sz w:val="24"/>
          <w:szCs w:val="24"/>
        </w:rPr>
        <w:lastRenderedPageBreak/>
        <w:t xml:space="preserve">concepts on the Wiki. The digital repository as the </w:t>
      </w:r>
      <w:r w:rsidR="00497166" w:rsidRPr="00F153F6">
        <w:rPr>
          <w:rFonts w:ascii="Times New Roman" w:hAnsi="Times New Roman" w:cs="Times New Roman"/>
          <w:sz w:val="24"/>
          <w:szCs w:val="24"/>
        </w:rPr>
        <w:t>material properties</w:t>
      </w:r>
      <w:r w:rsidRPr="00F153F6">
        <w:rPr>
          <w:rFonts w:ascii="Times New Roman" w:hAnsi="Times New Roman" w:cs="Times New Roman"/>
          <w:sz w:val="24"/>
          <w:szCs w:val="24"/>
        </w:rPr>
        <w:t xml:space="preserve"> of </w:t>
      </w:r>
      <w:r w:rsidR="00497166" w:rsidRPr="00F153F6">
        <w:rPr>
          <w:rFonts w:ascii="Times New Roman" w:hAnsi="Times New Roman" w:cs="Times New Roman"/>
          <w:sz w:val="24"/>
          <w:szCs w:val="24"/>
        </w:rPr>
        <w:t xml:space="preserve">the digital </w:t>
      </w:r>
      <w:r w:rsidRPr="00F153F6">
        <w:rPr>
          <w:rFonts w:ascii="Times New Roman" w:hAnsi="Times New Roman" w:cs="Times New Roman"/>
          <w:sz w:val="24"/>
          <w:szCs w:val="24"/>
        </w:rPr>
        <w:t xml:space="preserve">Wiki affords actors collective storing ability, which allows actors to develop a mutual understanding to any insights they put on the Wiki. During the inception stage, the Wiki can be used as a common basis for future activities, which indicates the significance of shared understanding knowledgeability as a core capability for the inception stage of the Living Lab project. </w:t>
      </w:r>
    </w:p>
    <w:p w14:paraId="6A41ACF1" w14:textId="779A35F1"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Although actors in the project usually have direct access to work on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for sharing expertise, there are scenarios where some specific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allows only a specific person to edit. In this case,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constrain actor’s public codifying ability that may inhibit their enactment of shared understanding in sharing activities. As one interviewee notes:</w:t>
      </w:r>
    </w:p>
    <w:p w14:paraId="7F99E3CC" w14:textId="1099E6BF"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“Now we are getting those new companies in, I have planned that Slack will be the main communication because we have a challenge between us and the company website because the web page of me or my colleagues in front of business, we are not able to update the website. One of the principles in this project is that the information will not be just given to one company but should be available for all. So, in the first request for tender phase, we were having a question and answer section on the website. But it is not very easy because there wasn’t real-name email address but a desk-email box and so once I got </w:t>
      </w:r>
      <w:r w:rsidR="00497166" w:rsidRPr="00F153F6">
        <w:rPr>
          <w:rFonts w:ascii="Times New Roman" w:hAnsi="Times New Roman" w:cs="Times New Roman"/>
          <w:i/>
          <w:iCs/>
          <w:sz w:val="24"/>
          <w:szCs w:val="24"/>
        </w:rPr>
        <w:t>questions,</w:t>
      </w:r>
      <w:r w:rsidRPr="00F153F6">
        <w:rPr>
          <w:rFonts w:ascii="Times New Roman" w:hAnsi="Times New Roman" w:cs="Times New Roman"/>
          <w:i/>
          <w:iCs/>
          <w:sz w:val="24"/>
          <w:szCs w:val="24"/>
        </w:rPr>
        <w:t xml:space="preserve"> I have to say that this email address was mine. And then I reply on that question and then I will send the question and answer to the partner who was responsible for the website, and then they were adding it. And then me and my colleagues went to check how it looked like, because they were a little bit busy, maybe. And sometimes </w:t>
      </w:r>
      <w:r w:rsidRPr="00F153F6">
        <w:rPr>
          <w:rFonts w:ascii="Times New Roman" w:hAnsi="Times New Roman" w:cs="Times New Roman"/>
          <w:sz w:val="24"/>
          <w:szCs w:val="24"/>
        </w:rPr>
        <w:t>[a lot of information]</w:t>
      </w:r>
      <w:r w:rsidRPr="00F153F6">
        <w:rPr>
          <w:rFonts w:ascii="Times New Roman" w:hAnsi="Times New Roman" w:cs="Times New Roman"/>
          <w:i/>
          <w:iCs/>
          <w:sz w:val="24"/>
          <w:szCs w:val="24"/>
        </w:rPr>
        <w:t xml:space="preserve"> was missing. And so with I think that in this phase, I need a service or solution, which I can update website by myself and immediately and instantly. So, I don’t need to ask anybody else to do something and then try to explain what I was wishing them to do.” (Project A1, Participant 3, Para. 70)</w:t>
      </w:r>
    </w:p>
    <w:p w14:paraId="194E2778" w14:textId="540A718B"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the above instance, at the initial stage, the project is in the process of involving new partners, which require the project partners to share project information with the new collaborators. However, in this case, although the communication platform, the website, has an interactive section that allows actors to share their expertise, actors cannot directly edit the website and share the insights. They have to ask specific individuals who are responsible for updating the website and sharing the relevant information. It is required that all information be shared for partners to shape a mutual understanding, which reflects the democratic nature of the inter-organisational context in the Living Lab project. However, this increases actors’ difficulties to </w:t>
      </w:r>
      <w:r w:rsidRPr="00F153F6">
        <w:rPr>
          <w:rFonts w:ascii="Times New Roman" w:hAnsi="Times New Roman" w:cs="Times New Roman"/>
          <w:sz w:val="24"/>
          <w:szCs w:val="24"/>
        </w:rPr>
        <w:lastRenderedPageBreak/>
        <w:t xml:space="preserve">capture all others’ insights for sharing. The materiality of such websites that only specific persons are able to update can thereby greatly inhibit actors sharing their expertise towards mutual understanding by constraining their public codifying ability. </w:t>
      </w:r>
    </w:p>
    <w:p w14:paraId="3033B53C" w14:textId="6FA2B2AD"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addition, as actors immerse themselves in sharing expertise, they can deliver their insights in explicit and implicit ways. However, although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allow actors to showcase their insights directly, at the same time,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prohibit them from providing enough implicit meaning by constraining their implicit signalling ability. As one interviewee notes:</w:t>
      </w:r>
    </w:p>
    <w:p w14:paraId="3DE571A8" w14:textId="16A9F147"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“Face to face in a physical way, it’s very much needed, and you will never get the same outcomes from a virtual meeting. Because you miss a lot of things with having this kind of virtual meetings instead of walking in together and having face-to-face meetings, because the interaction is not the same. You may learn a lot of information from the slides and talk, but people’s body language also is important, you need some, I don’t know, some different nuances that maybe the body language can provide you to explain their work. And in the face-to-face meeting, you will get a lot of more information in that sense.” (Project A1, Participant 3, Para 37)</w:t>
      </w:r>
    </w:p>
    <w:p w14:paraId="26461C7D" w14:textId="4A545CF2"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As shown in the above example, actors could use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such as slides in a virtual meeting to showcase their expertise to others and enable them to learn. However, there is also a great deal of implicit information that can only be provided through non-verbal body language, and such information also seems to be significant in shaping shared understanding. Therefore, the use of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constrain actors’ implicit signalling ability to communicate effectively with each other, which may thereby </w:t>
      </w:r>
      <w:r w:rsidR="009C3760" w:rsidRPr="00F153F6">
        <w:rPr>
          <w:rFonts w:ascii="Times New Roman" w:hAnsi="Times New Roman" w:cs="Times New Roman"/>
          <w:sz w:val="24"/>
          <w:szCs w:val="24"/>
        </w:rPr>
        <w:t>inhibit</w:t>
      </w:r>
      <w:r w:rsidRPr="00F153F6">
        <w:rPr>
          <w:rFonts w:ascii="Times New Roman" w:hAnsi="Times New Roman" w:cs="Times New Roman"/>
          <w:sz w:val="24"/>
          <w:szCs w:val="24"/>
        </w:rPr>
        <w:t xml:space="preserve"> actors’ accomplishment of shared understanding knowledgeability.</w:t>
      </w:r>
    </w:p>
    <w:p w14:paraId="6ABFB4CF" w14:textId="77777777" w:rsidR="0015201A" w:rsidRPr="00F153F6" w:rsidRDefault="0015201A" w:rsidP="004424B4">
      <w:pPr>
        <w:spacing w:line="360" w:lineRule="auto"/>
        <w:jc w:val="both"/>
        <w:rPr>
          <w:rFonts w:ascii="Times New Roman" w:hAnsi="Times New Roman" w:cs="Times New Roman"/>
        </w:rPr>
      </w:pPr>
    </w:p>
    <w:p w14:paraId="57885B64" w14:textId="1F6198BE" w:rsidR="0015201A" w:rsidRPr="00F153F6" w:rsidRDefault="0015201A" w:rsidP="00116210">
      <w:pPr>
        <w:pStyle w:val="Heading3"/>
        <w:spacing w:line="360" w:lineRule="auto"/>
        <w:ind w:left="720"/>
        <w:jc w:val="both"/>
        <w:rPr>
          <w:rFonts w:ascii="Times New Roman" w:hAnsi="Times New Roman" w:cs="Times New Roman"/>
          <w:b/>
          <w:color w:val="auto"/>
          <w:sz w:val="28"/>
          <w:szCs w:val="28"/>
        </w:rPr>
      </w:pPr>
      <w:bookmarkStart w:id="465" w:name="_Toc118371134"/>
      <w:bookmarkStart w:id="466" w:name="_Toc133252160"/>
      <w:bookmarkEnd w:id="447"/>
      <w:r w:rsidRPr="00F153F6">
        <w:rPr>
          <w:rFonts w:ascii="Times New Roman" w:hAnsi="Times New Roman" w:cs="Times New Roman"/>
          <w:b/>
          <w:color w:val="auto"/>
          <w:sz w:val="28"/>
          <w:szCs w:val="28"/>
        </w:rPr>
        <w:t xml:space="preserve">4.2.3. Interactive Commenting and </w:t>
      </w:r>
      <w:r w:rsidR="00FA6038" w:rsidRPr="00F153F6">
        <w:rPr>
          <w:rFonts w:ascii="Times New Roman" w:hAnsi="Times New Roman" w:cs="Times New Roman"/>
          <w:b/>
          <w:color w:val="auto"/>
          <w:sz w:val="28"/>
          <w:szCs w:val="28"/>
        </w:rPr>
        <w:t>ICT</w:t>
      </w:r>
      <w:bookmarkEnd w:id="465"/>
      <w:bookmarkEnd w:id="466"/>
    </w:p>
    <w:p w14:paraId="2526DE47" w14:textId="7C7D774C"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Interactive commenting refers to a knowledgeability enacted by actors who give opinions or feedbacks on each other’s work so that they know how to assist their peers to improve their work. There are two types of activities that comprise such knowledgeability: Collaborative Writing; and Group Discussions. During these activities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 facilitate such enactment by providing actors an instant workaround and flexibility. At the same time,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inhibit such enactment of knowledgeability by constraining their ability to signal implicit meanings and concentrate on their works. Table 4.5 provides a summary of </w:t>
      </w:r>
      <w:bookmarkStart w:id="467" w:name="OLE_LINK795"/>
      <w:bookmarkStart w:id="468" w:name="OLE_LINK796"/>
      <w:bookmarkStart w:id="469" w:name="OLE_LINK781"/>
      <w:bookmarkStart w:id="470" w:name="OLE_LINK782"/>
      <w:r w:rsidRPr="00F153F6">
        <w:rPr>
          <w:rFonts w:ascii="Times New Roman" w:hAnsi="Times New Roman" w:cs="Times New Roman"/>
          <w:sz w:val="24"/>
          <w:szCs w:val="24"/>
        </w:rPr>
        <w:t xml:space="preserve">interactive </w:t>
      </w:r>
      <w:bookmarkEnd w:id="467"/>
      <w:bookmarkEnd w:id="468"/>
      <w:r w:rsidRPr="00F153F6">
        <w:rPr>
          <w:rFonts w:ascii="Times New Roman" w:hAnsi="Times New Roman" w:cs="Times New Roman"/>
          <w:sz w:val="24"/>
          <w:szCs w:val="24"/>
        </w:rPr>
        <w:t>commenting</w:t>
      </w:r>
      <w:bookmarkEnd w:id="469"/>
      <w:bookmarkEnd w:id="470"/>
      <w:r w:rsidRPr="00F153F6">
        <w:rPr>
          <w:rFonts w:ascii="Times New Roman" w:hAnsi="Times New Roman" w:cs="Times New Roman"/>
          <w:sz w:val="24"/>
          <w:szCs w:val="24"/>
        </w:rPr>
        <w:t xml:space="preserve"> </w:t>
      </w:r>
      <w:r w:rsidRPr="00F153F6">
        <w:rPr>
          <w:rFonts w:ascii="Times New Roman" w:hAnsi="Times New Roman" w:cs="Times New Roman"/>
          <w:sz w:val="24"/>
          <w:szCs w:val="24"/>
        </w:rPr>
        <w:lastRenderedPageBreak/>
        <w:t>knowledgeability, its accomplished knowing-in-practice, activities that allow the enactment of such knowledgeability, and their explanations.</w:t>
      </w:r>
    </w:p>
    <w:p w14:paraId="5F2A0030" w14:textId="77777777" w:rsidR="0015201A" w:rsidRPr="00F153F6" w:rsidRDefault="0015201A" w:rsidP="004424B4">
      <w:pPr>
        <w:spacing w:line="360" w:lineRule="auto"/>
        <w:jc w:val="both"/>
        <w:rPr>
          <w:rFonts w:ascii="Times New Roman" w:hAnsi="Times New Roman" w:cs="Times New Roman"/>
        </w:rPr>
      </w:pPr>
    </w:p>
    <w:p w14:paraId="00C17869" w14:textId="534CD44D" w:rsidR="00845905" w:rsidRPr="00F153F6" w:rsidRDefault="00845905" w:rsidP="00845905">
      <w:pPr>
        <w:pStyle w:val="Caption"/>
        <w:keepNext/>
        <w:rPr>
          <w:rFonts w:ascii="Times New Roman" w:hAnsi="Times New Roman" w:cs="Times New Roman"/>
          <w:i w:val="0"/>
          <w:iCs w:val="0"/>
          <w:color w:val="auto"/>
          <w:sz w:val="22"/>
          <w:szCs w:val="22"/>
        </w:rPr>
      </w:pPr>
      <w:bookmarkStart w:id="471" w:name="_Toc119448039"/>
      <w:r w:rsidRPr="00F153F6">
        <w:rPr>
          <w:rFonts w:ascii="Times New Roman" w:hAnsi="Times New Roman" w:cs="Times New Roman"/>
          <w:i w:val="0"/>
          <w:iCs w:val="0"/>
          <w:color w:val="auto"/>
          <w:sz w:val="22"/>
          <w:szCs w:val="22"/>
        </w:rPr>
        <w:t xml:space="preserve">Table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Table_4. \* ARABIC </w:instrText>
      </w:r>
      <w:r w:rsidRPr="00F153F6">
        <w:rPr>
          <w:rFonts w:ascii="Times New Roman" w:hAnsi="Times New Roman" w:cs="Times New Roman"/>
          <w:i w:val="0"/>
          <w:iCs w:val="0"/>
          <w:color w:val="auto"/>
          <w:sz w:val="22"/>
          <w:szCs w:val="22"/>
        </w:rPr>
        <w:fldChar w:fldCharType="separate"/>
      </w:r>
      <w:r w:rsidR="007148BA" w:rsidRPr="00F153F6">
        <w:rPr>
          <w:rFonts w:ascii="Times New Roman" w:hAnsi="Times New Roman" w:cs="Times New Roman"/>
          <w:i w:val="0"/>
          <w:iCs w:val="0"/>
          <w:noProof/>
          <w:color w:val="auto"/>
          <w:sz w:val="22"/>
          <w:szCs w:val="22"/>
        </w:rPr>
        <w:t>5</w:t>
      </w:r>
      <w:r w:rsidRPr="00F153F6">
        <w:rPr>
          <w:rFonts w:ascii="Times New Roman" w:hAnsi="Times New Roman" w:cs="Times New Roman"/>
          <w:i w:val="0"/>
          <w:iCs w:val="0"/>
          <w:color w:val="auto"/>
          <w:sz w:val="22"/>
          <w:szCs w:val="22"/>
        </w:rPr>
        <w:fldChar w:fldCharType="end"/>
      </w:r>
      <w:bookmarkStart w:id="472" w:name="OLE_LINK811"/>
      <w:bookmarkStart w:id="473" w:name="OLE_LINK812"/>
      <w:r w:rsidRPr="00F153F6">
        <w:rPr>
          <w:rFonts w:ascii="Times New Roman" w:hAnsi="Times New Roman" w:cs="Times New Roman"/>
          <w:i w:val="0"/>
          <w:iCs w:val="0"/>
          <w:color w:val="auto"/>
          <w:sz w:val="22"/>
          <w:szCs w:val="22"/>
        </w:rPr>
        <w:t xml:space="preserve"> Summary of the interactive commenting knowledgeability and its relevant elements</w:t>
      </w:r>
      <w:bookmarkEnd w:id="471"/>
      <w:bookmarkEnd w:id="472"/>
      <w:bookmarkEnd w:id="473"/>
    </w:p>
    <w:tbl>
      <w:tblPr>
        <w:tblStyle w:val="PlainTable5"/>
        <w:tblW w:w="9067" w:type="dxa"/>
        <w:tblLook w:val="04A0" w:firstRow="1" w:lastRow="0" w:firstColumn="1" w:lastColumn="0" w:noHBand="0" w:noVBand="1"/>
      </w:tblPr>
      <w:tblGrid>
        <w:gridCol w:w="2552"/>
        <w:gridCol w:w="2263"/>
        <w:gridCol w:w="4252"/>
      </w:tblGrid>
      <w:tr w:rsidR="005549E4" w:rsidRPr="00F153F6" w14:paraId="65BCD9D2" w14:textId="77777777" w:rsidTr="004314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shd w:val="clear" w:color="auto" w:fill="auto"/>
          </w:tcPr>
          <w:p w14:paraId="7C5C4DDA" w14:textId="77777777" w:rsidR="0015201A" w:rsidRPr="00F153F6" w:rsidRDefault="0015201A" w:rsidP="004424B4">
            <w:pPr>
              <w:spacing w:line="360" w:lineRule="auto"/>
              <w:jc w:val="both"/>
              <w:rPr>
                <w:rFonts w:ascii="Times New Roman" w:hAnsi="Times New Roman" w:cs="Times New Roman"/>
                <w:b/>
                <w:bCs/>
                <w:sz w:val="22"/>
              </w:rPr>
            </w:pPr>
            <w:r w:rsidRPr="00F153F6">
              <w:rPr>
                <w:rFonts w:ascii="Times New Roman" w:hAnsi="Times New Roman" w:cs="Times New Roman"/>
                <w:b/>
                <w:bCs/>
                <w:sz w:val="22"/>
              </w:rPr>
              <w:t>Knowledgeability</w:t>
            </w:r>
          </w:p>
        </w:tc>
        <w:tc>
          <w:tcPr>
            <w:tcW w:w="2263" w:type="dxa"/>
            <w:shd w:val="clear" w:color="auto" w:fill="auto"/>
          </w:tcPr>
          <w:p w14:paraId="7C23A66B"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Activities</w:t>
            </w:r>
          </w:p>
        </w:tc>
        <w:tc>
          <w:tcPr>
            <w:tcW w:w="4252" w:type="dxa"/>
            <w:shd w:val="clear" w:color="auto" w:fill="auto"/>
          </w:tcPr>
          <w:p w14:paraId="7EB44B62"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Explanations</w:t>
            </w:r>
          </w:p>
        </w:tc>
      </w:tr>
      <w:tr w:rsidR="005549E4" w:rsidRPr="00F153F6" w14:paraId="0007D207" w14:textId="77777777" w:rsidTr="004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shd w:val="clear" w:color="auto" w:fill="auto"/>
          </w:tcPr>
          <w:p w14:paraId="18FD4ACC" w14:textId="77777777" w:rsidR="0015201A" w:rsidRPr="00F153F6" w:rsidRDefault="0015201A" w:rsidP="004424B4">
            <w:pPr>
              <w:spacing w:line="360" w:lineRule="auto"/>
              <w:jc w:val="both"/>
              <w:rPr>
                <w:rFonts w:ascii="Times New Roman" w:hAnsi="Times New Roman" w:cs="Times New Roman"/>
                <w:i w:val="0"/>
                <w:iCs w:val="0"/>
                <w:sz w:val="22"/>
              </w:rPr>
            </w:pPr>
            <w:bookmarkStart w:id="474" w:name="_Hlk108052087"/>
            <w:r w:rsidRPr="00F153F6">
              <w:rPr>
                <w:rFonts w:ascii="Times New Roman" w:hAnsi="Times New Roman" w:cs="Times New Roman"/>
                <w:sz w:val="22"/>
              </w:rPr>
              <w:t>Interactive Commenting</w:t>
            </w:r>
          </w:p>
          <w:p w14:paraId="482B311A" w14:textId="77777777" w:rsidR="0015201A" w:rsidRPr="00F153F6" w:rsidRDefault="0015201A" w:rsidP="004424B4">
            <w:pPr>
              <w:spacing w:line="360" w:lineRule="auto"/>
              <w:jc w:val="both"/>
              <w:rPr>
                <w:rFonts w:ascii="Times New Roman" w:hAnsi="Times New Roman" w:cs="Times New Roman"/>
                <w:i w:val="0"/>
                <w:iCs w:val="0"/>
                <w:sz w:val="22"/>
              </w:rPr>
            </w:pPr>
          </w:p>
          <w:p w14:paraId="3C0786BD" w14:textId="77777777" w:rsidR="0015201A" w:rsidRPr="00F153F6" w:rsidRDefault="0015201A" w:rsidP="004424B4">
            <w:pPr>
              <w:spacing w:line="360" w:lineRule="auto"/>
              <w:jc w:val="both"/>
              <w:rPr>
                <w:rFonts w:ascii="Times New Roman" w:hAnsi="Times New Roman" w:cs="Times New Roman"/>
                <w:sz w:val="22"/>
              </w:rPr>
            </w:pPr>
            <w:r w:rsidRPr="00F153F6">
              <w:rPr>
                <w:rFonts w:ascii="Times New Roman" w:hAnsi="Times New Roman" w:cs="Times New Roman"/>
                <w:sz w:val="22"/>
              </w:rPr>
              <w:t>Explanation: Knowing how to assist peers</w:t>
            </w:r>
          </w:p>
        </w:tc>
        <w:tc>
          <w:tcPr>
            <w:tcW w:w="2263" w:type="dxa"/>
            <w:shd w:val="clear" w:color="auto" w:fill="auto"/>
          </w:tcPr>
          <w:p w14:paraId="07C8E7C4"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Collaborative Writing</w:t>
            </w:r>
          </w:p>
        </w:tc>
        <w:tc>
          <w:tcPr>
            <w:tcW w:w="4252" w:type="dxa"/>
            <w:shd w:val="clear" w:color="auto" w:fill="auto"/>
          </w:tcPr>
          <w:p w14:paraId="416FFB48"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Actors get intensively engaged together to support each other in the achievement of writing tasks</w:t>
            </w:r>
          </w:p>
        </w:tc>
      </w:tr>
      <w:tr w:rsidR="005549E4" w:rsidRPr="00F153F6" w14:paraId="3FDC629F" w14:textId="77777777" w:rsidTr="004314D7">
        <w:tc>
          <w:tcPr>
            <w:cnfStyle w:val="001000000000" w:firstRow="0" w:lastRow="0" w:firstColumn="1" w:lastColumn="0" w:oddVBand="0" w:evenVBand="0" w:oddHBand="0" w:evenHBand="0" w:firstRowFirstColumn="0" w:firstRowLastColumn="0" w:lastRowFirstColumn="0" w:lastRowLastColumn="0"/>
            <w:tcW w:w="2552" w:type="dxa"/>
            <w:vMerge/>
            <w:shd w:val="clear" w:color="auto" w:fill="auto"/>
          </w:tcPr>
          <w:p w14:paraId="4710F3FD" w14:textId="77777777" w:rsidR="0015201A" w:rsidRPr="00F153F6" w:rsidRDefault="0015201A" w:rsidP="004424B4">
            <w:pPr>
              <w:spacing w:line="360" w:lineRule="auto"/>
              <w:jc w:val="both"/>
              <w:rPr>
                <w:rFonts w:ascii="Times New Roman" w:hAnsi="Times New Roman" w:cs="Times New Roman"/>
                <w:sz w:val="22"/>
              </w:rPr>
            </w:pPr>
          </w:p>
        </w:tc>
        <w:tc>
          <w:tcPr>
            <w:tcW w:w="2263" w:type="dxa"/>
            <w:shd w:val="clear" w:color="auto" w:fill="auto"/>
          </w:tcPr>
          <w:p w14:paraId="706D1982"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Group Discussing</w:t>
            </w:r>
          </w:p>
        </w:tc>
        <w:tc>
          <w:tcPr>
            <w:tcW w:w="4252" w:type="dxa"/>
            <w:shd w:val="clear" w:color="auto" w:fill="auto"/>
          </w:tcPr>
          <w:p w14:paraId="24788D95"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 xml:space="preserve">Actors </w:t>
            </w:r>
            <w:bookmarkStart w:id="475" w:name="OLE_LINK785"/>
            <w:bookmarkStart w:id="476" w:name="OLE_LINK786"/>
            <w:r w:rsidRPr="00F153F6">
              <w:rPr>
                <w:rFonts w:ascii="Times New Roman" w:hAnsi="Times New Roman" w:cs="Times New Roman"/>
              </w:rPr>
              <w:t>provide opinions on each other’s thoughts to rich discussions about some concepts or topics during group meeting</w:t>
            </w:r>
            <w:bookmarkEnd w:id="475"/>
            <w:bookmarkEnd w:id="476"/>
            <w:r w:rsidRPr="00F153F6">
              <w:rPr>
                <w:rFonts w:ascii="Times New Roman" w:hAnsi="Times New Roman" w:cs="Times New Roman"/>
              </w:rPr>
              <w:t>.</w:t>
            </w:r>
          </w:p>
        </w:tc>
      </w:tr>
      <w:bookmarkEnd w:id="474"/>
    </w:tbl>
    <w:p w14:paraId="04C05145" w14:textId="77777777" w:rsidR="0015201A" w:rsidRPr="00F153F6" w:rsidRDefault="0015201A" w:rsidP="004424B4">
      <w:pPr>
        <w:spacing w:line="360" w:lineRule="auto"/>
        <w:jc w:val="both"/>
        <w:rPr>
          <w:rFonts w:ascii="Times New Roman" w:hAnsi="Times New Roman" w:cs="Times New Roman"/>
        </w:rPr>
      </w:pPr>
    </w:p>
    <w:p w14:paraId="60FA7FEF" w14:textId="77777777"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Collaborative Writing:</w:t>
      </w:r>
    </w:p>
    <w:p w14:paraId="0B415BC5" w14:textId="1DA5D59C" w:rsidR="0015201A" w:rsidRPr="00F153F6" w:rsidRDefault="0015201A" w:rsidP="004424B4">
      <w:pPr>
        <w:spacing w:line="360" w:lineRule="auto"/>
        <w:jc w:val="both"/>
        <w:rPr>
          <w:rFonts w:ascii="Times New Roman" w:hAnsi="Times New Roman" w:cs="Times New Roman"/>
          <w:i/>
          <w:iCs/>
          <w:sz w:val="24"/>
          <w:szCs w:val="24"/>
        </w:rPr>
      </w:pPr>
      <w:bookmarkStart w:id="477" w:name="OLE_LINK927"/>
      <w:bookmarkStart w:id="478" w:name="OLE_LINK928"/>
      <w:r w:rsidRPr="00F153F6">
        <w:rPr>
          <w:rFonts w:ascii="Times New Roman" w:hAnsi="Times New Roman" w:cs="Times New Roman"/>
          <w:sz w:val="24"/>
          <w:szCs w:val="24"/>
        </w:rPr>
        <w:t xml:space="preserve">Collaborative writing refers to the activities in which </w:t>
      </w:r>
      <w:bookmarkStart w:id="479" w:name="OLE_LINK791"/>
      <w:bookmarkStart w:id="480" w:name="OLE_LINK792"/>
      <w:r w:rsidRPr="00F153F6">
        <w:rPr>
          <w:rFonts w:ascii="Times New Roman" w:hAnsi="Times New Roman" w:cs="Times New Roman"/>
          <w:sz w:val="24"/>
          <w:szCs w:val="24"/>
        </w:rPr>
        <w:t>actors engage to support each other in writing tasks</w:t>
      </w:r>
      <w:bookmarkEnd w:id="479"/>
      <w:bookmarkEnd w:id="480"/>
      <w:r w:rsidRPr="00F153F6">
        <w:rPr>
          <w:rFonts w:ascii="Times New Roman" w:hAnsi="Times New Roman" w:cs="Times New Roman"/>
          <w:sz w:val="24"/>
          <w:szCs w:val="24"/>
        </w:rPr>
        <w:t xml:space="preserve">. At the inception stage of project, the main deliverables are usually text-based outputs that require actors to support each other in </w:t>
      </w:r>
      <w:r w:rsidR="0068434D" w:rsidRPr="00F153F6">
        <w:rPr>
          <w:rFonts w:ascii="Times New Roman" w:hAnsi="Times New Roman" w:cs="Times New Roman"/>
          <w:sz w:val="24"/>
          <w:szCs w:val="24"/>
        </w:rPr>
        <w:t xml:space="preserve">writing, </w:t>
      </w:r>
      <w:r w:rsidR="009C3760" w:rsidRPr="00F153F6">
        <w:rPr>
          <w:rFonts w:ascii="Times New Roman" w:hAnsi="Times New Roman" w:cs="Times New Roman"/>
          <w:sz w:val="24"/>
          <w:szCs w:val="24"/>
        </w:rPr>
        <w:t>i.e.,</w:t>
      </w:r>
      <w:r w:rsidRPr="00F153F6">
        <w:rPr>
          <w:rFonts w:ascii="Times New Roman" w:hAnsi="Times New Roman" w:cs="Times New Roman"/>
          <w:sz w:val="24"/>
          <w:szCs w:val="24"/>
        </w:rPr>
        <w:t xml:space="preserve"> collaborative writing.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allows actors the ability to directly comment on each other’s contributions by </w:t>
      </w:r>
      <w:r w:rsidR="003E53BD" w:rsidRPr="00F153F6">
        <w:rPr>
          <w:rFonts w:ascii="Times New Roman" w:hAnsi="Times New Roman" w:cs="Times New Roman"/>
          <w:sz w:val="24"/>
          <w:szCs w:val="24"/>
        </w:rPr>
        <w:t>affording</w:t>
      </w:r>
      <w:r w:rsidRPr="00F153F6">
        <w:rPr>
          <w:rFonts w:ascii="Times New Roman" w:hAnsi="Times New Roman" w:cs="Times New Roman"/>
          <w:sz w:val="24"/>
          <w:szCs w:val="24"/>
        </w:rPr>
        <w:t xml:space="preserve"> an instant workaround </w:t>
      </w:r>
      <w:r w:rsidR="009C3760" w:rsidRPr="00F153F6">
        <w:rPr>
          <w:rFonts w:ascii="Times New Roman" w:hAnsi="Times New Roman" w:cs="Times New Roman"/>
          <w:sz w:val="24"/>
          <w:szCs w:val="24"/>
        </w:rPr>
        <w:t xml:space="preserve">ability </w:t>
      </w:r>
      <w:r w:rsidRPr="00F153F6">
        <w:rPr>
          <w:rFonts w:ascii="Times New Roman" w:hAnsi="Times New Roman" w:cs="Times New Roman"/>
          <w:sz w:val="24"/>
          <w:szCs w:val="24"/>
        </w:rPr>
        <w:t xml:space="preserve">so that they can </w:t>
      </w:r>
      <w:r w:rsidR="009C3760" w:rsidRPr="00F153F6">
        <w:rPr>
          <w:rFonts w:ascii="Times New Roman" w:hAnsi="Times New Roman" w:cs="Times New Roman"/>
          <w:sz w:val="24"/>
          <w:szCs w:val="24"/>
        </w:rPr>
        <w:t xml:space="preserve">overcome geographical/temporal distance and </w:t>
      </w:r>
      <w:r w:rsidRPr="00F153F6">
        <w:rPr>
          <w:rFonts w:ascii="Times New Roman" w:hAnsi="Times New Roman" w:cs="Times New Roman"/>
          <w:sz w:val="24"/>
          <w:szCs w:val="24"/>
        </w:rPr>
        <w:t xml:space="preserve">improve their work </w:t>
      </w:r>
      <w:r w:rsidR="009C3760" w:rsidRPr="00F153F6">
        <w:rPr>
          <w:rFonts w:ascii="Times New Roman" w:hAnsi="Times New Roman" w:cs="Times New Roman"/>
          <w:sz w:val="24"/>
          <w:szCs w:val="24"/>
        </w:rPr>
        <w:t>timely</w:t>
      </w:r>
      <w:r w:rsidRPr="00F153F6">
        <w:rPr>
          <w:rFonts w:ascii="Times New Roman" w:hAnsi="Times New Roman" w:cs="Times New Roman"/>
          <w:sz w:val="24"/>
          <w:szCs w:val="24"/>
        </w:rPr>
        <w:t>. By working together in collaborative writing activities, actors may ask questions and give feedback to each other frequently encouraging new insights to be co-created, which allows actors to accomplishing their knowing how to assist their peers in the project. As one interviewee note:</w:t>
      </w:r>
    </w:p>
    <w:p w14:paraId="38270D82" w14:textId="05459EE7"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“At our project level we are using a common repository for documents that is a Fresco. But personally, one missing point is that the Fresco version we are using does not support the collaborative writing of documents</w:t>
      </w:r>
      <w:r w:rsidR="009C3760" w:rsidRPr="00F153F6">
        <w:rPr>
          <w:rFonts w:ascii="Times New Roman" w:hAnsi="Times New Roman" w:cs="Times New Roman"/>
          <w:i/>
          <w:iCs/>
          <w:sz w:val="24"/>
          <w:szCs w:val="24"/>
        </w:rPr>
        <w:t xml:space="preserve"> [so we change to Google Docs] …</w:t>
      </w:r>
      <w:r w:rsidRPr="00F153F6">
        <w:rPr>
          <w:rFonts w:ascii="Times New Roman" w:hAnsi="Times New Roman" w:cs="Times New Roman"/>
          <w:i/>
          <w:iCs/>
          <w:sz w:val="24"/>
          <w:szCs w:val="24"/>
        </w:rPr>
        <w:t xml:space="preserve"> I think that this kind of functionality </w:t>
      </w:r>
      <w:r w:rsidR="009C3760" w:rsidRPr="00F153F6">
        <w:rPr>
          <w:rFonts w:ascii="Times New Roman" w:hAnsi="Times New Roman" w:cs="Times New Roman"/>
          <w:i/>
          <w:iCs/>
          <w:sz w:val="24"/>
          <w:szCs w:val="24"/>
        </w:rPr>
        <w:t>(i.e.,</w:t>
      </w:r>
      <w:r w:rsidRPr="00F153F6">
        <w:rPr>
          <w:rFonts w:ascii="Times New Roman" w:hAnsi="Times New Roman" w:cs="Times New Roman"/>
          <w:i/>
          <w:iCs/>
          <w:sz w:val="24"/>
          <w:szCs w:val="24"/>
        </w:rPr>
        <w:t xml:space="preserve"> collaborative writing of documents) on Google Docs are very helpful to integrate our partners’ contributions instead of massive exchange of documents by email or through the full repository… Most new and useful solutions were actually learned from documents. So, the possibility to write the documents together would be very helpful, because we certainly can check what the </w:t>
      </w:r>
      <w:r w:rsidRPr="00F153F6">
        <w:rPr>
          <w:rFonts w:ascii="Times New Roman" w:hAnsi="Times New Roman" w:cs="Times New Roman"/>
          <w:i/>
          <w:iCs/>
          <w:sz w:val="24"/>
          <w:szCs w:val="24"/>
        </w:rPr>
        <w:lastRenderedPageBreak/>
        <w:t>other writing, we can immediately have a call or direct interaction with them and try to adjust and find the correct solution quickly.” (Project A1, Participant 4, Para. 15, 37)</w:t>
      </w:r>
    </w:p>
    <w:p w14:paraId="4D3DFA36" w14:textId="49771F59"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Actors sometimes s</w:t>
      </w:r>
      <w:bookmarkEnd w:id="477"/>
      <w:bookmarkEnd w:id="478"/>
      <w:r w:rsidRPr="00F153F6">
        <w:rPr>
          <w:rFonts w:ascii="Times New Roman" w:hAnsi="Times New Roman" w:cs="Times New Roman"/>
          <w:sz w:val="24"/>
          <w:szCs w:val="24"/>
        </w:rPr>
        <w:t xml:space="preserve">eem to have a large volume of information to communicate or learn from each other during the collaboration. Technologies such as email or Fresco seems to constrain their exchanges because these tools complicate communication even more and perhaps are time-consuming to integrate due to massive documents exchanged. Google docs that support ‘collaborative writing functionality’ provides people with an instant workaround ability that allows immediate engagement in and interaction around what they just wrote, providing each other feedback, reflecting on their own work and accordingly producing immediate changes. By doing so, actors are able to synthesis their expertise so that they are able to learn from each other and co-create new insights. Actors thereby can enact their interactive commenting knowledgeabilities in their collaboration with each other when writing documents together, with the aid of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w:t>
      </w:r>
    </w:p>
    <w:p w14:paraId="5DB4B61E" w14:textId="77777777" w:rsidR="0015201A" w:rsidRPr="00F153F6" w:rsidRDefault="0015201A" w:rsidP="004424B4">
      <w:pPr>
        <w:spacing w:line="360" w:lineRule="auto"/>
        <w:jc w:val="both"/>
        <w:rPr>
          <w:rFonts w:ascii="Times New Roman" w:hAnsi="Times New Roman" w:cs="Times New Roman"/>
          <w:sz w:val="24"/>
          <w:szCs w:val="24"/>
        </w:rPr>
      </w:pPr>
    </w:p>
    <w:p w14:paraId="78BB8831" w14:textId="77777777"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Group Discussing</w:t>
      </w:r>
    </w:p>
    <w:p w14:paraId="2DC7B0DF" w14:textId="229C9F5B" w:rsidR="0015201A" w:rsidRPr="00F153F6" w:rsidRDefault="0015201A" w:rsidP="004424B4">
      <w:pPr>
        <w:spacing w:line="360" w:lineRule="auto"/>
        <w:jc w:val="both"/>
        <w:rPr>
          <w:rFonts w:ascii="Times New Roman" w:hAnsi="Times New Roman" w:cs="Times New Roman"/>
          <w:sz w:val="24"/>
          <w:szCs w:val="24"/>
        </w:rPr>
      </w:pPr>
      <w:bookmarkStart w:id="481" w:name="OLE_LINK167"/>
      <w:bookmarkStart w:id="482" w:name="OLE_LINK168"/>
      <w:bookmarkStart w:id="483" w:name="OLE_LINK296"/>
      <w:bookmarkStart w:id="484" w:name="OLE_LINK297"/>
      <w:r w:rsidRPr="00F153F6">
        <w:rPr>
          <w:rFonts w:ascii="Times New Roman" w:hAnsi="Times New Roman" w:cs="Times New Roman"/>
          <w:sz w:val="24"/>
          <w:szCs w:val="24"/>
        </w:rPr>
        <w:t xml:space="preserve">Group Discussing refers to an activity through which </w:t>
      </w:r>
      <w:bookmarkStart w:id="485" w:name="OLE_LINK783"/>
      <w:bookmarkStart w:id="486" w:name="OLE_LINK784"/>
      <w:bookmarkEnd w:id="481"/>
      <w:bookmarkEnd w:id="482"/>
      <w:r w:rsidRPr="00F153F6">
        <w:rPr>
          <w:rFonts w:ascii="Times New Roman" w:hAnsi="Times New Roman" w:cs="Times New Roman"/>
          <w:sz w:val="24"/>
          <w:szCs w:val="24"/>
        </w:rPr>
        <w:t>actors provide opinions on each other’s thoughts to rich discussions had on concepts or topics during group meeting</w:t>
      </w:r>
      <w:bookmarkEnd w:id="485"/>
      <w:bookmarkEnd w:id="486"/>
      <w:r w:rsidRPr="00F153F6">
        <w:rPr>
          <w:rFonts w:ascii="Times New Roman" w:hAnsi="Times New Roman" w:cs="Times New Roman"/>
          <w:sz w:val="24"/>
          <w:szCs w:val="24"/>
        </w:rPr>
        <w:t xml:space="preserve">s. During group discussions, actors actively engage in communication with each other, learn new knowledge and provide their own specific understandings to support their peers for idea stimulation. </w:t>
      </w:r>
      <w:bookmarkEnd w:id="483"/>
      <w:bookmarkEnd w:id="484"/>
      <w:r w:rsidRPr="00F153F6">
        <w:rPr>
          <w:rFonts w:ascii="Times New Roman" w:hAnsi="Times New Roman" w:cs="Times New Roman"/>
          <w:sz w:val="24"/>
          <w:szCs w:val="24"/>
        </w:rPr>
        <w:t>ICT can be used in these activities to allow actors to flexibly select their discussion environment, though it may constrain an actor’s ability to focus on the accomplishment of interactive commenting. As one interviewee notes:</w:t>
      </w:r>
    </w:p>
    <w:p w14:paraId="02F0B8DF" w14:textId="10BF891E" w:rsidR="0015201A" w:rsidRPr="00F153F6" w:rsidRDefault="0015201A" w:rsidP="007148BA">
      <w:pPr>
        <w:spacing w:line="360" w:lineRule="auto"/>
        <w:ind w:left="720"/>
        <w:jc w:val="both"/>
        <w:rPr>
          <w:rFonts w:ascii="Times New Roman" w:hAnsi="Times New Roman" w:cs="Times New Roman"/>
          <w:i/>
          <w:iCs/>
          <w:sz w:val="24"/>
          <w:szCs w:val="24"/>
        </w:rPr>
      </w:pPr>
      <w:bookmarkStart w:id="487" w:name="OLE_LINK298"/>
      <w:bookmarkStart w:id="488" w:name="OLE_LINK303"/>
      <w:r w:rsidRPr="00F153F6">
        <w:rPr>
          <w:rFonts w:ascii="Times New Roman" w:hAnsi="Times New Roman" w:cs="Times New Roman"/>
          <w:i/>
          <w:iCs/>
          <w:sz w:val="24"/>
          <w:szCs w:val="24"/>
        </w:rPr>
        <w:t>“</w:t>
      </w:r>
      <w:bookmarkStart w:id="489" w:name="OLE_LINK713"/>
      <w:bookmarkStart w:id="490" w:name="OLE_LINK714"/>
      <w:bookmarkStart w:id="491" w:name="OLE_LINK304"/>
      <w:bookmarkStart w:id="492" w:name="OLE_LINK305"/>
      <w:r w:rsidRPr="00F153F6">
        <w:rPr>
          <w:rFonts w:ascii="Times New Roman" w:hAnsi="Times New Roman" w:cs="Times New Roman"/>
          <w:i/>
          <w:iCs/>
          <w:sz w:val="24"/>
          <w:szCs w:val="24"/>
        </w:rPr>
        <w:t xml:space="preserve">Our meetings usually have some presenter roles who are explaining their work or their knowledge </w:t>
      </w:r>
      <w:r w:rsidRPr="00F153F6">
        <w:rPr>
          <w:rFonts w:ascii="Times New Roman" w:hAnsi="Times New Roman" w:cs="Times New Roman"/>
          <w:sz w:val="24"/>
          <w:szCs w:val="24"/>
        </w:rPr>
        <w:t>[to inform a rich discussion]</w:t>
      </w:r>
      <w:r w:rsidRPr="00F153F6">
        <w:rPr>
          <w:rFonts w:ascii="Times New Roman" w:hAnsi="Times New Roman" w:cs="Times New Roman"/>
          <w:i/>
          <w:iCs/>
          <w:sz w:val="24"/>
          <w:szCs w:val="24"/>
        </w:rPr>
        <w:t xml:space="preserve">. If I have, like, a really small role in a meeting, it’s quite easy. Like, if it is a face-to-face meeting, it is really easy just to browse the internet, free news or required emails, and maybe not concentrate on the discussion so much. But now I usually, if I have this kind of virtual meeting </w:t>
      </w:r>
      <w:r w:rsidRPr="00F153F6">
        <w:rPr>
          <w:rFonts w:ascii="Times New Roman" w:hAnsi="Times New Roman" w:cs="Times New Roman"/>
          <w:sz w:val="24"/>
          <w:szCs w:val="24"/>
        </w:rPr>
        <w:t>[with Zoom or Google Meets]</w:t>
      </w:r>
      <w:r w:rsidRPr="00F153F6">
        <w:rPr>
          <w:rFonts w:ascii="Times New Roman" w:hAnsi="Times New Roman" w:cs="Times New Roman"/>
          <w:i/>
          <w:iCs/>
          <w:sz w:val="24"/>
          <w:szCs w:val="24"/>
        </w:rPr>
        <w:t xml:space="preserve">, I go for a walk. And then I can’t browse internet. And actually I’m listening more actively to these discussions. I ‘m already walking so I don’t need to do anything else. Like, it’s easier to concentrate, especially when the topic may be not that </w:t>
      </w:r>
      <w:r w:rsidRPr="00F153F6">
        <w:rPr>
          <w:rFonts w:ascii="Times New Roman" w:hAnsi="Times New Roman" w:cs="Times New Roman"/>
          <w:i/>
          <w:iCs/>
          <w:sz w:val="24"/>
          <w:szCs w:val="24"/>
        </w:rPr>
        <w:lastRenderedPageBreak/>
        <w:t>interesting or a bit difficult to understand. By this way, I found myself really starting to understand their work and able to say something to enrich their discussion</w:t>
      </w:r>
      <w:bookmarkEnd w:id="489"/>
      <w:bookmarkEnd w:id="490"/>
      <w:r w:rsidRPr="00F153F6">
        <w:rPr>
          <w:rFonts w:ascii="Times New Roman" w:hAnsi="Times New Roman" w:cs="Times New Roman"/>
          <w:i/>
          <w:iCs/>
          <w:sz w:val="24"/>
          <w:szCs w:val="24"/>
        </w:rPr>
        <w:t>.” (Project A1, Participant 1, Para. 63</w:t>
      </w:r>
      <w:bookmarkEnd w:id="491"/>
      <w:bookmarkEnd w:id="492"/>
      <w:r w:rsidRPr="00F153F6">
        <w:rPr>
          <w:rFonts w:ascii="Times New Roman" w:hAnsi="Times New Roman" w:cs="Times New Roman"/>
          <w:i/>
          <w:iCs/>
          <w:sz w:val="24"/>
          <w:szCs w:val="24"/>
        </w:rPr>
        <w:t xml:space="preserve">) </w:t>
      </w:r>
      <w:bookmarkEnd w:id="487"/>
      <w:bookmarkEnd w:id="488"/>
    </w:p>
    <w:p w14:paraId="67F0E361" w14:textId="1B404CB5"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Actors in the Living Lab project usually possess diverse expertise and some of this expertise is usually too complicated to be understood by others. Therefore, within the meetings or sessions organised by the project team, there are sometimes a presenter role, who explains their specific expertise to other members and inform group discussion. Actors can start learning by actively engaging in the presentation and group discussion. However, for those actors who are not in such specialised areas, this requires them to concentrate on the discussion more intently and engage in the discussion more actively through which they can learn from each other. In face-to-face situations, actors may not be able to immerse themselves into group discussion activities.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(e.g. Facebook) may provide too much information and thus are distractions that focus their attention elsewhere. However, with the use of Zoom or Google Meets, actors could select their preferable learning environment flexibly (e.g. go for a walk) so that they can stay at a comfortable place and thereby actively engage in the discussion. As actors are able to engage in group discussions with the aid of ICT, they can recurrently accomplish their knowing how to support their colleagues to improve their works for this project. </w:t>
      </w:r>
    </w:p>
    <w:p w14:paraId="1F4FEC11" w14:textId="77777777" w:rsidR="0015201A" w:rsidRPr="00F153F6" w:rsidRDefault="0015201A" w:rsidP="004424B4">
      <w:pPr>
        <w:spacing w:line="360" w:lineRule="auto"/>
        <w:jc w:val="both"/>
        <w:rPr>
          <w:rFonts w:ascii="Times New Roman" w:hAnsi="Times New Roman" w:cs="Times New Roman"/>
          <w:b/>
          <w:bCs/>
        </w:rPr>
      </w:pPr>
      <w:bookmarkStart w:id="493" w:name="OLE_LINK136"/>
    </w:p>
    <w:p w14:paraId="581FFAE7" w14:textId="742EF3D3" w:rsidR="0015201A" w:rsidRPr="00F153F6" w:rsidRDefault="0015201A" w:rsidP="00116210">
      <w:pPr>
        <w:pStyle w:val="Heading3"/>
        <w:spacing w:line="360" w:lineRule="auto"/>
        <w:ind w:left="720"/>
        <w:jc w:val="both"/>
        <w:rPr>
          <w:rFonts w:ascii="Times New Roman" w:hAnsi="Times New Roman" w:cs="Times New Roman"/>
          <w:b/>
          <w:color w:val="auto"/>
          <w:sz w:val="28"/>
          <w:szCs w:val="28"/>
        </w:rPr>
      </w:pPr>
      <w:bookmarkStart w:id="494" w:name="_Toc133252161"/>
      <w:bookmarkStart w:id="495" w:name="_Hlk108128885"/>
      <w:bookmarkEnd w:id="354"/>
      <w:bookmarkEnd w:id="355"/>
      <w:bookmarkEnd w:id="493"/>
      <w:r w:rsidRPr="00F153F6">
        <w:rPr>
          <w:rFonts w:ascii="Times New Roman" w:hAnsi="Times New Roman" w:cs="Times New Roman"/>
          <w:b/>
          <w:color w:val="auto"/>
          <w:sz w:val="28"/>
          <w:szCs w:val="28"/>
        </w:rPr>
        <w:t xml:space="preserve">4.2.4. Co-ordinating and </w:t>
      </w:r>
      <w:r w:rsidR="00FA6038" w:rsidRPr="00F153F6">
        <w:rPr>
          <w:rFonts w:ascii="Times New Roman" w:hAnsi="Times New Roman" w:cs="Times New Roman"/>
          <w:b/>
          <w:color w:val="auto"/>
          <w:sz w:val="28"/>
          <w:szCs w:val="28"/>
        </w:rPr>
        <w:t>ICT</w:t>
      </w:r>
      <w:bookmarkEnd w:id="494"/>
    </w:p>
    <w:p w14:paraId="5DE948A2" w14:textId="49C18CCE" w:rsidR="0015201A" w:rsidRPr="00F153F6" w:rsidRDefault="0015201A" w:rsidP="004424B4">
      <w:pPr>
        <w:spacing w:line="360" w:lineRule="auto"/>
        <w:jc w:val="both"/>
        <w:rPr>
          <w:rFonts w:ascii="Times New Roman" w:hAnsi="Times New Roman" w:cs="Times New Roman"/>
          <w:sz w:val="24"/>
          <w:szCs w:val="24"/>
        </w:rPr>
      </w:pPr>
      <w:bookmarkStart w:id="496" w:name="OLE_LINK809"/>
      <w:bookmarkStart w:id="497" w:name="OLE_LINK810"/>
      <w:bookmarkStart w:id="498" w:name="OLE_LINK147"/>
      <w:r w:rsidRPr="00F153F6">
        <w:rPr>
          <w:rFonts w:ascii="Times New Roman" w:hAnsi="Times New Roman" w:cs="Times New Roman"/>
          <w:sz w:val="24"/>
          <w:szCs w:val="24"/>
        </w:rPr>
        <w:t xml:space="preserve">Co-ordinating </w:t>
      </w:r>
      <w:bookmarkEnd w:id="496"/>
      <w:bookmarkEnd w:id="497"/>
      <w:r w:rsidRPr="00F153F6">
        <w:rPr>
          <w:rFonts w:ascii="Times New Roman" w:hAnsi="Times New Roman" w:cs="Times New Roman"/>
          <w:sz w:val="24"/>
          <w:szCs w:val="24"/>
        </w:rPr>
        <w:t xml:space="preserve">refers to a knowledgeability enacted by actors who generate reactions to the outputs of others’ work or themselves in order to move their work forward. As actors enact their different core knowledgeabilities in ICT-based IOKE practice, actors may deliver diverse achievements and outputs from their project activities, including documents, products, capabilities, and innovations. Based on the quality of these outputs, actors are able to subsequently unify their actions to pursue their project goals. Therefore, co-ordinating knowledgeability occurs only when actors have delivered some outputs having already accomplished their core knowledgeabilities so that they are better informed to direct project performance. There are three types of activities that comprise co-ordinating: Controlling; Staffing; and Nudging.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allows actors the ability to collectively evaluate and confirm, and thus be able to support actors’ ability to know how to direct their work performance as the project moves forward. ICT may also inhibit such knowledgeability by constraining an actors </w:t>
      </w:r>
      <w:r w:rsidRPr="00F153F6">
        <w:rPr>
          <w:rFonts w:ascii="Times New Roman" w:hAnsi="Times New Roman" w:cs="Times New Roman"/>
          <w:sz w:val="24"/>
          <w:szCs w:val="24"/>
        </w:rPr>
        <w:lastRenderedPageBreak/>
        <w:t>ability to instantly respond to the coordination. Table 4.6 provide a summary of the knowledge in practice, relevant activities and their explanations in co-ordinating knowledgeability.</w:t>
      </w:r>
    </w:p>
    <w:bookmarkEnd w:id="498"/>
    <w:p w14:paraId="59944B16" w14:textId="77777777" w:rsidR="0015201A" w:rsidRPr="00F153F6" w:rsidRDefault="0015201A" w:rsidP="004424B4">
      <w:pPr>
        <w:spacing w:line="360" w:lineRule="auto"/>
        <w:jc w:val="both"/>
        <w:rPr>
          <w:rFonts w:ascii="Times New Roman" w:hAnsi="Times New Roman" w:cs="Times New Roman"/>
        </w:rPr>
      </w:pPr>
    </w:p>
    <w:p w14:paraId="33EFFFFA" w14:textId="0BEF3DCD" w:rsidR="00845905" w:rsidRPr="00F153F6" w:rsidRDefault="00845905" w:rsidP="00845905">
      <w:pPr>
        <w:pStyle w:val="Caption"/>
        <w:keepNext/>
        <w:rPr>
          <w:rFonts w:ascii="Times New Roman" w:hAnsi="Times New Roman" w:cs="Times New Roman"/>
          <w:i w:val="0"/>
          <w:iCs w:val="0"/>
          <w:color w:val="auto"/>
          <w:sz w:val="22"/>
          <w:szCs w:val="22"/>
        </w:rPr>
      </w:pPr>
      <w:bookmarkStart w:id="499" w:name="_Toc119448040"/>
      <w:r w:rsidRPr="00F153F6">
        <w:rPr>
          <w:rFonts w:ascii="Times New Roman" w:hAnsi="Times New Roman" w:cs="Times New Roman"/>
          <w:i w:val="0"/>
          <w:iCs w:val="0"/>
          <w:color w:val="auto"/>
          <w:sz w:val="22"/>
          <w:szCs w:val="22"/>
        </w:rPr>
        <w:t xml:space="preserve">Table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Table_4. \* ARABIC </w:instrText>
      </w:r>
      <w:r w:rsidRPr="00F153F6">
        <w:rPr>
          <w:rFonts w:ascii="Times New Roman" w:hAnsi="Times New Roman" w:cs="Times New Roman"/>
          <w:i w:val="0"/>
          <w:iCs w:val="0"/>
          <w:color w:val="auto"/>
          <w:sz w:val="22"/>
          <w:szCs w:val="22"/>
        </w:rPr>
        <w:fldChar w:fldCharType="separate"/>
      </w:r>
      <w:r w:rsidR="007148BA" w:rsidRPr="00F153F6">
        <w:rPr>
          <w:rFonts w:ascii="Times New Roman" w:hAnsi="Times New Roman" w:cs="Times New Roman"/>
          <w:i w:val="0"/>
          <w:iCs w:val="0"/>
          <w:noProof/>
          <w:color w:val="auto"/>
          <w:sz w:val="22"/>
          <w:szCs w:val="22"/>
        </w:rPr>
        <w:t>6</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Summary of the co-ordinating knowledgeability and its relevant elements</w:t>
      </w:r>
      <w:bookmarkEnd w:id="499"/>
    </w:p>
    <w:tbl>
      <w:tblPr>
        <w:tblStyle w:val="PlainTable5"/>
        <w:tblW w:w="9067" w:type="dxa"/>
        <w:tblLook w:val="04A0" w:firstRow="1" w:lastRow="0" w:firstColumn="1" w:lastColumn="0" w:noHBand="0" w:noVBand="1"/>
      </w:tblPr>
      <w:tblGrid>
        <w:gridCol w:w="2552"/>
        <w:gridCol w:w="2263"/>
        <w:gridCol w:w="4252"/>
      </w:tblGrid>
      <w:tr w:rsidR="005549E4" w:rsidRPr="00F153F6" w14:paraId="08FE6078" w14:textId="77777777" w:rsidTr="004314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shd w:val="clear" w:color="auto" w:fill="auto"/>
          </w:tcPr>
          <w:p w14:paraId="465DCA02" w14:textId="77777777" w:rsidR="0015201A" w:rsidRPr="00F153F6" w:rsidRDefault="0015201A" w:rsidP="004424B4">
            <w:pPr>
              <w:spacing w:line="360" w:lineRule="auto"/>
              <w:jc w:val="both"/>
              <w:rPr>
                <w:rFonts w:ascii="Times New Roman" w:hAnsi="Times New Roman" w:cs="Times New Roman"/>
                <w:b/>
                <w:bCs/>
                <w:sz w:val="22"/>
              </w:rPr>
            </w:pPr>
            <w:r w:rsidRPr="00F153F6">
              <w:rPr>
                <w:rFonts w:ascii="Times New Roman" w:hAnsi="Times New Roman" w:cs="Times New Roman"/>
                <w:b/>
                <w:bCs/>
                <w:sz w:val="22"/>
              </w:rPr>
              <w:t>Knowledgeability</w:t>
            </w:r>
          </w:p>
        </w:tc>
        <w:tc>
          <w:tcPr>
            <w:tcW w:w="2263" w:type="dxa"/>
            <w:shd w:val="clear" w:color="auto" w:fill="auto"/>
          </w:tcPr>
          <w:p w14:paraId="171B99E0"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Activities</w:t>
            </w:r>
          </w:p>
        </w:tc>
        <w:tc>
          <w:tcPr>
            <w:tcW w:w="4252" w:type="dxa"/>
            <w:shd w:val="clear" w:color="auto" w:fill="auto"/>
          </w:tcPr>
          <w:p w14:paraId="18EAF67A"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Explanations</w:t>
            </w:r>
          </w:p>
        </w:tc>
      </w:tr>
      <w:tr w:rsidR="005549E4" w:rsidRPr="00F153F6" w14:paraId="251BA4AD" w14:textId="77777777" w:rsidTr="004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21C78D46" w14:textId="77777777" w:rsidR="0015201A" w:rsidRPr="00F153F6" w:rsidRDefault="0015201A" w:rsidP="004424B4">
            <w:pPr>
              <w:spacing w:line="360" w:lineRule="auto"/>
              <w:jc w:val="both"/>
              <w:rPr>
                <w:rFonts w:ascii="Times New Roman" w:hAnsi="Times New Roman" w:cs="Times New Roman"/>
                <w:i w:val="0"/>
                <w:iCs w:val="0"/>
                <w:sz w:val="22"/>
              </w:rPr>
            </w:pPr>
            <w:r w:rsidRPr="00F153F6">
              <w:rPr>
                <w:rFonts w:ascii="Times New Roman" w:hAnsi="Times New Roman" w:cs="Times New Roman"/>
                <w:sz w:val="22"/>
              </w:rPr>
              <w:t>Co-ordinating</w:t>
            </w:r>
          </w:p>
          <w:p w14:paraId="7F837A50" w14:textId="77777777" w:rsidR="0015201A" w:rsidRPr="00F153F6" w:rsidRDefault="0015201A" w:rsidP="004424B4">
            <w:pPr>
              <w:spacing w:line="360" w:lineRule="auto"/>
              <w:jc w:val="both"/>
              <w:rPr>
                <w:rFonts w:ascii="Times New Roman" w:hAnsi="Times New Roman" w:cs="Times New Roman"/>
                <w:i w:val="0"/>
                <w:iCs w:val="0"/>
                <w:sz w:val="22"/>
              </w:rPr>
            </w:pPr>
          </w:p>
          <w:p w14:paraId="71F83EA1" w14:textId="77777777" w:rsidR="0015201A" w:rsidRPr="00F153F6" w:rsidRDefault="0015201A" w:rsidP="004424B4">
            <w:pPr>
              <w:spacing w:line="360" w:lineRule="auto"/>
              <w:jc w:val="both"/>
              <w:rPr>
                <w:rFonts w:ascii="Times New Roman" w:hAnsi="Times New Roman" w:cs="Times New Roman"/>
                <w:sz w:val="22"/>
              </w:rPr>
            </w:pPr>
            <w:r w:rsidRPr="00F153F6">
              <w:rPr>
                <w:rFonts w:ascii="Times New Roman" w:hAnsi="Times New Roman" w:cs="Times New Roman"/>
                <w:sz w:val="22"/>
              </w:rPr>
              <w:t>Explanation: Knowing how to direct performance</w:t>
            </w:r>
          </w:p>
        </w:tc>
        <w:tc>
          <w:tcPr>
            <w:tcW w:w="2263" w:type="dxa"/>
            <w:shd w:val="clear" w:color="auto" w:fill="auto"/>
          </w:tcPr>
          <w:p w14:paraId="5B879229"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Controlling</w:t>
            </w:r>
          </w:p>
        </w:tc>
        <w:tc>
          <w:tcPr>
            <w:tcW w:w="4252" w:type="dxa"/>
            <w:shd w:val="clear" w:color="auto" w:fill="auto"/>
          </w:tcPr>
          <w:p w14:paraId="7AFF097B"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Actors evaluate each other’s performance in order to control the quality of project performance and control the project moving on the correct direction.</w:t>
            </w:r>
          </w:p>
        </w:tc>
      </w:tr>
      <w:tr w:rsidR="005549E4" w:rsidRPr="00F153F6" w14:paraId="0E4F2427" w14:textId="77777777" w:rsidTr="004314D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30895764" w14:textId="77777777" w:rsidR="0015201A" w:rsidRPr="00F153F6" w:rsidRDefault="0015201A" w:rsidP="004424B4">
            <w:pPr>
              <w:spacing w:line="360" w:lineRule="auto"/>
              <w:jc w:val="both"/>
              <w:rPr>
                <w:rFonts w:ascii="Times New Roman" w:hAnsi="Times New Roman" w:cs="Times New Roman"/>
                <w:sz w:val="22"/>
              </w:rPr>
            </w:pPr>
          </w:p>
        </w:tc>
        <w:tc>
          <w:tcPr>
            <w:tcW w:w="2263" w:type="dxa"/>
            <w:shd w:val="clear" w:color="auto" w:fill="auto"/>
          </w:tcPr>
          <w:p w14:paraId="1FEA694D"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Staffing</w:t>
            </w:r>
          </w:p>
        </w:tc>
        <w:tc>
          <w:tcPr>
            <w:tcW w:w="4252" w:type="dxa"/>
            <w:shd w:val="clear" w:color="auto" w:fill="auto"/>
          </w:tcPr>
          <w:p w14:paraId="7ED67DDE"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Actors (re-)arrange personnel, allocate them tasks and roles, and get them agreed to conduct next unity of actions as project moving forward based on their existing achievements.</w:t>
            </w:r>
          </w:p>
          <w:p w14:paraId="05A7B81F"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49E4" w:rsidRPr="00F153F6" w14:paraId="0029CE03" w14:textId="77777777" w:rsidTr="004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0D2AAA10" w14:textId="77777777" w:rsidR="0015201A" w:rsidRPr="00F153F6" w:rsidRDefault="0015201A" w:rsidP="004424B4">
            <w:pPr>
              <w:spacing w:line="360" w:lineRule="auto"/>
              <w:jc w:val="both"/>
              <w:rPr>
                <w:rFonts w:ascii="Times New Roman" w:hAnsi="Times New Roman" w:cs="Times New Roman"/>
                <w:sz w:val="22"/>
              </w:rPr>
            </w:pPr>
          </w:p>
        </w:tc>
        <w:tc>
          <w:tcPr>
            <w:tcW w:w="2263" w:type="dxa"/>
            <w:shd w:val="clear" w:color="auto" w:fill="auto"/>
          </w:tcPr>
          <w:p w14:paraId="38CADCA3"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Nudging</w:t>
            </w:r>
          </w:p>
        </w:tc>
        <w:tc>
          <w:tcPr>
            <w:tcW w:w="4252" w:type="dxa"/>
            <w:shd w:val="clear" w:color="auto" w:fill="auto"/>
          </w:tcPr>
          <w:p w14:paraId="597F353A"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Actors push each other’s work performance gently as project moving forward</w:t>
            </w:r>
          </w:p>
        </w:tc>
      </w:tr>
    </w:tbl>
    <w:p w14:paraId="5ED0F7B2" w14:textId="77777777" w:rsidR="0015201A" w:rsidRPr="00F153F6" w:rsidRDefault="0015201A" w:rsidP="004424B4">
      <w:pPr>
        <w:spacing w:line="360" w:lineRule="auto"/>
        <w:jc w:val="both"/>
        <w:rPr>
          <w:rFonts w:ascii="Times New Roman" w:hAnsi="Times New Roman" w:cs="Times New Roman"/>
        </w:rPr>
      </w:pPr>
    </w:p>
    <w:p w14:paraId="11BB40C2" w14:textId="77777777" w:rsidR="0015201A" w:rsidRPr="00F153F6" w:rsidRDefault="0015201A" w:rsidP="004424B4">
      <w:pPr>
        <w:spacing w:line="360" w:lineRule="auto"/>
        <w:jc w:val="both"/>
        <w:rPr>
          <w:rFonts w:ascii="Times New Roman" w:hAnsi="Times New Roman" w:cs="Times New Roman"/>
        </w:rPr>
      </w:pPr>
    </w:p>
    <w:p w14:paraId="57B01337" w14:textId="77777777"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Controlling</w:t>
      </w:r>
    </w:p>
    <w:p w14:paraId="1729941A" w14:textId="08FF94B2" w:rsidR="0015201A" w:rsidRPr="00F153F6" w:rsidRDefault="0015201A" w:rsidP="004424B4">
      <w:pPr>
        <w:spacing w:line="360" w:lineRule="auto"/>
        <w:jc w:val="both"/>
        <w:rPr>
          <w:rFonts w:ascii="Times New Roman" w:hAnsi="Times New Roman" w:cs="Times New Roman"/>
          <w:i/>
          <w:iCs/>
          <w:sz w:val="24"/>
          <w:szCs w:val="24"/>
        </w:rPr>
      </w:pPr>
      <w:r w:rsidRPr="00F153F6">
        <w:rPr>
          <w:rFonts w:ascii="Times New Roman" w:hAnsi="Times New Roman" w:cs="Times New Roman"/>
          <w:sz w:val="24"/>
          <w:szCs w:val="24"/>
        </w:rPr>
        <w:t xml:space="preserve">Controlling refers to activities in which </w:t>
      </w:r>
      <w:bookmarkStart w:id="500" w:name="OLE_LINK813"/>
      <w:bookmarkStart w:id="501" w:name="OLE_LINK814"/>
      <w:bookmarkStart w:id="502" w:name="OLE_LINK935"/>
      <w:r w:rsidRPr="00F153F6">
        <w:rPr>
          <w:rFonts w:ascii="Times New Roman" w:hAnsi="Times New Roman" w:cs="Times New Roman"/>
          <w:sz w:val="24"/>
          <w:szCs w:val="24"/>
        </w:rPr>
        <w:t xml:space="preserve">actors </w:t>
      </w:r>
      <w:bookmarkStart w:id="503" w:name="OLE_LINK936"/>
      <w:bookmarkStart w:id="504" w:name="OLE_LINK937"/>
      <w:r w:rsidRPr="00F153F6">
        <w:rPr>
          <w:rFonts w:ascii="Times New Roman" w:hAnsi="Times New Roman" w:cs="Times New Roman"/>
          <w:sz w:val="24"/>
          <w:szCs w:val="24"/>
        </w:rPr>
        <w:t>evaluate each other’s performance in order to control the quality of project performance and ensure that the project is moving in the correct direction</w:t>
      </w:r>
      <w:bookmarkEnd w:id="500"/>
      <w:bookmarkEnd w:id="501"/>
      <w:bookmarkEnd w:id="502"/>
      <w:bookmarkEnd w:id="503"/>
      <w:bookmarkEnd w:id="504"/>
      <w:r w:rsidRPr="00F153F6">
        <w:rPr>
          <w:rFonts w:ascii="Times New Roman" w:hAnsi="Times New Roman" w:cs="Times New Roman"/>
          <w:sz w:val="24"/>
          <w:szCs w:val="24"/>
        </w:rPr>
        <w:t xml:space="preserve">. ICT </w:t>
      </w:r>
      <w:r w:rsidR="00FA6038" w:rsidRPr="00F153F6">
        <w:rPr>
          <w:rFonts w:ascii="Times New Roman" w:hAnsi="Times New Roman" w:cs="Times New Roman"/>
          <w:sz w:val="24"/>
          <w:szCs w:val="24"/>
        </w:rPr>
        <w:t>is</w:t>
      </w:r>
      <w:r w:rsidRPr="00F153F6">
        <w:rPr>
          <w:rFonts w:ascii="Times New Roman" w:hAnsi="Times New Roman" w:cs="Times New Roman"/>
          <w:sz w:val="24"/>
          <w:szCs w:val="24"/>
        </w:rPr>
        <w:t xml:space="preserve"> leveraged here to provide collective evaluating abilities which enables actors to make evaluations together and recognise good or bad decision making. This allows actors to develop their knowledge on how to direct project performance in the project decision making process.</w:t>
      </w:r>
      <w:bookmarkEnd w:id="495"/>
      <w:r w:rsidRPr="00F153F6">
        <w:rPr>
          <w:rFonts w:ascii="Times New Roman" w:hAnsi="Times New Roman" w:cs="Times New Roman"/>
          <w:sz w:val="24"/>
          <w:szCs w:val="24"/>
        </w:rPr>
        <w:t xml:space="preserve"> As one interviewee notes:</w:t>
      </w:r>
    </w:p>
    <w:p w14:paraId="37233F37" w14:textId="0CF79298"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w:t>
      </w:r>
      <w:bookmarkStart w:id="505" w:name="OLE_LINK557"/>
      <w:bookmarkStart w:id="506" w:name="OLE_LINK558"/>
      <w:r w:rsidRPr="00F153F6">
        <w:rPr>
          <w:rFonts w:ascii="Times New Roman" w:hAnsi="Times New Roman" w:cs="Times New Roman"/>
          <w:i/>
          <w:iCs/>
          <w:sz w:val="24"/>
          <w:szCs w:val="24"/>
        </w:rPr>
        <w:t xml:space="preserve">We have been selecting our buyer companies together, definitely. The selection has been done together, and it has been a mutual agreement and this doesn’t mean that big </w:t>
      </w:r>
      <w:r w:rsidRPr="00F153F6">
        <w:rPr>
          <w:rFonts w:ascii="Times New Roman" w:hAnsi="Times New Roman" w:cs="Times New Roman"/>
          <w:i/>
          <w:iCs/>
          <w:sz w:val="24"/>
          <w:szCs w:val="24"/>
        </w:rPr>
        <w:lastRenderedPageBreak/>
        <w:t>companies are safe because we have scored them. All the cities have got the scores for each application. And then that after the striking and scoring, we have been selecting companies. So, it has been very democratic… Quite often we have been using excel when we are doing this kind of evaluations or scorings… we got very good feedback on it because we were able to share the questions, the criteria and the documentation in one place. And then they were putting their scorings. There was possibility that multiple persons will evaluate the same document or the same tender and they will put the scores at the one place. And when you had submitted your own scores, you were able to see which ones has got what kind of scorings that others had given and commented</w:t>
      </w:r>
      <w:bookmarkEnd w:id="505"/>
      <w:bookmarkEnd w:id="506"/>
      <w:r w:rsidRPr="00F153F6">
        <w:rPr>
          <w:rFonts w:ascii="Times New Roman" w:hAnsi="Times New Roman" w:cs="Times New Roman"/>
          <w:i/>
          <w:iCs/>
          <w:sz w:val="24"/>
          <w:szCs w:val="24"/>
        </w:rPr>
        <w: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 xml:space="preserve">And based on those evaluations. We were making the ranking. And then the partners, the buyers group, they had a meeting where we go through this this list and these companies and decided which are good. And these companies will become ones that we like to continue in this project or select in this project” </w:t>
      </w:r>
      <w:bookmarkStart w:id="507" w:name="OLE_LINK807"/>
      <w:bookmarkStart w:id="508" w:name="OLE_LINK808"/>
      <w:r w:rsidRPr="00F153F6">
        <w:rPr>
          <w:rFonts w:ascii="Times New Roman" w:hAnsi="Times New Roman" w:cs="Times New Roman"/>
          <w:i/>
          <w:iCs/>
          <w:sz w:val="24"/>
          <w:szCs w:val="24"/>
        </w:rPr>
        <w:t>(Project A3, Participant 1, Para. 28-32)</w:t>
      </w:r>
      <w:bookmarkEnd w:id="507"/>
      <w:bookmarkEnd w:id="508"/>
    </w:p>
    <w:p w14:paraId="5E3CEA55" w14:textId="5BD7862E"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above example shows that people make decisions together and determine their next stages’ collaborators (buyer companies). The way that actors evaluate each other and avoid any bias reflects a very democratic (as they indicated) context within which everyone is treated or wishes to be treated equally. With the aid of Excel, people are able to review and comment on each other’s performance and make judgements, which reflects a transparent environment where everyone can understand how such an evaluation is produced. The </w:t>
      </w:r>
      <w:r w:rsidR="0068434D" w:rsidRPr="00F153F6">
        <w:rPr>
          <w:rFonts w:ascii="Times New Roman" w:hAnsi="Times New Roman" w:cs="Times New Roman"/>
          <w:sz w:val="24"/>
          <w:szCs w:val="24"/>
        </w:rPr>
        <w:t>material properties</w:t>
      </w:r>
      <w:r w:rsidRPr="00F153F6">
        <w:rPr>
          <w:rFonts w:ascii="Times New Roman" w:hAnsi="Times New Roman" w:cs="Times New Roman"/>
          <w:sz w:val="24"/>
          <w:szCs w:val="24"/>
        </w:rPr>
        <w:t xml:space="preserve"> of Excel </w:t>
      </w:r>
      <w:r w:rsidR="0068434D" w:rsidRPr="00F153F6">
        <w:rPr>
          <w:rFonts w:ascii="Times New Roman" w:hAnsi="Times New Roman" w:cs="Times New Roman"/>
          <w:sz w:val="24"/>
          <w:szCs w:val="24"/>
        </w:rPr>
        <w:t>such as</w:t>
      </w:r>
      <w:r w:rsidRPr="00F153F6">
        <w:rPr>
          <w:rFonts w:ascii="Times New Roman" w:hAnsi="Times New Roman" w:cs="Times New Roman"/>
          <w:sz w:val="24"/>
          <w:szCs w:val="24"/>
        </w:rPr>
        <w:t xml:space="preserve"> the digital scores, provides actors with a collective evaluating capability that allows decisions to be made afterwards so to direct project performance. People evaluate others’ work and provide comments that promote their performance, and at the same time receive feedback from others so that they can reflect on what level of performance is required and what improvements could be made, through which they are developing knowledge of how to direct their future performance. </w:t>
      </w:r>
    </w:p>
    <w:p w14:paraId="61F6B869" w14:textId="77777777" w:rsidR="0015201A" w:rsidRPr="00F153F6" w:rsidRDefault="0015201A" w:rsidP="004424B4">
      <w:pPr>
        <w:spacing w:line="360" w:lineRule="auto"/>
        <w:jc w:val="both"/>
        <w:rPr>
          <w:rFonts w:ascii="Times New Roman" w:hAnsi="Times New Roman" w:cs="Times New Roman"/>
          <w:sz w:val="24"/>
          <w:szCs w:val="24"/>
        </w:rPr>
      </w:pPr>
    </w:p>
    <w:p w14:paraId="510D85CF" w14:textId="77777777"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Staffing:</w:t>
      </w:r>
    </w:p>
    <w:p w14:paraId="5A0E7CF6" w14:textId="63F6D1FB"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After accomplishing core knowledgeabilities in ICT-based inter-organisational knowledge exchange practice, actors may provide a response as a reaction to their achievements in the project. Staffing refers to activities in which actors (re-)arrange personnel, allocate them tasks and roles, and get them agreed to conduct next unity of actions as the project moves forward </w:t>
      </w:r>
      <w:r w:rsidRPr="00F153F6">
        <w:rPr>
          <w:rFonts w:ascii="Times New Roman" w:hAnsi="Times New Roman" w:cs="Times New Roman"/>
          <w:sz w:val="24"/>
          <w:szCs w:val="24"/>
        </w:rPr>
        <w:lastRenderedPageBreak/>
        <w:t xml:space="preserve">based on their existing achievements. ICT </w:t>
      </w:r>
      <w:r w:rsidR="00FA6038" w:rsidRPr="00F153F6">
        <w:rPr>
          <w:rFonts w:ascii="Times New Roman" w:hAnsi="Times New Roman" w:cs="Times New Roman"/>
          <w:sz w:val="24"/>
          <w:szCs w:val="24"/>
        </w:rPr>
        <w:t>is</w:t>
      </w:r>
      <w:r w:rsidRPr="00F153F6">
        <w:rPr>
          <w:rFonts w:ascii="Times New Roman" w:hAnsi="Times New Roman" w:cs="Times New Roman"/>
          <w:sz w:val="24"/>
          <w:szCs w:val="24"/>
        </w:rPr>
        <w:t xml:space="preserve"> leveraged here to provide actors with confirming abilities which enables them to evaluate the arrangement of their next unity of actions in the staffing activities. This allows actors to develop knowledge of how to direct project performance by allocating the right actors into right role </w:t>
      </w:r>
      <w:bookmarkStart w:id="509" w:name="OLE_LINK815"/>
      <w:bookmarkStart w:id="510" w:name="OLE_LINK816"/>
      <w:r w:rsidRPr="00F153F6">
        <w:rPr>
          <w:rFonts w:ascii="Times New Roman" w:hAnsi="Times New Roman" w:cs="Times New Roman"/>
          <w:sz w:val="24"/>
          <w:szCs w:val="24"/>
        </w:rPr>
        <w:t>as the project moves forward</w:t>
      </w:r>
      <w:bookmarkEnd w:id="509"/>
      <w:bookmarkEnd w:id="510"/>
      <w:r w:rsidRPr="00F153F6">
        <w:rPr>
          <w:rFonts w:ascii="Times New Roman" w:hAnsi="Times New Roman" w:cs="Times New Roman"/>
          <w:sz w:val="24"/>
          <w:szCs w:val="24"/>
        </w:rPr>
        <w:t>. As one interviewee notes:</w:t>
      </w:r>
    </w:p>
    <w:p w14:paraId="4CD704C6" w14:textId="5B66AC94"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w:t>
      </w:r>
      <w:bookmarkStart w:id="511" w:name="OLE_LINK555"/>
      <w:bookmarkStart w:id="512" w:name="OLE_LINK556"/>
      <w:r w:rsidRPr="00F153F6">
        <w:rPr>
          <w:rFonts w:ascii="Times New Roman" w:hAnsi="Times New Roman" w:cs="Times New Roman"/>
          <w:i/>
          <w:iCs/>
          <w:sz w:val="24"/>
          <w:szCs w:val="24"/>
        </w:rPr>
        <w:t xml:space="preserve">We are using the service called right signature </w:t>
      </w:r>
      <w:r w:rsidRPr="00F153F6">
        <w:rPr>
          <w:rFonts w:ascii="Times New Roman" w:hAnsi="Times New Roman" w:cs="Times New Roman"/>
          <w:sz w:val="24"/>
          <w:szCs w:val="24"/>
        </w:rPr>
        <w:t>[to confirm our agreement to our allocated roles and responsibilities on the project contract]</w:t>
      </w:r>
      <w:r w:rsidRPr="00F153F6">
        <w:rPr>
          <w:rFonts w:ascii="Times New Roman" w:hAnsi="Times New Roman" w:cs="Times New Roman"/>
          <w:i/>
          <w:iCs/>
          <w:sz w:val="24"/>
          <w:szCs w:val="24"/>
        </w:rPr>
        <w:t>. So rightsignature.com is a website and I’m uploading the pdf documents there. And then I will send the link to the people who are going to read and sign the contract on behalf of the companies and also to our CEO in FVH who is signing the form from our side. If they agree with those contracts, they will sign them on the right signature</w:t>
      </w:r>
      <w:bookmarkEnd w:id="511"/>
      <w:bookmarkEnd w:id="512"/>
      <w:r w:rsidRPr="00F153F6">
        <w:rPr>
          <w:rFonts w:ascii="Times New Roman" w:hAnsi="Times New Roman" w:cs="Times New Roman"/>
          <w:i/>
          <w:iCs/>
          <w:sz w:val="24"/>
          <w:szCs w:val="24"/>
        </w:rPr>
        <w:t>.” (Project A3, Participant 1, Para. 24)</w:t>
      </w:r>
    </w:p>
    <w:p w14:paraId="6FDEF39F" w14:textId="3604450E"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project contract indicates an agreed role allocation for all project stakeholders, responsibilities, and their obligations to work in their collaboration. The failure of verifying such an agreement may have a significant impact on their participation in the next collaboration step. Such a contract can be viewed as an achievement resulting from their basic accomplishment of knowledgeabilities in ICT-based inter-organisational knowledge exchange practice.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such as Rightsignature, allow</w:t>
      </w:r>
      <w:r w:rsidR="00FA6038" w:rsidRPr="00F153F6">
        <w:rPr>
          <w:rFonts w:ascii="Times New Roman" w:hAnsi="Times New Roman" w:cs="Times New Roman"/>
          <w:sz w:val="24"/>
          <w:szCs w:val="24"/>
        </w:rPr>
        <w:t>s</w:t>
      </w:r>
      <w:r w:rsidRPr="00F153F6">
        <w:rPr>
          <w:rFonts w:ascii="Times New Roman" w:hAnsi="Times New Roman" w:cs="Times New Roman"/>
          <w:sz w:val="24"/>
          <w:szCs w:val="24"/>
        </w:rPr>
        <w:t xml:space="preserve"> people to evaluate and confirm the content of the project contract. The materiality of Rightsignature </w:t>
      </w:r>
      <w:r w:rsidR="00CE44B8" w:rsidRPr="00F153F6">
        <w:rPr>
          <w:rFonts w:ascii="Times New Roman" w:hAnsi="Times New Roman" w:cs="Times New Roman"/>
          <w:sz w:val="24"/>
          <w:szCs w:val="24"/>
        </w:rPr>
        <w:t>affords</w:t>
      </w:r>
      <w:r w:rsidRPr="00F153F6">
        <w:rPr>
          <w:rFonts w:ascii="Times New Roman" w:hAnsi="Times New Roman" w:cs="Times New Roman"/>
          <w:sz w:val="24"/>
          <w:szCs w:val="24"/>
        </w:rPr>
        <w:t xml:space="preserve"> actors the ability to confirm and sign the contract collectively. The final signed contract indicates that all organisations are satisfied with the agreement’s content. These activities sometimes need to be done by the representative of the stakeholders’ own organisations (e.g. CEOs), so some internal organisational factors (such as an organisation’s own information system for partners to share information or links) may also take part in these activities. This reflects staffing activities that may take place within both the inter-organisational context and the intra-organisational context.</w:t>
      </w:r>
    </w:p>
    <w:p w14:paraId="573516D8" w14:textId="77777777" w:rsidR="0015201A" w:rsidRPr="00F153F6" w:rsidRDefault="0015201A" w:rsidP="004424B4">
      <w:pPr>
        <w:spacing w:line="360" w:lineRule="auto"/>
        <w:jc w:val="both"/>
        <w:rPr>
          <w:rFonts w:ascii="Times New Roman" w:hAnsi="Times New Roman" w:cs="Times New Roman"/>
          <w:sz w:val="24"/>
          <w:szCs w:val="24"/>
        </w:rPr>
      </w:pPr>
    </w:p>
    <w:p w14:paraId="2ABA2E84" w14:textId="77777777"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Nudging:</w:t>
      </w:r>
    </w:p>
    <w:p w14:paraId="1F777F46" w14:textId="046872E8" w:rsidR="0015201A" w:rsidRPr="00F153F6" w:rsidRDefault="0015201A" w:rsidP="004424B4">
      <w:pPr>
        <w:spacing w:line="360" w:lineRule="auto"/>
        <w:jc w:val="both"/>
        <w:rPr>
          <w:rFonts w:ascii="Times New Roman" w:hAnsi="Times New Roman" w:cs="Times New Roman"/>
          <w:sz w:val="24"/>
          <w:szCs w:val="24"/>
        </w:rPr>
      </w:pPr>
      <w:bookmarkStart w:id="513" w:name="OLE_LINK70"/>
      <w:bookmarkStart w:id="514" w:name="OLE_LINK71"/>
      <w:r w:rsidRPr="00F153F6">
        <w:rPr>
          <w:rFonts w:ascii="Times New Roman" w:hAnsi="Times New Roman" w:cs="Times New Roman"/>
          <w:sz w:val="24"/>
          <w:szCs w:val="24"/>
        </w:rPr>
        <w:t xml:space="preserve">Nudging refers to the activity of </w:t>
      </w:r>
      <w:bookmarkStart w:id="515" w:name="OLE_LINK173"/>
      <w:bookmarkStart w:id="516" w:name="OLE_LINK174"/>
      <w:r w:rsidRPr="00F153F6">
        <w:rPr>
          <w:rFonts w:ascii="Times New Roman" w:hAnsi="Times New Roman" w:cs="Times New Roman"/>
          <w:sz w:val="24"/>
          <w:szCs w:val="24"/>
        </w:rPr>
        <w:t>actors gently pushing each other’s work performance to move the project’s progress</w:t>
      </w:r>
      <w:r w:rsidRPr="00F153F6" w:rsidDel="006D2B16">
        <w:rPr>
          <w:rFonts w:ascii="Times New Roman" w:hAnsi="Times New Roman" w:cs="Times New Roman"/>
          <w:sz w:val="24"/>
          <w:szCs w:val="24"/>
        </w:rPr>
        <w:t xml:space="preserve"> </w:t>
      </w:r>
      <w:r w:rsidRPr="00F153F6">
        <w:rPr>
          <w:rFonts w:ascii="Times New Roman" w:hAnsi="Times New Roman" w:cs="Times New Roman"/>
          <w:sz w:val="24"/>
          <w:szCs w:val="24"/>
        </w:rPr>
        <w:t>forward.</w:t>
      </w:r>
      <w:bookmarkEnd w:id="515"/>
      <w:bookmarkEnd w:id="516"/>
      <w:r w:rsidRPr="00F153F6">
        <w:rPr>
          <w:rFonts w:ascii="Times New Roman" w:hAnsi="Times New Roman" w:cs="Times New Roman"/>
          <w:sz w:val="24"/>
          <w:szCs w:val="24"/>
        </w:rPr>
        <w:t xml:space="preserve"> </w:t>
      </w:r>
      <w:bookmarkEnd w:id="513"/>
      <w:bookmarkEnd w:id="514"/>
      <w:r w:rsidRPr="00F153F6">
        <w:rPr>
          <w:rFonts w:ascii="Times New Roman" w:hAnsi="Times New Roman" w:cs="Times New Roman"/>
          <w:sz w:val="24"/>
          <w:szCs w:val="24"/>
        </w:rPr>
        <w:t>This activity may occur as a result of existing performance not reaching expectations or not matching requirements. ICT</w:t>
      </w:r>
      <w:r w:rsidR="00FA6038" w:rsidRPr="00F153F6">
        <w:rPr>
          <w:rFonts w:ascii="Times New Roman" w:hAnsi="Times New Roman" w:cs="Times New Roman"/>
          <w:sz w:val="24"/>
          <w:szCs w:val="24"/>
        </w:rPr>
        <w:t xml:space="preserve"> is</w:t>
      </w:r>
      <w:r w:rsidRPr="00F153F6">
        <w:rPr>
          <w:rFonts w:ascii="Times New Roman" w:hAnsi="Times New Roman" w:cs="Times New Roman"/>
          <w:sz w:val="24"/>
          <w:szCs w:val="24"/>
        </w:rPr>
        <w:t xml:space="preserve"> leveraged here may constrain </w:t>
      </w:r>
      <w:r w:rsidRPr="00F153F6">
        <w:rPr>
          <w:rFonts w:ascii="Times New Roman" w:hAnsi="Times New Roman" w:cs="Times New Roman"/>
          <w:sz w:val="24"/>
          <w:szCs w:val="24"/>
        </w:rPr>
        <w:lastRenderedPageBreak/>
        <w:t xml:space="preserve">actors’ </w:t>
      </w:r>
      <w:bookmarkStart w:id="517" w:name="OLE_LINK169"/>
      <w:bookmarkStart w:id="518" w:name="OLE_LINK170"/>
      <w:r w:rsidRPr="00F153F6">
        <w:rPr>
          <w:rFonts w:ascii="Times New Roman" w:hAnsi="Times New Roman" w:cs="Times New Roman"/>
          <w:sz w:val="24"/>
          <w:szCs w:val="24"/>
        </w:rPr>
        <w:t xml:space="preserve">instant responsiveness </w:t>
      </w:r>
      <w:bookmarkEnd w:id="517"/>
      <w:bookmarkEnd w:id="518"/>
      <w:r w:rsidRPr="00F153F6">
        <w:rPr>
          <w:rFonts w:ascii="Times New Roman" w:hAnsi="Times New Roman" w:cs="Times New Roman"/>
          <w:sz w:val="24"/>
          <w:szCs w:val="24"/>
        </w:rPr>
        <w:t xml:space="preserve">ability and thereby inhibit actors to develop their knowledge on how to direct their performance as the project moves forward. As one interviewee notes: </w:t>
      </w:r>
    </w:p>
    <w:p w14:paraId="163CEFD2" w14:textId="777187F1"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w:t>
      </w:r>
      <w:bookmarkStart w:id="519" w:name="OLE_LINK722"/>
      <w:bookmarkStart w:id="520" w:name="OLE_LINK723"/>
      <w:r w:rsidRPr="00F153F6">
        <w:rPr>
          <w:rFonts w:ascii="Times New Roman" w:hAnsi="Times New Roman" w:cs="Times New Roman"/>
          <w:i/>
          <w:iCs/>
          <w:sz w:val="24"/>
          <w:szCs w:val="24"/>
        </w:rPr>
        <w:t xml:space="preserve">Some of our partners sounded like they can do almost everything. </w:t>
      </w:r>
      <w:r w:rsidR="009C3760" w:rsidRPr="00F153F6">
        <w:rPr>
          <w:rFonts w:ascii="Times New Roman" w:hAnsi="Times New Roman" w:cs="Times New Roman"/>
          <w:i/>
          <w:iCs/>
          <w:sz w:val="24"/>
          <w:szCs w:val="24"/>
        </w:rPr>
        <w:t>They’re</w:t>
      </w:r>
      <w:r w:rsidRPr="00F153F6">
        <w:rPr>
          <w:rFonts w:ascii="Times New Roman" w:hAnsi="Times New Roman" w:cs="Times New Roman"/>
          <w:i/>
          <w:iCs/>
          <w:sz w:val="24"/>
          <w:szCs w:val="24"/>
        </w:rPr>
        <w:t xml:space="preserve"> super talented. And they probably are. But it has been a bit slow to work with these partners recently. They are nice people. But for some reason, their performance is quite behind our progress. And </w:t>
      </w:r>
      <w:r w:rsidR="009C3760" w:rsidRPr="00F153F6">
        <w:rPr>
          <w:rFonts w:ascii="Times New Roman" w:hAnsi="Times New Roman" w:cs="Times New Roman"/>
          <w:i/>
          <w:iCs/>
          <w:sz w:val="24"/>
          <w:szCs w:val="24"/>
        </w:rPr>
        <w:t>because I’</w:t>
      </w:r>
      <w:r w:rsidRPr="00F153F6">
        <w:rPr>
          <w:rFonts w:ascii="Times New Roman" w:hAnsi="Times New Roman" w:cs="Times New Roman"/>
          <w:i/>
          <w:iCs/>
          <w:sz w:val="24"/>
          <w:szCs w:val="24"/>
        </w:rPr>
        <w:t xml:space="preserve">'m working as a project manager, and both with my supervisor, </w:t>
      </w:r>
      <w:r w:rsidR="009C3760" w:rsidRPr="00F153F6">
        <w:rPr>
          <w:rFonts w:ascii="Times New Roman" w:hAnsi="Times New Roman" w:cs="Times New Roman"/>
          <w:i/>
          <w:iCs/>
          <w:sz w:val="24"/>
          <w:szCs w:val="24"/>
        </w:rPr>
        <w:t>he’s</w:t>
      </w:r>
      <w:r w:rsidRPr="00F153F6">
        <w:rPr>
          <w:rFonts w:ascii="Times New Roman" w:hAnsi="Times New Roman" w:cs="Times New Roman"/>
          <w:i/>
          <w:iCs/>
          <w:sz w:val="24"/>
          <w:szCs w:val="24"/>
        </w:rPr>
        <w:t xml:space="preserve"> also part of the project, but he has really a smaller role in it. And he has technical background. And </w:t>
      </w:r>
      <w:r w:rsidR="009C3760" w:rsidRPr="00F153F6">
        <w:rPr>
          <w:rFonts w:ascii="Times New Roman" w:hAnsi="Times New Roman" w:cs="Times New Roman"/>
          <w:i/>
          <w:iCs/>
          <w:sz w:val="24"/>
          <w:szCs w:val="24"/>
        </w:rPr>
        <w:t>he’s</w:t>
      </w:r>
      <w:r w:rsidRPr="00F153F6">
        <w:rPr>
          <w:rFonts w:ascii="Times New Roman" w:hAnsi="Times New Roman" w:cs="Times New Roman"/>
          <w:i/>
          <w:iCs/>
          <w:sz w:val="24"/>
          <w:szCs w:val="24"/>
        </w:rPr>
        <w:t xml:space="preserve"> </w:t>
      </w:r>
      <w:r w:rsidR="009C3760" w:rsidRPr="00F153F6">
        <w:rPr>
          <w:rFonts w:ascii="Times New Roman" w:hAnsi="Times New Roman" w:cs="Times New Roman"/>
          <w:i/>
          <w:iCs/>
          <w:sz w:val="24"/>
          <w:szCs w:val="24"/>
        </w:rPr>
        <w:t>like, “could</w:t>
      </w:r>
      <w:r w:rsidRPr="00F153F6">
        <w:rPr>
          <w:rFonts w:ascii="Times New Roman" w:hAnsi="Times New Roman" w:cs="Times New Roman"/>
          <w:i/>
          <w:iCs/>
          <w:sz w:val="24"/>
          <w:szCs w:val="24"/>
        </w:rPr>
        <w:t xml:space="preserve"> these partners do something”" I had this question as well and I would send them emails and ask for reasons. But no one replies, I </w:t>
      </w:r>
      <w:r w:rsidR="009C3760" w:rsidRPr="00F153F6">
        <w:rPr>
          <w:rFonts w:ascii="Times New Roman" w:hAnsi="Times New Roman" w:cs="Times New Roman"/>
          <w:i/>
          <w:iCs/>
          <w:sz w:val="24"/>
          <w:szCs w:val="24"/>
        </w:rPr>
        <w:t>don’t</w:t>
      </w:r>
      <w:r w:rsidRPr="00F153F6">
        <w:rPr>
          <w:rFonts w:ascii="Times New Roman" w:hAnsi="Times New Roman" w:cs="Times New Roman"/>
          <w:i/>
          <w:iCs/>
          <w:sz w:val="24"/>
          <w:szCs w:val="24"/>
        </w:rPr>
        <w:t xml:space="preserve"> know</w:t>
      </w:r>
      <w:bookmarkEnd w:id="519"/>
      <w:bookmarkEnd w:id="520"/>
      <w:r w:rsidRPr="00F153F6">
        <w:rPr>
          <w:rFonts w:ascii="Times New Roman" w:hAnsi="Times New Roman" w:cs="Times New Roman"/>
          <w:i/>
          <w:iCs/>
          <w:sz w:val="24"/>
          <w:szCs w:val="24"/>
        </w:rPr>
        <w:t>.” (Project A1, Participant 1, Para. 21)</w:t>
      </w:r>
    </w:p>
    <w:p w14:paraId="3AC911DF" w14:textId="0E9D6A1B"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Actors usually have some expectations of the performance of others in collaboration tasks, especially those who sounded talented. However, it may not be possible for the real quality of a performance to align with these expectations. For example, in the above example, an actor (participant 1 in project A1) seems to have confused feelings about the existing performance of some of project partners and think their performance is delaying the progress of their project. This may because at the inception stage of inter-organisational collaboration, people may not be very familiar with each other and their general level of performance. Such a mismatch can lead to confused feelings that usually result in queries such as emails which enquire about the reasons and request improved performance for the future tasks. However, it is difficult to obtain a response from those with a low performance level from communication media such as emails, and therefore this prevents actors from developing their know</w:t>
      </w:r>
      <w:r w:rsidR="00CE44B8" w:rsidRPr="00F153F6">
        <w:rPr>
          <w:rFonts w:ascii="Times New Roman" w:hAnsi="Times New Roman" w:cs="Times New Roman"/>
          <w:sz w:val="24"/>
          <w:szCs w:val="24"/>
        </w:rPr>
        <w:t>ing</w:t>
      </w:r>
      <w:r w:rsidRPr="00F153F6">
        <w:rPr>
          <w:rFonts w:ascii="Times New Roman" w:hAnsi="Times New Roman" w:cs="Times New Roman"/>
          <w:sz w:val="24"/>
          <w:szCs w:val="24"/>
        </w:rPr>
        <w:t xml:space="preserve"> how to direct their performance for the project. </w:t>
      </w:r>
    </w:p>
    <w:p w14:paraId="4EBF75E5" w14:textId="77777777" w:rsidR="0015201A" w:rsidRPr="00F153F6" w:rsidRDefault="0015201A" w:rsidP="004424B4">
      <w:pPr>
        <w:spacing w:line="360" w:lineRule="auto"/>
        <w:jc w:val="both"/>
        <w:rPr>
          <w:rFonts w:ascii="Times New Roman" w:eastAsiaTheme="majorEastAsia" w:hAnsi="Times New Roman" w:cs="Times New Roman"/>
          <w:sz w:val="26"/>
          <w:szCs w:val="26"/>
        </w:rPr>
      </w:pPr>
    </w:p>
    <w:p w14:paraId="221AC2E3" w14:textId="77777777" w:rsidR="0015201A" w:rsidRPr="00F153F6" w:rsidRDefault="0015201A" w:rsidP="004424B4">
      <w:pPr>
        <w:pStyle w:val="Heading2"/>
        <w:spacing w:line="360" w:lineRule="auto"/>
        <w:rPr>
          <w:rFonts w:ascii="Times New Roman" w:hAnsi="Times New Roman" w:cs="Times New Roman"/>
          <w:sz w:val="32"/>
          <w:szCs w:val="32"/>
        </w:rPr>
      </w:pPr>
      <w:bookmarkStart w:id="521" w:name="_Toc118371136"/>
      <w:bookmarkStart w:id="522" w:name="_Toc133252162"/>
      <w:r w:rsidRPr="00F153F6">
        <w:rPr>
          <w:rFonts w:ascii="Times New Roman" w:hAnsi="Times New Roman" w:cs="Times New Roman"/>
          <w:sz w:val="32"/>
          <w:szCs w:val="32"/>
        </w:rPr>
        <w:t>4.3. Middle Stage Findings</w:t>
      </w:r>
      <w:bookmarkEnd w:id="521"/>
      <w:bookmarkEnd w:id="522"/>
    </w:p>
    <w:p w14:paraId="31A3AFCF" w14:textId="3803940E"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Figure 4.2 presents a framework of ICT-</w:t>
      </w:r>
      <w:r w:rsidR="009C3760" w:rsidRPr="00F153F6">
        <w:rPr>
          <w:rFonts w:ascii="Times New Roman" w:hAnsi="Times New Roman" w:cs="Times New Roman"/>
          <w:sz w:val="24"/>
          <w:szCs w:val="24"/>
        </w:rPr>
        <w:t>based IOKE</w:t>
      </w:r>
      <w:r w:rsidRPr="00F153F6">
        <w:rPr>
          <w:rFonts w:ascii="Times New Roman" w:hAnsi="Times New Roman" w:cs="Times New Roman"/>
          <w:sz w:val="24"/>
          <w:szCs w:val="24"/>
        </w:rPr>
        <w:t xml:space="preserve"> during the middle stage of Living Lab projects. This section presents a detailed discussion regarding the concepts that emerged in relation to an ICT-based IOKE process for the project middle stage. Quotations are provided in the following structure: content of quotation; ID of the project stage (B indicates the middle stage); ID of project number; ID of interviewee; and the paragraph number in specific interview transcripts. For example, </w:t>
      </w:r>
      <w:r w:rsidRPr="00F153F6">
        <w:rPr>
          <w:rFonts w:ascii="Times New Roman" w:hAnsi="Times New Roman" w:cs="Times New Roman"/>
          <w:i/>
          <w:iCs/>
          <w:sz w:val="24"/>
          <w:szCs w:val="24"/>
        </w:rPr>
        <w:t>“(Project B2, Participant 1, Para. 60)”</w:t>
      </w:r>
      <w:r w:rsidRPr="00F153F6">
        <w:rPr>
          <w:rFonts w:ascii="Times New Roman" w:hAnsi="Times New Roman" w:cs="Times New Roman"/>
          <w:sz w:val="24"/>
          <w:szCs w:val="24"/>
        </w:rPr>
        <w:t xml:space="preserve"> indicates the middle stage </w:t>
      </w:r>
      <w:r w:rsidRPr="00F153F6">
        <w:rPr>
          <w:rFonts w:ascii="Times New Roman" w:hAnsi="Times New Roman" w:cs="Times New Roman"/>
          <w:sz w:val="24"/>
          <w:szCs w:val="24"/>
        </w:rPr>
        <w:lastRenderedPageBreak/>
        <w:t>project, project no.2, interview participant no. 1, and paragraph no. 60 in the interview transcript.</w:t>
      </w:r>
    </w:p>
    <w:p w14:paraId="244CB046" w14:textId="673EF602" w:rsidR="00845905" w:rsidRPr="00F153F6" w:rsidRDefault="00E00ACE" w:rsidP="00845905">
      <w:pPr>
        <w:keepNext/>
        <w:spacing w:line="360" w:lineRule="auto"/>
        <w:jc w:val="center"/>
      </w:pPr>
      <w:r w:rsidRPr="00F153F6">
        <w:rPr>
          <w:noProof/>
        </w:rPr>
        <w:drawing>
          <wp:inline distT="0" distB="0" distL="0" distR="0" wp14:anchorId="7D288516" wp14:editId="20E2CDF3">
            <wp:extent cx="5731510" cy="4605020"/>
            <wp:effectExtent l="0" t="0" r="2540" b="5080"/>
            <wp:docPr id="127303470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34703" name="Picture 3"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605020"/>
                    </a:xfrm>
                    <a:prstGeom prst="rect">
                      <a:avLst/>
                    </a:prstGeom>
                    <a:noFill/>
                    <a:ln>
                      <a:noFill/>
                    </a:ln>
                  </pic:spPr>
                </pic:pic>
              </a:graphicData>
            </a:graphic>
          </wp:inline>
        </w:drawing>
      </w:r>
    </w:p>
    <w:p w14:paraId="2D133BCE" w14:textId="5D7FAED1" w:rsidR="00845905" w:rsidRPr="00F153F6" w:rsidRDefault="00845905" w:rsidP="00845905">
      <w:pPr>
        <w:pStyle w:val="Caption"/>
        <w:jc w:val="center"/>
        <w:rPr>
          <w:rFonts w:ascii="Times New Roman" w:hAnsi="Times New Roman" w:cs="Times New Roman"/>
          <w:i w:val="0"/>
          <w:iCs w:val="0"/>
          <w:color w:val="auto"/>
          <w:sz w:val="22"/>
          <w:szCs w:val="22"/>
        </w:rPr>
      </w:pPr>
      <w:bookmarkStart w:id="523" w:name="_Toc119448466"/>
      <w:r w:rsidRPr="00F153F6">
        <w:rPr>
          <w:rFonts w:ascii="Times New Roman" w:hAnsi="Times New Roman" w:cs="Times New Roman"/>
          <w:i w:val="0"/>
          <w:iCs w:val="0"/>
          <w:color w:val="auto"/>
          <w:sz w:val="22"/>
          <w:szCs w:val="22"/>
        </w:rPr>
        <w:t xml:space="preserve">Figure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Figure_4. \* ARABIC </w:instrText>
      </w:r>
      <w:r w:rsidRPr="00F153F6">
        <w:rPr>
          <w:rFonts w:ascii="Times New Roman" w:hAnsi="Times New Roman" w:cs="Times New Roman"/>
          <w:i w:val="0"/>
          <w:iCs w:val="0"/>
          <w:color w:val="auto"/>
          <w:sz w:val="22"/>
          <w:szCs w:val="22"/>
        </w:rPr>
        <w:fldChar w:fldCharType="separate"/>
      </w:r>
      <w:r w:rsidR="007148BA" w:rsidRPr="00F153F6">
        <w:rPr>
          <w:rFonts w:ascii="Times New Roman" w:hAnsi="Times New Roman" w:cs="Times New Roman"/>
          <w:i w:val="0"/>
          <w:iCs w:val="0"/>
          <w:noProof/>
          <w:color w:val="auto"/>
          <w:sz w:val="22"/>
          <w:szCs w:val="22"/>
        </w:rPr>
        <w:t>2</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ICT-based Inter-organisational Knowledge Exchange Practice (Middle Stage)</w:t>
      </w:r>
      <w:bookmarkEnd w:id="523"/>
    </w:p>
    <w:p w14:paraId="1A35A2CF" w14:textId="3CD3E8F8" w:rsidR="0015201A" w:rsidRPr="00F153F6" w:rsidRDefault="0015201A" w:rsidP="00845905">
      <w:pPr>
        <w:spacing w:line="360" w:lineRule="auto"/>
        <w:jc w:val="center"/>
        <w:rPr>
          <w:rFonts w:ascii="Times New Roman" w:hAnsi="Times New Roman" w:cs="Times New Roman"/>
        </w:rPr>
      </w:pPr>
      <w:r w:rsidRPr="00F153F6">
        <w:rPr>
          <w:rFonts w:ascii="Times New Roman" w:hAnsi="Times New Roman" w:cs="Times New Roman"/>
        </w:rPr>
        <w:fldChar w:fldCharType="begin"/>
      </w:r>
      <w:r w:rsidRPr="00F153F6">
        <w:rPr>
          <w:rFonts w:ascii="Times New Roman" w:hAnsi="Times New Roman" w:cs="Times New Roman"/>
        </w:rPr>
        <w:instrText xml:space="preserve"> INCLUDEPICTURE "https://documents.lucid.app/documents/44d8b9b0-6d41-4b5d-a20d-ee01d91060ef/pages/0_0?a=10246&amp;x=8440&amp;y=-795&amp;w=1760&amp;h=1645&amp;store=1&amp;accept=image%2F*&amp;auth=LCA%20c3f5dac708199b0b1414d6cd5a8448c15a7bd1d8-ts%3D1643667786" \* MERGEFORMATINET </w:instrText>
      </w:r>
      <w:r w:rsidR="00000000">
        <w:rPr>
          <w:rFonts w:ascii="Times New Roman" w:hAnsi="Times New Roman" w:cs="Times New Roman"/>
        </w:rPr>
        <w:fldChar w:fldCharType="separate"/>
      </w:r>
      <w:r w:rsidRPr="00F153F6">
        <w:rPr>
          <w:rFonts w:ascii="Times New Roman" w:hAnsi="Times New Roman" w:cs="Times New Roman"/>
        </w:rPr>
        <w:fldChar w:fldCharType="end"/>
      </w:r>
      <w:r w:rsidR="00845905" w:rsidRPr="00F153F6">
        <w:rPr>
          <w:rFonts w:ascii="Times New Roman" w:hAnsi="Times New Roman" w:cs="Times New Roman"/>
        </w:rPr>
        <w:t xml:space="preserve"> </w:t>
      </w:r>
    </w:p>
    <w:p w14:paraId="04B24A22" w14:textId="2101D933"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At the project middle stage, inter-organisational knowledge exchange practice is continuously taking place in three layers: inter-organisational, intra-organisational, and environmental context; being influenced and influencing diverse embedded contextual characteristics; and mediated by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Interorganisational knowledge exchange practice at the project middle stage is characterised by four different knowledgeabilities, namely: inter-connecting, expertise simulating, collaborative problem solving, and co-ordinating. Each of these knowledgeabilities are enacted through different activities and are mediated via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Two of these knowledgeabilities: expertise simulating and collaborative problem solving (i.e. knowing how to develop skills, and knowing how to innovate) are viewed as core knowledgeabilities because they are recognised as core abilities in the pursuit of project goals at the project middle stage. </w:t>
      </w:r>
      <w:r w:rsidRPr="00F153F6">
        <w:rPr>
          <w:rFonts w:ascii="Times New Roman" w:hAnsi="Times New Roman" w:cs="Times New Roman"/>
          <w:sz w:val="24"/>
          <w:szCs w:val="24"/>
        </w:rPr>
        <w:lastRenderedPageBreak/>
        <w:t xml:space="preserve">These core knowledgeabilities occur only when actors can connect to each </w:t>
      </w:r>
      <w:r w:rsidR="009C3760" w:rsidRPr="00F153F6">
        <w:rPr>
          <w:rFonts w:ascii="Times New Roman" w:hAnsi="Times New Roman" w:cs="Times New Roman"/>
          <w:sz w:val="24"/>
          <w:szCs w:val="24"/>
        </w:rPr>
        <w:t>other, i.e.,</w:t>
      </w:r>
      <w:r w:rsidRPr="00F153F6">
        <w:rPr>
          <w:rFonts w:ascii="Times New Roman" w:hAnsi="Times New Roman" w:cs="Times New Roman"/>
          <w:sz w:val="24"/>
          <w:szCs w:val="24"/>
        </w:rPr>
        <w:t xml:space="preserve"> inter-connecting is a condition or antecedent for these knowledgeabilities, whereby knowing how to cultivate relationships with different actors is enacted. As a result of the enactment of expertise accumulating and collaborative problem solving, actors will co-ordinate their project activities moving forward, which allows them to develop knowledge regarding how to direct project performance to move forward. Therefore, co-ordinating becomes the resulting knowledgeability of these core knowledgeabilities. As part of the ICT-based interorganisational knowledge exchange practice, actors enact their different knowledgeabilities with the support of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to achieve their goals, and their knowledgeabilities are thereby (re)produced in recurrent inter-organisational knowledge exchange practices. As a result, ICT play</w:t>
      </w:r>
      <w:r w:rsidR="00FA6038" w:rsidRPr="00F153F6">
        <w:rPr>
          <w:rFonts w:ascii="Times New Roman" w:hAnsi="Times New Roman" w:cs="Times New Roman"/>
          <w:sz w:val="24"/>
          <w:szCs w:val="24"/>
        </w:rPr>
        <w:t>s</w:t>
      </w:r>
      <w:r w:rsidRPr="00F153F6">
        <w:rPr>
          <w:rFonts w:ascii="Times New Roman" w:hAnsi="Times New Roman" w:cs="Times New Roman"/>
          <w:sz w:val="24"/>
          <w:szCs w:val="24"/>
        </w:rPr>
        <w:t xml:space="preserve"> a significant role in these practices by </w:t>
      </w:r>
      <w:r w:rsidR="00CE44B8" w:rsidRPr="00F153F6">
        <w:rPr>
          <w:rFonts w:ascii="Times New Roman" w:hAnsi="Times New Roman" w:cs="Times New Roman"/>
          <w:sz w:val="24"/>
          <w:szCs w:val="24"/>
        </w:rPr>
        <w:t>affording</w:t>
      </w:r>
      <w:r w:rsidRPr="00F153F6">
        <w:rPr>
          <w:rFonts w:ascii="Times New Roman" w:hAnsi="Times New Roman" w:cs="Times New Roman"/>
          <w:sz w:val="24"/>
          <w:szCs w:val="24"/>
        </w:rPr>
        <w:t xml:space="preserve"> or constraining different action possibilities while actors engage in activities. </w:t>
      </w:r>
    </w:p>
    <w:p w14:paraId="46D2A403" w14:textId="387EB107"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The above are summarised in Table 4.7. In the project middle stage, there are four different knowledgeabilities within the ICT-based IOKE practice, each of which is an expression of different knowledge in practice and becomes enacted or performed via different activities. The final column indicates how ICT mediate</w:t>
      </w:r>
      <w:r w:rsidR="00FA6038" w:rsidRPr="00F153F6">
        <w:rPr>
          <w:rFonts w:ascii="Times New Roman" w:hAnsi="Times New Roman" w:cs="Times New Roman"/>
          <w:sz w:val="24"/>
          <w:szCs w:val="24"/>
        </w:rPr>
        <w:t>s</w:t>
      </w:r>
      <w:r w:rsidRPr="00F153F6">
        <w:rPr>
          <w:rFonts w:ascii="Times New Roman" w:hAnsi="Times New Roman" w:cs="Times New Roman"/>
          <w:sz w:val="24"/>
          <w:szCs w:val="24"/>
        </w:rPr>
        <w:t xml:space="preserve"> actions as part of each knowledgeability, </w:t>
      </w:r>
      <w:r w:rsidR="00CE44B8" w:rsidRPr="00F153F6">
        <w:rPr>
          <w:rFonts w:ascii="Times New Roman" w:hAnsi="Times New Roman" w:cs="Times New Roman"/>
          <w:sz w:val="24"/>
          <w:szCs w:val="24"/>
        </w:rPr>
        <w:t>affording</w:t>
      </w:r>
      <w:r w:rsidRPr="00F153F6">
        <w:rPr>
          <w:rFonts w:ascii="Times New Roman" w:hAnsi="Times New Roman" w:cs="Times New Roman"/>
          <w:sz w:val="24"/>
          <w:szCs w:val="24"/>
        </w:rPr>
        <w:t xml:space="preserve"> or constraining actors’ distinct skills. These are discussed in detail in the next sections.</w:t>
      </w:r>
    </w:p>
    <w:p w14:paraId="19EAE0A2" w14:textId="77777777" w:rsidR="0015201A" w:rsidRPr="00F153F6" w:rsidRDefault="0015201A" w:rsidP="004424B4">
      <w:pPr>
        <w:spacing w:line="360" w:lineRule="auto"/>
        <w:jc w:val="both"/>
        <w:rPr>
          <w:rFonts w:ascii="Times New Roman" w:hAnsi="Times New Roman" w:cs="Times New Roman"/>
        </w:rPr>
      </w:pPr>
    </w:p>
    <w:p w14:paraId="78FA87C5" w14:textId="75BEDE82" w:rsidR="00845905" w:rsidRPr="00F153F6" w:rsidRDefault="00845905" w:rsidP="00845905">
      <w:pPr>
        <w:pStyle w:val="Caption"/>
        <w:keepNext/>
        <w:rPr>
          <w:rFonts w:ascii="Times New Roman" w:hAnsi="Times New Roman" w:cs="Times New Roman"/>
          <w:i w:val="0"/>
          <w:iCs w:val="0"/>
          <w:color w:val="auto"/>
          <w:sz w:val="22"/>
          <w:szCs w:val="22"/>
        </w:rPr>
      </w:pPr>
      <w:bookmarkStart w:id="524" w:name="_Toc119448041"/>
      <w:r w:rsidRPr="00F153F6">
        <w:rPr>
          <w:rFonts w:ascii="Times New Roman" w:hAnsi="Times New Roman" w:cs="Times New Roman"/>
          <w:i w:val="0"/>
          <w:iCs w:val="0"/>
          <w:color w:val="auto"/>
          <w:sz w:val="22"/>
          <w:szCs w:val="22"/>
        </w:rPr>
        <w:t xml:space="preserve">Table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Table_4. \* ARABIC </w:instrText>
      </w:r>
      <w:r w:rsidRPr="00F153F6">
        <w:rPr>
          <w:rFonts w:ascii="Times New Roman" w:hAnsi="Times New Roman" w:cs="Times New Roman"/>
          <w:i w:val="0"/>
          <w:iCs w:val="0"/>
          <w:color w:val="auto"/>
          <w:sz w:val="22"/>
          <w:szCs w:val="22"/>
        </w:rPr>
        <w:fldChar w:fldCharType="separate"/>
      </w:r>
      <w:r w:rsidR="007148BA" w:rsidRPr="00F153F6">
        <w:rPr>
          <w:rFonts w:ascii="Times New Roman" w:hAnsi="Times New Roman" w:cs="Times New Roman"/>
          <w:i w:val="0"/>
          <w:iCs w:val="0"/>
          <w:noProof/>
          <w:color w:val="auto"/>
          <w:sz w:val="22"/>
          <w:szCs w:val="22"/>
        </w:rPr>
        <w:t>7</w:t>
      </w:r>
      <w:r w:rsidRPr="00F153F6">
        <w:rPr>
          <w:rFonts w:ascii="Times New Roman" w:hAnsi="Times New Roman" w:cs="Times New Roman"/>
          <w:i w:val="0"/>
          <w:iCs w:val="0"/>
          <w:color w:val="auto"/>
          <w:sz w:val="22"/>
          <w:szCs w:val="22"/>
        </w:rPr>
        <w:fldChar w:fldCharType="end"/>
      </w:r>
      <w:bookmarkStart w:id="525" w:name="OLE_LINK960"/>
      <w:bookmarkStart w:id="526" w:name="OLE_LINK961"/>
      <w:r w:rsidRPr="00F153F6">
        <w:rPr>
          <w:rFonts w:ascii="Times New Roman" w:hAnsi="Times New Roman" w:cs="Times New Roman"/>
          <w:i w:val="0"/>
          <w:iCs w:val="0"/>
          <w:color w:val="auto"/>
          <w:sz w:val="22"/>
          <w:szCs w:val="22"/>
        </w:rPr>
        <w:t xml:space="preserve"> Summary of knowledgeabilities in ICT-based IOKE practice, its relevant activities, performed knowledge and ICT </w:t>
      </w:r>
      <w:r w:rsidR="00CE44B8" w:rsidRPr="00F153F6">
        <w:rPr>
          <w:rFonts w:ascii="Times New Roman" w:hAnsi="Times New Roman" w:cs="Times New Roman"/>
          <w:i w:val="0"/>
          <w:iCs w:val="0"/>
          <w:color w:val="auto"/>
          <w:sz w:val="22"/>
          <w:szCs w:val="22"/>
        </w:rPr>
        <w:t>affording</w:t>
      </w:r>
      <w:r w:rsidRPr="00F153F6">
        <w:rPr>
          <w:rFonts w:ascii="Times New Roman" w:hAnsi="Times New Roman" w:cs="Times New Roman"/>
          <w:i w:val="0"/>
          <w:iCs w:val="0"/>
          <w:color w:val="auto"/>
          <w:sz w:val="22"/>
          <w:szCs w:val="22"/>
        </w:rPr>
        <w:t xml:space="preserve"> and ICT constraints </w:t>
      </w:r>
      <w:bookmarkStart w:id="527" w:name="OLE_LINK821"/>
      <w:bookmarkStart w:id="528" w:name="OLE_LINK822"/>
      <w:r w:rsidRPr="00F153F6">
        <w:rPr>
          <w:rFonts w:ascii="Times New Roman" w:hAnsi="Times New Roman" w:cs="Times New Roman"/>
          <w:i w:val="0"/>
          <w:iCs w:val="0"/>
          <w:color w:val="auto"/>
          <w:sz w:val="22"/>
          <w:szCs w:val="22"/>
        </w:rPr>
        <w:t xml:space="preserve">in the middle stage </w:t>
      </w:r>
      <w:bookmarkEnd w:id="525"/>
      <w:bookmarkEnd w:id="526"/>
      <w:bookmarkEnd w:id="527"/>
      <w:bookmarkEnd w:id="528"/>
      <w:r w:rsidRPr="00F153F6">
        <w:rPr>
          <w:rFonts w:ascii="Times New Roman" w:hAnsi="Times New Roman" w:cs="Times New Roman"/>
          <w:i w:val="0"/>
          <w:iCs w:val="0"/>
          <w:color w:val="auto"/>
          <w:sz w:val="22"/>
          <w:szCs w:val="22"/>
        </w:rPr>
        <w:t>of the project.</w:t>
      </w:r>
      <w:bookmarkEnd w:id="524"/>
    </w:p>
    <w:tbl>
      <w:tblPr>
        <w:tblStyle w:val="PlainTable5"/>
        <w:tblW w:w="5000" w:type="pct"/>
        <w:tblLook w:val="04A0" w:firstRow="1" w:lastRow="0" w:firstColumn="1" w:lastColumn="0" w:noHBand="0" w:noVBand="1"/>
      </w:tblPr>
      <w:tblGrid>
        <w:gridCol w:w="1930"/>
        <w:gridCol w:w="1377"/>
        <w:gridCol w:w="1796"/>
        <w:gridCol w:w="2127"/>
        <w:gridCol w:w="1796"/>
      </w:tblGrid>
      <w:tr w:rsidR="005549E4" w:rsidRPr="00F153F6" w14:paraId="0BD572EB" w14:textId="77777777" w:rsidTr="008633DD">
        <w:trPr>
          <w:cnfStyle w:val="100000000000" w:firstRow="1" w:lastRow="0" w:firstColumn="0" w:lastColumn="0" w:oddVBand="0" w:evenVBand="0" w:oddHBand="0" w:evenHBand="0" w:firstRowFirstColumn="0" w:firstRowLastColumn="0" w:lastRowFirstColumn="0" w:lastRowLastColumn="0"/>
          <w:trHeight w:val="979"/>
        </w:trPr>
        <w:tc>
          <w:tcPr>
            <w:cnfStyle w:val="001000000100" w:firstRow="0" w:lastRow="0" w:firstColumn="1" w:lastColumn="0" w:oddVBand="0" w:evenVBand="0" w:oddHBand="0" w:evenHBand="0" w:firstRowFirstColumn="1" w:firstRowLastColumn="0" w:lastRowFirstColumn="0" w:lastRowLastColumn="0"/>
            <w:tcW w:w="1069" w:type="pct"/>
            <w:tcBorders>
              <w:top w:val="single" w:sz="4" w:space="0" w:color="auto"/>
            </w:tcBorders>
            <w:shd w:val="clear" w:color="auto" w:fill="auto"/>
          </w:tcPr>
          <w:p w14:paraId="56764F70" w14:textId="77777777" w:rsidR="0015201A" w:rsidRPr="00F153F6" w:rsidRDefault="0015201A" w:rsidP="004424B4">
            <w:pPr>
              <w:spacing w:line="360" w:lineRule="auto"/>
              <w:jc w:val="both"/>
              <w:rPr>
                <w:rFonts w:ascii="Times New Roman" w:hAnsi="Times New Roman" w:cs="Times New Roman"/>
                <w:b/>
                <w:bCs/>
                <w:sz w:val="22"/>
                <w:szCs w:val="21"/>
              </w:rPr>
            </w:pPr>
            <w:bookmarkStart w:id="529" w:name="OLE_LINK958"/>
            <w:bookmarkStart w:id="530" w:name="OLE_LINK959"/>
            <w:r w:rsidRPr="00F153F6">
              <w:rPr>
                <w:rFonts w:ascii="Times New Roman" w:hAnsi="Times New Roman" w:cs="Times New Roman"/>
                <w:b/>
                <w:bCs/>
                <w:sz w:val="22"/>
                <w:szCs w:val="21"/>
              </w:rPr>
              <w:t>Knowledgeabilities of ICT-based IOKE Practice</w:t>
            </w:r>
          </w:p>
        </w:tc>
        <w:tc>
          <w:tcPr>
            <w:tcW w:w="763" w:type="pct"/>
            <w:tcBorders>
              <w:top w:val="single" w:sz="4" w:space="0" w:color="auto"/>
            </w:tcBorders>
            <w:shd w:val="clear" w:color="auto" w:fill="auto"/>
          </w:tcPr>
          <w:p w14:paraId="13D25588"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1"/>
              </w:rPr>
            </w:pPr>
            <w:r w:rsidRPr="00F153F6">
              <w:rPr>
                <w:rFonts w:ascii="Times New Roman" w:hAnsi="Times New Roman" w:cs="Times New Roman"/>
                <w:b/>
                <w:bCs/>
                <w:sz w:val="22"/>
                <w:szCs w:val="21"/>
              </w:rPr>
              <w:t>Knowing in practice</w:t>
            </w:r>
          </w:p>
        </w:tc>
        <w:tc>
          <w:tcPr>
            <w:tcW w:w="995" w:type="pct"/>
            <w:tcBorders>
              <w:top w:val="single" w:sz="4" w:space="0" w:color="auto"/>
            </w:tcBorders>
            <w:shd w:val="clear" w:color="auto" w:fill="auto"/>
          </w:tcPr>
          <w:p w14:paraId="0727EDB8" w14:textId="77777777" w:rsidR="0015201A" w:rsidRPr="00F153F6" w:rsidRDefault="0015201A" w:rsidP="004424B4">
            <w:pPr>
              <w:tabs>
                <w:tab w:val="left" w:pos="495"/>
                <w:tab w:val="center" w:pos="964"/>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1"/>
              </w:rPr>
            </w:pPr>
            <w:r w:rsidRPr="00F153F6">
              <w:rPr>
                <w:rFonts w:ascii="Times New Roman" w:hAnsi="Times New Roman" w:cs="Times New Roman"/>
                <w:b/>
                <w:bCs/>
                <w:sz w:val="22"/>
                <w:szCs w:val="21"/>
              </w:rPr>
              <w:tab/>
            </w:r>
            <w:r w:rsidRPr="00F153F6">
              <w:rPr>
                <w:rFonts w:ascii="Times New Roman" w:hAnsi="Times New Roman" w:cs="Times New Roman"/>
                <w:b/>
                <w:bCs/>
                <w:sz w:val="22"/>
                <w:szCs w:val="21"/>
              </w:rPr>
              <w:tab/>
              <w:t>Activities</w:t>
            </w:r>
          </w:p>
        </w:tc>
        <w:tc>
          <w:tcPr>
            <w:tcW w:w="1178" w:type="pct"/>
            <w:tcBorders>
              <w:top w:val="single" w:sz="4" w:space="0" w:color="auto"/>
            </w:tcBorders>
            <w:shd w:val="clear" w:color="auto" w:fill="auto"/>
          </w:tcPr>
          <w:p w14:paraId="21D75EDF" w14:textId="053DF6FB"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1"/>
              </w:rPr>
            </w:pPr>
            <w:r w:rsidRPr="00F153F6">
              <w:rPr>
                <w:rFonts w:ascii="Times New Roman" w:hAnsi="Times New Roman" w:cs="Times New Roman"/>
                <w:b/>
                <w:bCs/>
                <w:sz w:val="22"/>
                <w:szCs w:val="21"/>
              </w:rPr>
              <w:t>ICT-</w:t>
            </w:r>
            <w:r w:rsidR="00CE44B8" w:rsidRPr="00F153F6">
              <w:rPr>
                <w:rFonts w:ascii="Times New Roman" w:hAnsi="Times New Roman" w:cs="Times New Roman"/>
                <w:b/>
                <w:bCs/>
                <w:sz w:val="22"/>
                <w:szCs w:val="21"/>
              </w:rPr>
              <w:t>Afforded</w:t>
            </w:r>
            <w:r w:rsidRPr="00F153F6">
              <w:rPr>
                <w:rFonts w:ascii="Times New Roman" w:hAnsi="Times New Roman" w:cs="Times New Roman"/>
                <w:b/>
                <w:bCs/>
                <w:sz w:val="22"/>
                <w:szCs w:val="21"/>
              </w:rPr>
              <w:t xml:space="preserve"> Abilities </w:t>
            </w:r>
          </w:p>
        </w:tc>
        <w:tc>
          <w:tcPr>
            <w:tcW w:w="995" w:type="pct"/>
            <w:tcBorders>
              <w:top w:val="single" w:sz="4" w:space="0" w:color="auto"/>
            </w:tcBorders>
            <w:shd w:val="clear" w:color="auto" w:fill="auto"/>
          </w:tcPr>
          <w:p w14:paraId="5E5F5F3C"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1"/>
              </w:rPr>
            </w:pPr>
            <w:r w:rsidRPr="00F153F6">
              <w:rPr>
                <w:rFonts w:ascii="Times New Roman" w:hAnsi="Times New Roman" w:cs="Times New Roman"/>
                <w:b/>
                <w:bCs/>
                <w:sz w:val="22"/>
                <w:szCs w:val="21"/>
              </w:rPr>
              <w:t xml:space="preserve">ICT-Constrained Abilities </w:t>
            </w:r>
          </w:p>
        </w:tc>
      </w:tr>
      <w:tr w:rsidR="005549E4" w:rsidRPr="00F153F6" w14:paraId="70153686" w14:textId="77777777" w:rsidTr="004314D7">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069" w:type="pct"/>
            <w:shd w:val="clear" w:color="auto" w:fill="auto"/>
          </w:tcPr>
          <w:p w14:paraId="16A646FD" w14:textId="77777777" w:rsidR="0015201A" w:rsidRPr="00F153F6" w:rsidRDefault="0015201A" w:rsidP="004424B4">
            <w:pPr>
              <w:spacing w:line="360" w:lineRule="auto"/>
              <w:jc w:val="both"/>
              <w:rPr>
                <w:rFonts w:ascii="Times New Roman" w:hAnsi="Times New Roman" w:cs="Times New Roman"/>
                <w:i w:val="0"/>
                <w:iCs w:val="0"/>
                <w:sz w:val="22"/>
                <w:szCs w:val="21"/>
              </w:rPr>
            </w:pPr>
            <w:bookmarkStart w:id="531" w:name="_Hlk108029286"/>
            <w:r w:rsidRPr="00F153F6">
              <w:rPr>
                <w:rFonts w:ascii="Times New Roman" w:hAnsi="Times New Roman" w:cs="Times New Roman"/>
                <w:sz w:val="22"/>
                <w:szCs w:val="21"/>
              </w:rPr>
              <w:t xml:space="preserve">Inter-connecting </w:t>
            </w:r>
          </w:p>
          <w:p w14:paraId="03FE126F" w14:textId="77777777" w:rsidR="0015201A" w:rsidRPr="00F153F6" w:rsidRDefault="0015201A" w:rsidP="004424B4">
            <w:pPr>
              <w:spacing w:line="360" w:lineRule="auto"/>
              <w:jc w:val="both"/>
              <w:rPr>
                <w:rFonts w:ascii="Times New Roman" w:hAnsi="Times New Roman" w:cs="Times New Roman"/>
                <w:sz w:val="22"/>
                <w:szCs w:val="21"/>
              </w:rPr>
            </w:pPr>
          </w:p>
        </w:tc>
        <w:tc>
          <w:tcPr>
            <w:tcW w:w="763" w:type="pct"/>
            <w:shd w:val="clear" w:color="auto" w:fill="auto"/>
          </w:tcPr>
          <w:p w14:paraId="4515DA7B"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Knowing how to cultivate relationships</w:t>
            </w:r>
          </w:p>
        </w:tc>
        <w:tc>
          <w:tcPr>
            <w:tcW w:w="995" w:type="pct"/>
            <w:shd w:val="clear" w:color="auto" w:fill="auto"/>
          </w:tcPr>
          <w:p w14:paraId="726B7653"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Embedding in Real life</w:t>
            </w:r>
          </w:p>
          <w:p w14:paraId="1FA73F99"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6E3F845B"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Cultivating Partnership</w:t>
            </w:r>
          </w:p>
          <w:p w14:paraId="15C5849B"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557CF75D"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Connecting</w:t>
            </w:r>
          </w:p>
          <w:p w14:paraId="362A8872"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18C15934"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Bridging</w:t>
            </w:r>
          </w:p>
          <w:p w14:paraId="4C87E6EC"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14B2CD12"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Socialising</w:t>
            </w:r>
          </w:p>
          <w:p w14:paraId="2A71DD25"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c>
          <w:tcPr>
            <w:tcW w:w="1178" w:type="pct"/>
            <w:shd w:val="clear" w:color="auto" w:fill="auto"/>
          </w:tcPr>
          <w:p w14:paraId="6D3D915B"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lastRenderedPageBreak/>
              <w:t>Cross-distance Networking</w:t>
            </w:r>
          </w:p>
          <w:p w14:paraId="6DFE43BF"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4E79E19C"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Context Familiarising</w:t>
            </w:r>
          </w:p>
          <w:p w14:paraId="34D0F4D1"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4F4CB2EB"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Notifying</w:t>
            </w:r>
          </w:p>
          <w:p w14:paraId="4C78B5AA"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4DDE21DC"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c>
          <w:tcPr>
            <w:tcW w:w="995" w:type="pct"/>
            <w:shd w:val="clear" w:color="auto" w:fill="auto"/>
          </w:tcPr>
          <w:p w14:paraId="5DC5CC5D"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lastRenderedPageBreak/>
              <w:t>Stable Communicating</w:t>
            </w:r>
          </w:p>
          <w:p w14:paraId="083DE4A7"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49799E7A"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 xml:space="preserve">Appealing </w:t>
            </w:r>
          </w:p>
          <w:p w14:paraId="59C196EB"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72C7A516"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Informal Interacting</w:t>
            </w:r>
          </w:p>
        </w:tc>
      </w:tr>
      <w:bookmarkEnd w:id="531"/>
      <w:tr w:rsidR="005549E4" w:rsidRPr="00F153F6" w14:paraId="1C0A650A" w14:textId="77777777" w:rsidTr="004314D7">
        <w:trPr>
          <w:trHeight w:val="1724"/>
        </w:trPr>
        <w:tc>
          <w:tcPr>
            <w:cnfStyle w:val="001000000000" w:firstRow="0" w:lastRow="0" w:firstColumn="1" w:lastColumn="0" w:oddVBand="0" w:evenVBand="0" w:oddHBand="0" w:evenHBand="0" w:firstRowFirstColumn="0" w:firstRowLastColumn="0" w:lastRowFirstColumn="0" w:lastRowLastColumn="0"/>
            <w:tcW w:w="1069" w:type="pct"/>
            <w:shd w:val="clear" w:color="auto" w:fill="auto"/>
          </w:tcPr>
          <w:p w14:paraId="78D9A47E" w14:textId="77777777" w:rsidR="0015201A" w:rsidRPr="00F153F6" w:rsidRDefault="0015201A" w:rsidP="004424B4">
            <w:pPr>
              <w:spacing w:line="360" w:lineRule="auto"/>
              <w:jc w:val="both"/>
              <w:rPr>
                <w:rFonts w:ascii="Times New Roman" w:hAnsi="Times New Roman" w:cs="Times New Roman"/>
                <w:i w:val="0"/>
                <w:iCs w:val="0"/>
                <w:sz w:val="22"/>
                <w:szCs w:val="21"/>
              </w:rPr>
            </w:pPr>
            <w:r w:rsidRPr="00F153F6">
              <w:rPr>
                <w:rFonts w:ascii="Times New Roman" w:hAnsi="Times New Roman" w:cs="Times New Roman"/>
                <w:sz w:val="22"/>
                <w:szCs w:val="21"/>
              </w:rPr>
              <w:t>Expertise Accumulating</w:t>
            </w:r>
          </w:p>
          <w:p w14:paraId="508872AE" w14:textId="77777777" w:rsidR="0015201A" w:rsidRPr="00F153F6" w:rsidRDefault="0015201A" w:rsidP="004424B4">
            <w:pPr>
              <w:spacing w:line="360" w:lineRule="auto"/>
              <w:jc w:val="both"/>
              <w:rPr>
                <w:rFonts w:ascii="Times New Roman" w:hAnsi="Times New Roman" w:cs="Times New Roman"/>
                <w:sz w:val="22"/>
                <w:szCs w:val="21"/>
              </w:rPr>
            </w:pPr>
          </w:p>
        </w:tc>
        <w:tc>
          <w:tcPr>
            <w:tcW w:w="763" w:type="pct"/>
            <w:shd w:val="clear" w:color="auto" w:fill="auto"/>
          </w:tcPr>
          <w:p w14:paraId="1DA44F43"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Knowing how to develop capabilities</w:t>
            </w:r>
          </w:p>
        </w:tc>
        <w:tc>
          <w:tcPr>
            <w:tcW w:w="995" w:type="pct"/>
            <w:shd w:val="clear" w:color="auto" w:fill="auto"/>
          </w:tcPr>
          <w:p w14:paraId="43816CD8"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Guiding</w:t>
            </w:r>
          </w:p>
          <w:p w14:paraId="57397A73"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531B81C4"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Training</w:t>
            </w:r>
          </w:p>
          <w:p w14:paraId="614E1CEF"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0CB8E9C6"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Sharing</w:t>
            </w:r>
          </w:p>
          <w:p w14:paraId="2CED0874"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1C6A1479"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Elaborating</w:t>
            </w:r>
          </w:p>
          <w:p w14:paraId="2CA020A1"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c>
          <w:tcPr>
            <w:tcW w:w="1178" w:type="pct"/>
            <w:shd w:val="clear" w:color="auto" w:fill="auto"/>
          </w:tcPr>
          <w:p w14:paraId="16107C95"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bookmarkStart w:id="532" w:name="OLE_LINK868"/>
            <w:bookmarkStart w:id="533" w:name="OLE_LINK869"/>
            <w:r w:rsidRPr="00F153F6">
              <w:rPr>
                <w:rFonts w:ascii="Times New Roman" w:hAnsi="Times New Roman" w:cs="Times New Roman"/>
                <w:szCs w:val="21"/>
              </w:rPr>
              <w:t>Visualising</w:t>
            </w:r>
          </w:p>
          <w:p w14:paraId="11882D88"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3047863C"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Ubiquitous</w:t>
            </w:r>
          </w:p>
          <w:p w14:paraId="42F57EBE"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5F0C1BC8"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Learning Ahead</w:t>
            </w:r>
          </w:p>
          <w:p w14:paraId="6E92C2E9"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0F4C5D22"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Customising</w:t>
            </w:r>
          </w:p>
          <w:bookmarkEnd w:id="532"/>
          <w:bookmarkEnd w:id="533"/>
          <w:p w14:paraId="7F9D97D2"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c>
          <w:tcPr>
            <w:tcW w:w="995" w:type="pct"/>
            <w:shd w:val="clear" w:color="auto" w:fill="auto"/>
          </w:tcPr>
          <w:p w14:paraId="5BD65583"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Immediate Transforming</w:t>
            </w:r>
          </w:p>
          <w:p w14:paraId="489B771A"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0F350B99" w14:textId="59018B6B"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bookmarkStart w:id="534" w:name="OLE_LINK870"/>
            <w:bookmarkStart w:id="535" w:name="OLE_LINK871"/>
            <w:r w:rsidRPr="00F153F6">
              <w:rPr>
                <w:rFonts w:ascii="Times New Roman" w:hAnsi="Times New Roman" w:cs="Times New Roman"/>
                <w:szCs w:val="21"/>
              </w:rPr>
              <w:t>In-person Demonstrating</w:t>
            </w:r>
            <w:bookmarkEnd w:id="534"/>
            <w:bookmarkEnd w:id="535"/>
          </w:p>
          <w:p w14:paraId="010A9652"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0E3581F0"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Communication Continuity</w:t>
            </w:r>
          </w:p>
          <w:p w14:paraId="35C685DE"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r>
      <w:tr w:rsidR="005549E4" w:rsidRPr="00F153F6" w14:paraId="351755A9" w14:textId="77777777" w:rsidTr="004314D7">
        <w:trPr>
          <w:cnfStyle w:val="000000100000" w:firstRow="0" w:lastRow="0" w:firstColumn="0" w:lastColumn="0" w:oddVBand="0" w:evenVBand="0" w:oddHBand="1" w:evenHBand="0" w:firstRowFirstColumn="0" w:firstRowLastColumn="0" w:lastRowFirstColumn="0" w:lastRowLastColumn="0"/>
          <w:trHeight w:val="1724"/>
        </w:trPr>
        <w:tc>
          <w:tcPr>
            <w:cnfStyle w:val="001000000000" w:firstRow="0" w:lastRow="0" w:firstColumn="1" w:lastColumn="0" w:oddVBand="0" w:evenVBand="0" w:oddHBand="0" w:evenHBand="0" w:firstRowFirstColumn="0" w:firstRowLastColumn="0" w:lastRowFirstColumn="0" w:lastRowLastColumn="0"/>
            <w:tcW w:w="1069" w:type="pct"/>
            <w:shd w:val="clear" w:color="auto" w:fill="auto"/>
          </w:tcPr>
          <w:p w14:paraId="55D2E216" w14:textId="77777777" w:rsidR="0015201A" w:rsidRPr="00F153F6" w:rsidRDefault="0015201A" w:rsidP="004424B4">
            <w:pPr>
              <w:spacing w:line="360" w:lineRule="auto"/>
              <w:jc w:val="both"/>
              <w:rPr>
                <w:rFonts w:ascii="Times New Roman" w:hAnsi="Times New Roman" w:cs="Times New Roman"/>
                <w:i w:val="0"/>
                <w:iCs w:val="0"/>
                <w:sz w:val="22"/>
                <w:szCs w:val="21"/>
              </w:rPr>
            </w:pPr>
            <w:r w:rsidRPr="00F153F6">
              <w:rPr>
                <w:rFonts w:ascii="Times New Roman" w:hAnsi="Times New Roman" w:cs="Times New Roman"/>
                <w:sz w:val="22"/>
                <w:szCs w:val="21"/>
              </w:rPr>
              <w:t>Collaborative Problem Solving</w:t>
            </w:r>
          </w:p>
          <w:p w14:paraId="16383B57" w14:textId="77777777" w:rsidR="0015201A" w:rsidRPr="00F153F6" w:rsidRDefault="0015201A" w:rsidP="004424B4">
            <w:pPr>
              <w:spacing w:line="360" w:lineRule="auto"/>
              <w:jc w:val="both"/>
              <w:rPr>
                <w:rFonts w:ascii="Times New Roman" w:hAnsi="Times New Roman" w:cs="Times New Roman"/>
                <w:sz w:val="22"/>
                <w:szCs w:val="21"/>
              </w:rPr>
            </w:pPr>
          </w:p>
        </w:tc>
        <w:tc>
          <w:tcPr>
            <w:tcW w:w="763" w:type="pct"/>
            <w:shd w:val="clear" w:color="auto" w:fill="auto"/>
          </w:tcPr>
          <w:p w14:paraId="064927D0"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Knowing how to innovate</w:t>
            </w:r>
          </w:p>
        </w:tc>
        <w:tc>
          <w:tcPr>
            <w:tcW w:w="995" w:type="pct"/>
            <w:shd w:val="clear" w:color="auto" w:fill="auto"/>
          </w:tcPr>
          <w:p w14:paraId="3F891AAC"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Co-designing</w:t>
            </w:r>
          </w:p>
          <w:p w14:paraId="09D11699"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355CA474"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Collaborative Writing</w:t>
            </w:r>
          </w:p>
          <w:p w14:paraId="3E1DCACF"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17FA4AC8"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Group Discussing</w:t>
            </w:r>
          </w:p>
          <w:p w14:paraId="78139D7D"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c>
          <w:tcPr>
            <w:tcW w:w="1178" w:type="pct"/>
            <w:shd w:val="clear" w:color="auto" w:fill="auto"/>
          </w:tcPr>
          <w:p w14:paraId="238DC583"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bookmarkStart w:id="536" w:name="OLE_LINK917"/>
            <w:bookmarkStart w:id="537" w:name="OLE_LINK918"/>
            <w:r w:rsidRPr="00F153F6">
              <w:rPr>
                <w:rFonts w:ascii="Times New Roman" w:hAnsi="Times New Roman" w:cs="Times New Roman"/>
                <w:szCs w:val="21"/>
              </w:rPr>
              <w:t>Sticking</w:t>
            </w:r>
          </w:p>
          <w:p w14:paraId="10DF0B3C"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57BEABB3"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Instant Workaround</w:t>
            </w:r>
          </w:p>
          <w:p w14:paraId="48CDE6FD"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1E236682"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Cross-Referencing</w:t>
            </w:r>
            <w:bookmarkEnd w:id="536"/>
            <w:bookmarkEnd w:id="537"/>
          </w:p>
        </w:tc>
        <w:tc>
          <w:tcPr>
            <w:tcW w:w="995" w:type="pct"/>
            <w:shd w:val="clear" w:color="auto" w:fill="auto"/>
          </w:tcPr>
          <w:p w14:paraId="4F204099"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Humour Ability</w:t>
            </w:r>
          </w:p>
          <w:p w14:paraId="235B1057"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778E9C83"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r>
      <w:tr w:rsidR="005549E4" w:rsidRPr="00F153F6" w14:paraId="2ED788A9" w14:textId="77777777" w:rsidTr="008633DD">
        <w:trPr>
          <w:trHeight w:val="1476"/>
        </w:trPr>
        <w:tc>
          <w:tcPr>
            <w:cnfStyle w:val="001000000000" w:firstRow="0" w:lastRow="0" w:firstColumn="1" w:lastColumn="0" w:oddVBand="0" w:evenVBand="0" w:oddHBand="0" w:evenHBand="0" w:firstRowFirstColumn="0" w:firstRowLastColumn="0" w:lastRowFirstColumn="0" w:lastRowLastColumn="0"/>
            <w:tcW w:w="1069" w:type="pct"/>
            <w:tcBorders>
              <w:bottom w:val="single" w:sz="4" w:space="0" w:color="auto"/>
            </w:tcBorders>
            <w:shd w:val="clear" w:color="auto" w:fill="auto"/>
          </w:tcPr>
          <w:p w14:paraId="5B3E08D6" w14:textId="77777777" w:rsidR="0015201A" w:rsidRPr="00F153F6" w:rsidRDefault="0015201A" w:rsidP="004424B4">
            <w:pPr>
              <w:spacing w:line="360" w:lineRule="auto"/>
              <w:jc w:val="both"/>
              <w:rPr>
                <w:rFonts w:ascii="Times New Roman" w:hAnsi="Times New Roman" w:cs="Times New Roman"/>
                <w:sz w:val="22"/>
                <w:szCs w:val="21"/>
              </w:rPr>
            </w:pPr>
            <w:r w:rsidRPr="00F153F6">
              <w:rPr>
                <w:rFonts w:ascii="Times New Roman" w:hAnsi="Times New Roman" w:cs="Times New Roman"/>
                <w:sz w:val="22"/>
                <w:szCs w:val="21"/>
              </w:rPr>
              <w:t>Co-ordinating</w:t>
            </w:r>
          </w:p>
        </w:tc>
        <w:tc>
          <w:tcPr>
            <w:tcW w:w="763" w:type="pct"/>
            <w:tcBorders>
              <w:bottom w:val="single" w:sz="4" w:space="0" w:color="auto"/>
            </w:tcBorders>
            <w:shd w:val="clear" w:color="auto" w:fill="auto"/>
          </w:tcPr>
          <w:p w14:paraId="75E5EEC7"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Knowing how to direct performance</w:t>
            </w:r>
          </w:p>
        </w:tc>
        <w:tc>
          <w:tcPr>
            <w:tcW w:w="995" w:type="pct"/>
            <w:tcBorders>
              <w:bottom w:val="single" w:sz="4" w:space="0" w:color="auto"/>
            </w:tcBorders>
            <w:shd w:val="clear" w:color="auto" w:fill="auto"/>
          </w:tcPr>
          <w:p w14:paraId="11063DDC"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Adapting</w:t>
            </w:r>
          </w:p>
          <w:p w14:paraId="377FD440"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3DFE5EFC"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Staffing</w:t>
            </w:r>
          </w:p>
          <w:p w14:paraId="628ECB2D"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1B157130"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lastRenderedPageBreak/>
              <w:t xml:space="preserve">Monitoring </w:t>
            </w:r>
          </w:p>
        </w:tc>
        <w:tc>
          <w:tcPr>
            <w:tcW w:w="1178" w:type="pct"/>
            <w:tcBorders>
              <w:bottom w:val="single" w:sz="4" w:space="0" w:color="auto"/>
            </w:tcBorders>
            <w:shd w:val="clear" w:color="auto" w:fill="auto"/>
          </w:tcPr>
          <w:p w14:paraId="20A4113C"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lastRenderedPageBreak/>
              <w:t>Documenting</w:t>
            </w:r>
          </w:p>
          <w:p w14:paraId="5135F99F"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1EB625E6"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Assigning</w:t>
            </w:r>
          </w:p>
          <w:p w14:paraId="4CD8B9ED"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31619CFA"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lastRenderedPageBreak/>
              <w:t>Tracing</w:t>
            </w:r>
          </w:p>
        </w:tc>
        <w:tc>
          <w:tcPr>
            <w:tcW w:w="995" w:type="pct"/>
            <w:tcBorders>
              <w:bottom w:val="single" w:sz="4" w:space="0" w:color="auto"/>
            </w:tcBorders>
            <w:shd w:val="clear" w:color="auto" w:fill="auto"/>
          </w:tcPr>
          <w:p w14:paraId="08D00189"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r>
      <w:bookmarkEnd w:id="529"/>
      <w:bookmarkEnd w:id="530"/>
    </w:tbl>
    <w:p w14:paraId="1DA29576" w14:textId="77777777" w:rsidR="0015201A" w:rsidRPr="00F153F6" w:rsidRDefault="0015201A" w:rsidP="004424B4">
      <w:pPr>
        <w:spacing w:line="360" w:lineRule="auto"/>
        <w:jc w:val="both"/>
        <w:rPr>
          <w:rFonts w:ascii="Times New Roman" w:hAnsi="Times New Roman" w:cs="Times New Roman"/>
        </w:rPr>
      </w:pPr>
    </w:p>
    <w:p w14:paraId="014C9016" w14:textId="77777777" w:rsidR="0015201A" w:rsidRPr="00F153F6" w:rsidRDefault="0015201A" w:rsidP="004424B4">
      <w:pPr>
        <w:spacing w:line="360" w:lineRule="auto"/>
        <w:jc w:val="both"/>
        <w:rPr>
          <w:rFonts w:ascii="Times New Roman" w:hAnsi="Times New Roman" w:cs="Times New Roman"/>
        </w:rPr>
      </w:pPr>
    </w:p>
    <w:p w14:paraId="714042A7" w14:textId="6711234E" w:rsidR="0015201A" w:rsidRPr="00F153F6" w:rsidRDefault="0015201A" w:rsidP="00116210">
      <w:pPr>
        <w:pStyle w:val="Heading3"/>
        <w:spacing w:line="360" w:lineRule="auto"/>
        <w:ind w:left="720"/>
        <w:jc w:val="both"/>
        <w:rPr>
          <w:rFonts w:ascii="Times New Roman" w:hAnsi="Times New Roman" w:cs="Times New Roman"/>
          <w:b/>
          <w:color w:val="auto"/>
          <w:sz w:val="28"/>
          <w:szCs w:val="28"/>
        </w:rPr>
      </w:pPr>
      <w:bookmarkStart w:id="538" w:name="_Toc118371137"/>
      <w:bookmarkStart w:id="539" w:name="_Toc133252163"/>
      <w:bookmarkStart w:id="540" w:name="OLE_LINK966"/>
      <w:bookmarkStart w:id="541" w:name="OLE_LINK967"/>
      <w:r w:rsidRPr="00F153F6">
        <w:rPr>
          <w:rFonts w:ascii="Times New Roman" w:hAnsi="Times New Roman" w:cs="Times New Roman"/>
          <w:b/>
          <w:color w:val="auto"/>
          <w:sz w:val="28"/>
          <w:szCs w:val="28"/>
        </w:rPr>
        <w:t xml:space="preserve">4.3.1. Inter-connecting and </w:t>
      </w:r>
      <w:r w:rsidR="00FA6038" w:rsidRPr="00F153F6">
        <w:rPr>
          <w:rFonts w:ascii="Times New Roman" w:hAnsi="Times New Roman" w:cs="Times New Roman"/>
          <w:b/>
          <w:color w:val="auto"/>
          <w:sz w:val="28"/>
          <w:szCs w:val="28"/>
        </w:rPr>
        <w:t>ICT</w:t>
      </w:r>
      <w:bookmarkEnd w:id="538"/>
      <w:bookmarkEnd w:id="539"/>
    </w:p>
    <w:p w14:paraId="4949F662" w14:textId="38265CA5"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Inter-connecting refers to a knowledgeability by which actors become inter-connected with the help of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to establish a network among them. At the middle stage, there are four types of activities involved: Embedding in </w:t>
      </w:r>
      <w:r w:rsidR="00042F66" w:rsidRPr="00F153F6">
        <w:rPr>
          <w:rFonts w:ascii="Times New Roman" w:hAnsi="Times New Roman" w:cs="Times New Roman"/>
          <w:sz w:val="24"/>
          <w:szCs w:val="24"/>
        </w:rPr>
        <w:t>Context</w:t>
      </w:r>
      <w:r w:rsidRPr="00F153F6">
        <w:rPr>
          <w:rFonts w:ascii="Times New Roman" w:hAnsi="Times New Roman" w:cs="Times New Roman"/>
          <w:sz w:val="24"/>
          <w:szCs w:val="24"/>
        </w:rPr>
        <w:t xml:space="preserve">; Connecting; Bridging; and Socialising. During these activities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 facilitate such inter-connection by affording actors cross-distance networking, selective networking, context familiarising, and the ability to interact informally to develop their understanding of how to cultivate relationships with others. At the same time,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inhibit such enactment of knowledgeability by constraining their ability to stably communicate with each other. Table 4.8 provides a summary of inter-connecting knowledgeability, its accomplished knowing-in-practice, activities that allow the enactment of such knowledgeability, and their explanations.</w:t>
      </w:r>
    </w:p>
    <w:p w14:paraId="357DDA67" w14:textId="77777777" w:rsidR="0015201A" w:rsidRPr="00F153F6" w:rsidRDefault="0015201A" w:rsidP="004424B4">
      <w:pPr>
        <w:spacing w:line="360" w:lineRule="auto"/>
        <w:jc w:val="both"/>
        <w:rPr>
          <w:rFonts w:ascii="Times New Roman" w:hAnsi="Times New Roman" w:cs="Times New Roman"/>
        </w:rPr>
      </w:pPr>
    </w:p>
    <w:p w14:paraId="629F67D7" w14:textId="678601FB" w:rsidR="00845905" w:rsidRPr="00F153F6" w:rsidRDefault="00845905" w:rsidP="00845905">
      <w:pPr>
        <w:pStyle w:val="Caption"/>
        <w:keepNext/>
        <w:rPr>
          <w:rFonts w:ascii="Times New Roman" w:hAnsi="Times New Roman" w:cs="Times New Roman"/>
          <w:i w:val="0"/>
          <w:iCs w:val="0"/>
          <w:color w:val="auto"/>
          <w:sz w:val="22"/>
          <w:szCs w:val="22"/>
        </w:rPr>
      </w:pPr>
      <w:bookmarkStart w:id="542" w:name="_Toc119448042"/>
      <w:r w:rsidRPr="00F153F6">
        <w:rPr>
          <w:rFonts w:ascii="Times New Roman" w:hAnsi="Times New Roman" w:cs="Times New Roman"/>
          <w:i w:val="0"/>
          <w:iCs w:val="0"/>
          <w:color w:val="auto"/>
          <w:sz w:val="22"/>
          <w:szCs w:val="22"/>
        </w:rPr>
        <w:t xml:space="preserve">Table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Table_4. \* ARABIC </w:instrText>
      </w:r>
      <w:r w:rsidRPr="00F153F6">
        <w:rPr>
          <w:rFonts w:ascii="Times New Roman" w:hAnsi="Times New Roman" w:cs="Times New Roman"/>
          <w:i w:val="0"/>
          <w:iCs w:val="0"/>
          <w:color w:val="auto"/>
          <w:sz w:val="22"/>
          <w:szCs w:val="22"/>
        </w:rPr>
        <w:fldChar w:fldCharType="separate"/>
      </w:r>
      <w:r w:rsidR="007148BA" w:rsidRPr="00F153F6">
        <w:rPr>
          <w:rFonts w:ascii="Times New Roman" w:hAnsi="Times New Roman" w:cs="Times New Roman"/>
          <w:i w:val="0"/>
          <w:iCs w:val="0"/>
          <w:noProof/>
          <w:color w:val="auto"/>
          <w:sz w:val="22"/>
          <w:szCs w:val="22"/>
        </w:rPr>
        <w:t>8</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Summary of the inter-connecting knowledgeability and its relevant elements</w:t>
      </w:r>
      <w:bookmarkEnd w:id="542"/>
    </w:p>
    <w:tbl>
      <w:tblPr>
        <w:tblStyle w:val="PlainTable5"/>
        <w:tblW w:w="9067" w:type="dxa"/>
        <w:tblLook w:val="04A0" w:firstRow="1" w:lastRow="0" w:firstColumn="1" w:lastColumn="0" w:noHBand="0" w:noVBand="1"/>
      </w:tblPr>
      <w:tblGrid>
        <w:gridCol w:w="2552"/>
        <w:gridCol w:w="2263"/>
        <w:gridCol w:w="4252"/>
      </w:tblGrid>
      <w:tr w:rsidR="005549E4" w:rsidRPr="00F153F6" w14:paraId="52C4D768" w14:textId="77777777" w:rsidTr="004314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shd w:val="clear" w:color="auto" w:fill="auto"/>
          </w:tcPr>
          <w:p w14:paraId="0EB78587" w14:textId="77777777" w:rsidR="0015201A" w:rsidRPr="00F153F6" w:rsidRDefault="0015201A" w:rsidP="004424B4">
            <w:pPr>
              <w:spacing w:line="360" w:lineRule="auto"/>
              <w:jc w:val="both"/>
              <w:rPr>
                <w:rFonts w:ascii="Times New Roman" w:hAnsi="Times New Roman" w:cs="Times New Roman"/>
                <w:b/>
                <w:bCs/>
                <w:sz w:val="22"/>
              </w:rPr>
            </w:pPr>
            <w:r w:rsidRPr="00F153F6">
              <w:rPr>
                <w:rFonts w:ascii="Times New Roman" w:hAnsi="Times New Roman" w:cs="Times New Roman"/>
                <w:b/>
                <w:bCs/>
                <w:sz w:val="22"/>
              </w:rPr>
              <w:t>Knowledgeability</w:t>
            </w:r>
          </w:p>
        </w:tc>
        <w:tc>
          <w:tcPr>
            <w:tcW w:w="2263" w:type="dxa"/>
            <w:shd w:val="clear" w:color="auto" w:fill="auto"/>
          </w:tcPr>
          <w:p w14:paraId="318A56BF"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Activities</w:t>
            </w:r>
          </w:p>
        </w:tc>
        <w:tc>
          <w:tcPr>
            <w:tcW w:w="4252" w:type="dxa"/>
            <w:shd w:val="clear" w:color="auto" w:fill="auto"/>
          </w:tcPr>
          <w:p w14:paraId="232EBAE6"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Explanations</w:t>
            </w:r>
          </w:p>
        </w:tc>
      </w:tr>
      <w:tr w:rsidR="005549E4" w:rsidRPr="00F153F6" w14:paraId="2AC85F4B" w14:textId="77777777" w:rsidTr="004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shd w:val="clear" w:color="auto" w:fill="auto"/>
          </w:tcPr>
          <w:p w14:paraId="6488800E" w14:textId="77777777" w:rsidR="0015201A" w:rsidRPr="00F153F6" w:rsidRDefault="0015201A" w:rsidP="004424B4">
            <w:pPr>
              <w:spacing w:line="360" w:lineRule="auto"/>
              <w:jc w:val="both"/>
              <w:rPr>
                <w:rFonts w:ascii="Times New Roman" w:hAnsi="Times New Roman" w:cs="Times New Roman"/>
                <w:i w:val="0"/>
                <w:iCs w:val="0"/>
                <w:sz w:val="22"/>
              </w:rPr>
            </w:pPr>
            <w:r w:rsidRPr="00F153F6">
              <w:rPr>
                <w:rFonts w:ascii="Times New Roman" w:hAnsi="Times New Roman" w:cs="Times New Roman"/>
                <w:sz w:val="22"/>
              </w:rPr>
              <w:t xml:space="preserve">Inter-connecting </w:t>
            </w:r>
          </w:p>
          <w:p w14:paraId="63A579AB" w14:textId="77777777" w:rsidR="0015201A" w:rsidRPr="00F153F6" w:rsidRDefault="0015201A" w:rsidP="004424B4">
            <w:pPr>
              <w:spacing w:line="360" w:lineRule="auto"/>
              <w:jc w:val="both"/>
              <w:rPr>
                <w:rFonts w:ascii="Times New Roman" w:hAnsi="Times New Roman" w:cs="Times New Roman"/>
                <w:i w:val="0"/>
                <w:iCs w:val="0"/>
                <w:sz w:val="22"/>
              </w:rPr>
            </w:pPr>
          </w:p>
          <w:p w14:paraId="5E397421" w14:textId="77777777" w:rsidR="0015201A" w:rsidRPr="00F153F6" w:rsidRDefault="0015201A" w:rsidP="004424B4">
            <w:pPr>
              <w:spacing w:line="360" w:lineRule="auto"/>
              <w:jc w:val="both"/>
              <w:rPr>
                <w:rFonts w:ascii="Times New Roman" w:hAnsi="Times New Roman" w:cs="Times New Roman"/>
                <w:sz w:val="22"/>
              </w:rPr>
            </w:pPr>
            <w:r w:rsidRPr="00F153F6">
              <w:rPr>
                <w:rFonts w:ascii="Times New Roman" w:hAnsi="Times New Roman" w:cs="Times New Roman"/>
                <w:sz w:val="22"/>
              </w:rPr>
              <w:t>Explanation: Knowing how to cultivate relationship</w:t>
            </w:r>
          </w:p>
        </w:tc>
        <w:tc>
          <w:tcPr>
            <w:tcW w:w="2263" w:type="dxa"/>
            <w:shd w:val="clear" w:color="auto" w:fill="auto"/>
          </w:tcPr>
          <w:p w14:paraId="5D28FC1D"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Embedding in Context</w:t>
            </w:r>
          </w:p>
          <w:p w14:paraId="085CD47B"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2" w:type="dxa"/>
            <w:shd w:val="clear" w:color="auto" w:fill="auto"/>
          </w:tcPr>
          <w:p w14:paraId="6C503465"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Actors embed themselves in each other’s context to deepen relationship with each other.</w:t>
            </w:r>
          </w:p>
          <w:p w14:paraId="5BF6EBFE"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49E4" w:rsidRPr="00F153F6" w14:paraId="375BAF99" w14:textId="77777777" w:rsidTr="004314D7">
        <w:tc>
          <w:tcPr>
            <w:cnfStyle w:val="001000000000" w:firstRow="0" w:lastRow="0" w:firstColumn="1" w:lastColumn="0" w:oddVBand="0" w:evenVBand="0" w:oddHBand="0" w:evenHBand="0" w:firstRowFirstColumn="0" w:firstRowLastColumn="0" w:lastRowFirstColumn="0" w:lastRowLastColumn="0"/>
            <w:tcW w:w="2552" w:type="dxa"/>
            <w:vMerge/>
            <w:shd w:val="clear" w:color="auto" w:fill="auto"/>
          </w:tcPr>
          <w:p w14:paraId="63FC88ED" w14:textId="77777777" w:rsidR="0015201A" w:rsidRPr="00F153F6" w:rsidRDefault="0015201A" w:rsidP="004424B4">
            <w:pPr>
              <w:spacing w:line="360" w:lineRule="auto"/>
              <w:jc w:val="both"/>
              <w:rPr>
                <w:rFonts w:ascii="Times New Roman" w:hAnsi="Times New Roman" w:cs="Times New Roman"/>
                <w:sz w:val="22"/>
              </w:rPr>
            </w:pPr>
          </w:p>
        </w:tc>
        <w:tc>
          <w:tcPr>
            <w:tcW w:w="2263" w:type="dxa"/>
            <w:shd w:val="clear" w:color="auto" w:fill="auto"/>
          </w:tcPr>
          <w:p w14:paraId="6A1DCD47"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Connecting</w:t>
            </w:r>
          </w:p>
        </w:tc>
        <w:tc>
          <w:tcPr>
            <w:tcW w:w="4252" w:type="dxa"/>
            <w:shd w:val="clear" w:color="auto" w:fill="auto"/>
          </w:tcPr>
          <w:p w14:paraId="14590D30"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 xml:space="preserve">Actors approach each other and interact in order to achieve work-related goals. The connecting activity indicates how actors get inter-connected to develop their knowing how to cultivate a workplace goal-oriented relationship. </w:t>
            </w:r>
          </w:p>
        </w:tc>
      </w:tr>
      <w:tr w:rsidR="005549E4" w:rsidRPr="00F153F6" w14:paraId="6D2FEBD1" w14:textId="77777777" w:rsidTr="004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shd w:val="clear" w:color="auto" w:fill="auto"/>
          </w:tcPr>
          <w:p w14:paraId="536C4D28" w14:textId="77777777" w:rsidR="0015201A" w:rsidRPr="00F153F6" w:rsidRDefault="0015201A" w:rsidP="004424B4">
            <w:pPr>
              <w:spacing w:line="360" w:lineRule="auto"/>
              <w:jc w:val="both"/>
              <w:rPr>
                <w:rFonts w:ascii="Times New Roman" w:hAnsi="Times New Roman" w:cs="Times New Roman"/>
                <w:sz w:val="22"/>
              </w:rPr>
            </w:pPr>
          </w:p>
        </w:tc>
        <w:tc>
          <w:tcPr>
            <w:tcW w:w="2263" w:type="dxa"/>
            <w:shd w:val="clear" w:color="auto" w:fill="auto"/>
          </w:tcPr>
          <w:p w14:paraId="7CD8E9CB"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Bridging</w:t>
            </w:r>
          </w:p>
        </w:tc>
        <w:tc>
          <w:tcPr>
            <w:tcW w:w="4252" w:type="dxa"/>
            <w:shd w:val="clear" w:color="auto" w:fill="auto"/>
          </w:tcPr>
          <w:p w14:paraId="288E1106"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 xml:space="preserve">One or more actors work with individuals and groups of actors to bridge their different </w:t>
            </w:r>
            <w:r w:rsidRPr="00F153F6">
              <w:rPr>
                <w:rFonts w:ascii="Times New Roman" w:hAnsi="Times New Roman" w:cs="Times New Roman"/>
              </w:rPr>
              <w:lastRenderedPageBreak/>
              <w:t>backgrounds. With the support of these actors, actors of different backgrounds are able to understand each other and connect with each other more effectively. This, in turn, allows them to develop an understanding of how to cultivate a relationship with the involvement and help of a third-party.</w:t>
            </w:r>
          </w:p>
        </w:tc>
      </w:tr>
      <w:tr w:rsidR="005549E4" w:rsidRPr="00F153F6" w14:paraId="1A7130CF" w14:textId="77777777" w:rsidTr="004314D7">
        <w:tc>
          <w:tcPr>
            <w:cnfStyle w:val="001000000000" w:firstRow="0" w:lastRow="0" w:firstColumn="1" w:lastColumn="0" w:oddVBand="0" w:evenVBand="0" w:oddHBand="0" w:evenHBand="0" w:firstRowFirstColumn="0" w:firstRowLastColumn="0" w:lastRowFirstColumn="0" w:lastRowLastColumn="0"/>
            <w:tcW w:w="2552" w:type="dxa"/>
            <w:vMerge/>
            <w:shd w:val="clear" w:color="auto" w:fill="auto"/>
          </w:tcPr>
          <w:p w14:paraId="6276AC8E" w14:textId="77777777" w:rsidR="0015201A" w:rsidRPr="00F153F6" w:rsidRDefault="0015201A" w:rsidP="004424B4">
            <w:pPr>
              <w:spacing w:line="360" w:lineRule="auto"/>
              <w:jc w:val="both"/>
              <w:rPr>
                <w:rFonts w:ascii="Times New Roman" w:hAnsi="Times New Roman" w:cs="Times New Roman"/>
                <w:sz w:val="22"/>
              </w:rPr>
            </w:pPr>
          </w:p>
        </w:tc>
        <w:tc>
          <w:tcPr>
            <w:tcW w:w="2263" w:type="dxa"/>
            <w:shd w:val="clear" w:color="auto" w:fill="auto"/>
          </w:tcPr>
          <w:p w14:paraId="7DC6B8B2"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Socialising</w:t>
            </w:r>
          </w:p>
        </w:tc>
        <w:tc>
          <w:tcPr>
            <w:tcW w:w="4252" w:type="dxa"/>
            <w:shd w:val="clear" w:color="auto" w:fill="auto"/>
          </w:tcPr>
          <w:p w14:paraId="4BA88132"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Actors get together and chat informally for some social goals (i.e. non-work related goals) and thus develop informal communication. This allows them to develop their understanding of how to cultivate a social and informal relationship during the project.</w:t>
            </w:r>
          </w:p>
        </w:tc>
      </w:tr>
      <w:bookmarkEnd w:id="540"/>
      <w:bookmarkEnd w:id="541"/>
    </w:tbl>
    <w:p w14:paraId="036A4048" w14:textId="77777777" w:rsidR="0015201A" w:rsidRPr="00F153F6" w:rsidRDefault="0015201A" w:rsidP="004424B4">
      <w:pPr>
        <w:spacing w:line="360" w:lineRule="auto"/>
        <w:jc w:val="both"/>
        <w:rPr>
          <w:rFonts w:ascii="Times New Roman" w:hAnsi="Times New Roman" w:cs="Times New Roman"/>
        </w:rPr>
      </w:pPr>
    </w:p>
    <w:p w14:paraId="1E30BDC9" w14:textId="77777777" w:rsidR="0015201A" w:rsidRPr="00F153F6" w:rsidRDefault="0015201A" w:rsidP="004424B4">
      <w:pPr>
        <w:spacing w:line="360" w:lineRule="auto"/>
        <w:jc w:val="both"/>
        <w:rPr>
          <w:rFonts w:ascii="Times New Roman" w:hAnsi="Times New Roman" w:cs="Times New Roman"/>
        </w:rPr>
      </w:pPr>
    </w:p>
    <w:p w14:paraId="4EED8144" w14:textId="3038820B"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Embedding in Context</w:t>
      </w:r>
    </w:p>
    <w:p w14:paraId="6C66202B" w14:textId="2727538F" w:rsidR="0015201A" w:rsidRPr="00F153F6" w:rsidRDefault="0015201A" w:rsidP="004424B4">
      <w:pPr>
        <w:spacing w:line="360" w:lineRule="auto"/>
        <w:jc w:val="both"/>
        <w:rPr>
          <w:rFonts w:ascii="Times New Roman" w:hAnsi="Times New Roman" w:cs="Times New Roman"/>
          <w:i/>
          <w:iCs/>
          <w:sz w:val="24"/>
          <w:szCs w:val="24"/>
        </w:rPr>
      </w:pPr>
      <w:r w:rsidRPr="00F153F6">
        <w:rPr>
          <w:rFonts w:ascii="Times New Roman" w:hAnsi="Times New Roman" w:cs="Times New Roman"/>
          <w:sz w:val="24"/>
          <w:szCs w:val="24"/>
        </w:rPr>
        <w:t>Embedding in context refers to activities in which actors immerse themselves in each other’s context to network with each other in order to deepen their relationships. In the middle stage project, actors start a process of familiarisation by embedding themselves in a real life context. The real life context is a special setting in Living Lab projects that offers real life characteristics to the inter-organisational context. For example, actors in a Living Lab project usually need to become familiar with their collaborators, such as the citizens/end users involved, by deeply exploring and understanding their real-life scenarios, including: their personal habits, workplace culture, and embedded wider environment, and the relevance of these to the project-goals. This also shows that ICT-</w:t>
      </w:r>
      <w:r w:rsidR="00D710C2" w:rsidRPr="00F153F6">
        <w:rPr>
          <w:rFonts w:ascii="Times New Roman" w:hAnsi="Times New Roman" w:cs="Times New Roman"/>
          <w:sz w:val="24"/>
          <w:szCs w:val="24"/>
        </w:rPr>
        <w:t>based IOKE</w:t>
      </w:r>
      <w:r w:rsidRPr="00F153F6">
        <w:rPr>
          <w:rFonts w:ascii="Times New Roman" w:hAnsi="Times New Roman" w:cs="Times New Roman"/>
          <w:sz w:val="24"/>
          <w:szCs w:val="24"/>
        </w:rPr>
        <w:t xml:space="preserve"> is embedded and influenced by diverse contextual factors. Actors visit their collaborators’ physical </w:t>
      </w:r>
      <w:r w:rsidR="00D710C2" w:rsidRPr="00F153F6">
        <w:rPr>
          <w:rFonts w:ascii="Times New Roman" w:hAnsi="Times New Roman" w:cs="Times New Roman"/>
          <w:sz w:val="24"/>
          <w:szCs w:val="24"/>
        </w:rPr>
        <w:t>setting;</w:t>
      </w:r>
      <w:r w:rsidRPr="00F153F6">
        <w:rPr>
          <w:rFonts w:ascii="Times New Roman" w:hAnsi="Times New Roman" w:cs="Times New Roman"/>
          <w:sz w:val="24"/>
          <w:szCs w:val="24"/>
        </w:rPr>
        <w:t xml:space="preserve"> they communicate with them and exchange information in order to deepen the relationship with each other. As such,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w:t>
      </w:r>
      <w:r w:rsidR="00CE44B8" w:rsidRPr="00F153F6">
        <w:rPr>
          <w:rFonts w:ascii="Times New Roman" w:hAnsi="Times New Roman" w:cs="Times New Roman"/>
          <w:sz w:val="24"/>
          <w:szCs w:val="24"/>
        </w:rPr>
        <w:t>affords</w:t>
      </w:r>
      <w:r w:rsidRPr="00F153F6">
        <w:rPr>
          <w:rFonts w:ascii="Times New Roman" w:hAnsi="Times New Roman" w:cs="Times New Roman"/>
          <w:sz w:val="24"/>
          <w:szCs w:val="24"/>
        </w:rPr>
        <w:t xml:space="preserve"> actors with the ability to become familiar with the real life context and the involved activities, whereby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such as social media and LinkedIn allow</w:t>
      </w:r>
      <w:r w:rsidR="00FA6038" w:rsidRPr="00F153F6">
        <w:rPr>
          <w:rFonts w:ascii="Times New Roman" w:hAnsi="Times New Roman" w:cs="Times New Roman"/>
          <w:sz w:val="24"/>
          <w:szCs w:val="24"/>
        </w:rPr>
        <w:t>s</w:t>
      </w:r>
      <w:r w:rsidRPr="00F153F6">
        <w:rPr>
          <w:rFonts w:ascii="Times New Roman" w:hAnsi="Times New Roman" w:cs="Times New Roman"/>
          <w:sz w:val="24"/>
          <w:szCs w:val="24"/>
        </w:rPr>
        <w:t xml:space="preserve"> actors to learn more about the context of their collaborators, their work, their life, and their potential contributions to the project. This then facilitates the development of how to cultivate relationships with each other during these activities. As one interviewee notes:</w:t>
      </w:r>
    </w:p>
    <w:p w14:paraId="32A701DF" w14:textId="7289B4CC" w:rsidR="0015201A" w:rsidRPr="00F153F6" w:rsidRDefault="0015201A" w:rsidP="007148BA">
      <w:pPr>
        <w:spacing w:line="360" w:lineRule="auto"/>
        <w:ind w:left="360"/>
        <w:jc w:val="both"/>
        <w:rPr>
          <w:rFonts w:ascii="Times New Roman" w:hAnsi="Times New Roman" w:cs="Times New Roman"/>
          <w:i/>
          <w:iCs/>
          <w:sz w:val="24"/>
          <w:szCs w:val="24"/>
        </w:rPr>
      </w:pPr>
      <w:r w:rsidRPr="00F153F6">
        <w:rPr>
          <w:rFonts w:ascii="Times New Roman" w:hAnsi="Times New Roman" w:cs="Times New Roman"/>
          <w:i/>
          <w:iCs/>
          <w:sz w:val="24"/>
          <w:szCs w:val="24"/>
        </w:rPr>
        <w:lastRenderedPageBreak/>
        <w:t>“</w:t>
      </w:r>
      <w:bookmarkStart w:id="543" w:name="OLE_LINK730"/>
      <w:bookmarkStart w:id="544" w:name="OLE_LINK731"/>
      <w:r w:rsidRPr="00F153F6">
        <w:rPr>
          <w:rFonts w:ascii="Times New Roman" w:hAnsi="Times New Roman" w:cs="Times New Roman"/>
          <w:i/>
          <w:iCs/>
          <w:sz w:val="24"/>
          <w:szCs w:val="24"/>
        </w:rPr>
        <w:t xml:space="preserve">We embed ourselves very much into the particular context… we entered into the context, spoke to the municipalities and the artists and so on. And </w:t>
      </w:r>
      <w:r w:rsidR="00D710C2" w:rsidRPr="00F153F6">
        <w:rPr>
          <w:rFonts w:ascii="Times New Roman" w:hAnsi="Times New Roman" w:cs="Times New Roman"/>
          <w:i/>
          <w:iCs/>
          <w:sz w:val="24"/>
          <w:szCs w:val="24"/>
        </w:rPr>
        <w:t>that’s</w:t>
      </w:r>
      <w:r w:rsidRPr="00F153F6">
        <w:rPr>
          <w:rFonts w:ascii="Times New Roman" w:hAnsi="Times New Roman" w:cs="Times New Roman"/>
          <w:i/>
          <w:iCs/>
          <w:sz w:val="24"/>
          <w:szCs w:val="24"/>
        </w:rPr>
        <w:t xml:space="preserve"> how we get to know them. And we do a lot of pre study to be able to get their involvement not based on just looking from desktop </w:t>
      </w:r>
      <w:r w:rsidR="00D710C2" w:rsidRPr="00F153F6">
        <w:rPr>
          <w:rFonts w:ascii="Times New Roman" w:hAnsi="Times New Roman" w:cs="Times New Roman"/>
          <w:i/>
          <w:iCs/>
          <w:sz w:val="24"/>
          <w:szCs w:val="24"/>
        </w:rPr>
        <w:t>research but</w:t>
      </w:r>
      <w:r w:rsidRPr="00F153F6">
        <w:rPr>
          <w:rFonts w:ascii="Times New Roman" w:hAnsi="Times New Roman" w:cs="Times New Roman"/>
          <w:i/>
          <w:iCs/>
          <w:sz w:val="24"/>
          <w:szCs w:val="24"/>
        </w:rPr>
        <w:t xml:space="preserve"> based on actual stories and experiences. And the podcast was actually a tool to get to know this context and the artist and so on. </w:t>
      </w:r>
      <w:r w:rsidR="00D710C2" w:rsidRPr="00F153F6">
        <w:rPr>
          <w:rFonts w:ascii="Times New Roman" w:hAnsi="Times New Roman" w:cs="Times New Roman"/>
          <w:i/>
          <w:iCs/>
          <w:sz w:val="24"/>
          <w:szCs w:val="24"/>
        </w:rPr>
        <w:t>Of course,</w:t>
      </w:r>
      <w:r w:rsidRPr="00F153F6">
        <w:rPr>
          <w:rFonts w:ascii="Times New Roman" w:hAnsi="Times New Roman" w:cs="Times New Roman"/>
          <w:i/>
          <w:iCs/>
          <w:sz w:val="24"/>
          <w:szCs w:val="24"/>
        </w:rPr>
        <w:t xml:space="preserve"> I work for a lot of years already in Belgium. And </w:t>
      </w:r>
      <w:r w:rsidR="00D710C2" w:rsidRPr="00F153F6">
        <w:rPr>
          <w:rFonts w:ascii="Times New Roman" w:hAnsi="Times New Roman" w:cs="Times New Roman"/>
          <w:i/>
          <w:iCs/>
          <w:sz w:val="24"/>
          <w:szCs w:val="24"/>
        </w:rPr>
        <w:t>so,</w:t>
      </w:r>
      <w:r w:rsidRPr="00F153F6">
        <w:rPr>
          <w:rFonts w:ascii="Times New Roman" w:hAnsi="Times New Roman" w:cs="Times New Roman"/>
          <w:i/>
          <w:iCs/>
          <w:sz w:val="24"/>
          <w:szCs w:val="24"/>
        </w:rPr>
        <w:t xml:space="preserve"> I know a lot of artists, personally. But early in every project, you need to embed yourself very much by understanding their perspectives. That is very important </w:t>
      </w:r>
      <w:r w:rsidR="00D710C2" w:rsidRPr="00F153F6">
        <w:rPr>
          <w:rFonts w:ascii="Times New Roman" w:hAnsi="Times New Roman" w:cs="Times New Roman"/>
          <w:i/>
          <w:iCs/>
          <w:sz w:val="24"/>
          <w:szCs w:val="24"/>
        </w:rPr>
        <w:t>aspect</w:t>
      </w:r>
      <w:r w:rsidRPr="00F153F6">
        <w:rPr>
          <w:rFonts w:ascii="Times New Roman" w:hAnsi="Times New Roman" w:cs="Times New Roman"/>
          <w:i/>
          <w:iCs/>
          <w:sz w:val="24"/>
          <w:szCs w:val="24"/>
        </w:rPr>
        <w:t xml:space="preserve">. And we bring the story about this perspective via different tools. </w:t>
      </w:r>
      <w:r w:rsidR="00D710C2" w:rsidRPr="00F153F6">
        <w:rPr>
          <w:rFonts w:ascii="Times New Roman" w:hAnsi="Times New Roman" w:cs="Times New Roman"/>
          <w:i/>
          <w:iCs/>
          <w:sz w:val="24"/>
          <w:szCs w:val="24"/>
        </w:rPr>
        <w:t>So,</w:t>
      </w:r>
      <w:r w:rsidRPr="00F153F6">
        <w:rPr>
          <w:rFonts w:ascii="Times New Roman" w:hAnsi="Times New Roman" w:cs="Times New Roman"/>
          <w:i/>
          <w:iCs/>
          <w:sz w:val="24"/>
          <w:szCs w:val="24"/>
        </w:rPr>
        <w:t xml:space="preserve"> in this case, they are the podcast, but also added with the posters such as pictures and stories</w:t>
      </w:r>
      <w:bookmarkEnd w:id="543"/>
      <w:bookmarkEnd w:id="544"/>
      <w:r w:rsidRPr="00F153F6">
        <w:rPr>
          <w:rFonts w:ascii="Times New Roman" w:hAnsi="Times New Roman" w:cs="Times New Roman"/>
          <w:i/>
          <w:iCs/>
          <w:sz w:val="24"/>
          <w:szCs w:val="24"/>
        </w:rPr>
        <w:t>.” (Project B2, Participant 1, Para. 60)</w:t>
      </w:r>
    </w:p>
    <w:p w14:paraId="4BFF8D3F" w14:textId="79503AD3"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As collaboration moves to the middle stage of the project, there will be some collaboration tasks that will have been completed, which can facilitate the cultivation of deeper collaborative relationships between actors. As the example described, stakeholders in project B2 have done many pre-studies to learn about their participants and involve them in the project. Actors’ previous experience can facilitate this involvement process, for example in the above quotation stakeholders may already know some suitable participants involved in their previous project experiences from their own organisation in Belgium. This shows that actors’ experience from intra-organisational contexts can facilitate inter-organisational collaboration.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 also facilitate such involvement since they allow people to familiarise with the context of their collaborators. For example, actors can use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such as podcasts and posters to learn about their collaborators’ real life experience when they try to network. Due to the nature of Living Lab project, such involvement focuses more on the consideration of the characteristics of real-life settings such as collaborators’ actual situations and perspectives in their daily life. This means that these collaborators’ intra-organisational and environmental contexts are deeply investigated as they are inter-connected into inter-organisational collaboration, which facilitate actors to recurrently accomplish inter-connecting knowledgeability facilitated by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w:t>
      </w:r>
    </w:p>
    <w:p w14:paraId="25DA7D6F" w14:textId="77777777" w:rsidR="0015201A" w:rsidRPr="00F153F6" w:rsidRDefault="0015201A" w:rsidP="004424B4">
      <w:pPr>
        <w:spacing w:line="360" w:lineRule="auto"/>
        <w:jc w:val="both"/>
        <w:rPr>
          <w:rFonts w:ascii="Times New Roman" w:hAnsi="Times New Roman" w:cs="Times New Roman"/>
          <w:sz w:val="24"/>
          <w:szCs w:val="24"/>
        </w:rPr>
      </w:pPr>
    </w:p>
    <w:p w14:paraId="4A0AD31B" w14:textId="02E1B93D"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b/>
          <w:bCs/>
          <w:sz w:val="24"/>
          <w:szCs w:val="24"/>
        </w:rPr>
        <w:t>Cultivating Partnership</w:t>
      </w:r>
    </w:p>
    <w:p w14:paraId="7F9ECD32" w14:textId="5B198E22"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Actors establish initial contacts to build up and cultivate initial relationship such as project partnerships by cultivating activities such as approaching new partners. Actors in the Living Lab project at the middle stage seems to require continued reaching out to new partners to get them into the partnership, which may be due to the nature of the Living lab project that requires </w:t>
      </w:r>
      <w:r w:rsidRPr="00F153F6">
        <w:rPr>
          <w:rFonts w:ascii="Times New Roman" w:hAnsi="Times New Roman" w:cs="Times New Roman"/>
          <w:sz w:val="24"/>
          <w:szCs w:val="24"/>
        </w:rPr>
        <w:lastRenderedPageBreak/>
        <w:t xml:space="preserve">wider perspectives for co-creation. In doing so, actors may need to manifest themselves in an attractive way to facilitate the involvement and inter-connection, while the use of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here may inhibit such an accomplishment by constraining actors to make their works appealing to new participants. As one interviewee notes:</w:t>
      </w:r>
    </w:p>
    <w:p w14:paraId="62428C22" w14:textId="17EB056A"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“What the main thing we noticed is that most of the time we use LinkedIn, ’it’s the main way that works the best. But our reach is in a very small way. And you see that the problem is to get contact with a lot of attention from a lot of people, </w:t>
      </w:r>
      <w:r w:rsidR="00D710C2" w:rsidRPr="00F153F6">
        <w:rPr>
          <w:rFonts w:ascii="Times New Roman" w:hAnsi="Times New Roman" w:cs="Times New Roman"/>
          <w:i/>
          <w:iCs/>
          <w:sz w:val="24"/>
          <w:szCs w:val="24"/>
        </w:rPr>
        <w:t>that’s</w:t>
      </w:r>
      <w:r w:rsidRPr="00F153F6">
        <w:rPr>
          <w:rFonts w:ascii="Times New Roman" w:hAnsi="Times New Roman" w:cs="Times New Roman"/>
          <w:i/>
          <w:iCs/>
          <w:sz w:val="24"/>
          <w:szCs w:val="24"/>
        </w:rPr>
        <w:t xml:space="preserve"> the difficulty we are facing. </w:t>
      </w:r>
      <w:r w:rsidR="00D710C2" w:rsidRPr="00F153F6">
        <w:rPr>
          <w:rFonts w:ascii="Times New Roman" w:hAnsi="Times New Roman" w:cs="Times New Roman"/>
          <w:i/>
          <w:iCs/>
          <w:sz w:val="24"/>
          <w:szCs w:val="24"/>
        </w:rPr>
        <w:t>Because</w:t>
      </w:r>
      <w:r w:rsidRPr="00F153F6">
        <w:rPr>
          <w:rFonts w:ascii="Times New Roman" w:hAnsi="Times New Roman" w:cs="Times New Roman"/>
          <w:i/>
          <w:iCs/>
          <w:sz w:val="24"/>
          <w:szCs w:val="24"/>
        </w:rPr>
        <w:t xml:space="preserve">’ it’s not interesting enough I think for people to get to read it or to get in contact with us.” </w:t>
      </w:r>
      <w:bookmarkStart w:id="545" w:name="OLE_LINK93"/>
      <w:bookmarkStart w:id="546" w:name="OLE_LINK94"/>
      <w:r w:rsidRPr="00F153F6">
        <w:rPr>
          <w:rFonts w:ascii="Times New Roman" w:hAnsi="Times New Roman" w:cs="Times New Roman"/>
          <w:i/>
          <w:iCs/>
          <w:sz w:val="24"/>
          <w:szCs w:val="24"/>
        </w:rPr>
        <w:t>(Project B1, Participant 1, Para. 64)</w:t>
      </w:r>
      <w:bookmarkEnd w:id="545"/>
      <w:bookmarkEnd w:id="546"/>
    </w:p>
    <w:p w14:paraId="2E06D84F" w14:textId="70B0B9E0"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Actors from project B1 are trying to use LinkedIn to inter-connect with new collaborators. However, the use of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does not allow actors to display their works in an attractive way or be seen by a large number of people, which results in a failure to cultivate new partnerships to accomplish inter-connecting actor knowledgeability.</w:t>
      </w:r>
    </w:p>
    <w:p w14:paraId="57A50E03" w14:textId="77777777" w:rsidR="0015201A" w:rsidRPr="00F153F6" w:rsidRDefault="0015201A" w:rsidP="004424B4">
      <w:pPr>
        <w:spacing w:line="360" w:lineRule="auto"/>
        <w:jc w:val="both"/>
        <w:rPr>
          <w:rFonts w:ascii="Times New Roman" w:hAnsi="Times New Roman" w:cs="Times New Roman"/>
          <w:sz w:val="24"/>
          <w:szCs w:val="24"/>
        </w:rPr>
      </w:pPr>
    </w:p>
    <w:p w14:paraId="72177595" w14:textId="288C1973" w:rsidR="0015201A" w:rsidRPr="00F153F6" w:rsidRDefault="0015201A" w:rsidP="004424B4">
      <w:pPr>
        <w:spacing w:line="360" w:lineRule="auto"/>
        <w:jc w:val="both"/>
        <w:rPr>
          <w:rFonts w:ascii="Times New Roman" w:hAnsi="Times New Roman" w:cs="Times New Roman"/>
          <w:b/>
          <w:bCs/>
          <w:sz w:val="24"/>
          <w:szCs w:val="24"/>
        </w:rPr>
      </w:pPr>
      <w:bookmarkStart w:id="547" w:name="OLE_LINK970"/>
      <w:bookmarkStart w:id="548" w:name="OLE_LINK971"/>
      <w:r w:rsidRPr="00F153F6">
        <w:rPr>
          <w:rFonts w:ascii="Times New Roman" w:hAnsi="Times New Roman" w:cs="Times New Roman"/>
          <w:b/>
          <w:bCs/>
          <w:sz w:val="24"/>
          <w:szCs w:val="24"/>
        </w:rPr>
        <w:t>Connecting</w:t>
      </w:r>
    </w:p>
    <w:p w14:paraId="6649EE97" w14:textId="279DC38B"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Connecting refers to the activities through which actors become assembled together to establish workplace goal-oriented relationship with each other. For example, actors in a project usually need to meet up with each other to discuss project activities. In connecting activities, actors use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to contact each other for some specific work-related purposes, which allows them to understand how to establish their workplace relationships. ICT facilitate</w:t>
      </w:r>
      <w:r w:rsidR="00FA6038" w:rsidRPr="00F153F6">
        <w:rPr>
          <w:rFonts w:ascii="Times New Roman" w:hAnsi="Times New Roman" w:cs="Times New Roman"/>
          <w:sz w:val="24"/>
          <w:szCs w:val="24"/>
        </w:rPr>
        <w:t>s</w:t>
      </w:r>
      <w:r w:rsidRPr="00F153F6">
        <w:rPr>
          <w:rFonts w:ascii="Times New Roman" w:hAnsi="Times New Roman" w:cs="Times New Roman"/>
          <w:sz w:val="24"/>
          <w:szCs w:val="24"/>
        </w:rPr>
        <w:t xml:space="preserve"> actors notifying abilities that allow them to inter-connect with each other in the workplace and develop such understanding in practice. As one interviewee notes:</w:t>
      </w:r>
    </w:p>
    <w:p w14:paraId="33B1B9C6" w14:textId="11D0F79B"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“Communication is important all the time. </w:t>
      </w:r>
      <w:r w:rsidR="00D710C2" w:rsidRPr="00F153F6">
        <w:rPr>
          <w:rFonts w:ascii="Times New Roman" w:hAnsi="Times New Roman" w:cs="Times New Roman"/>
          <w:i/>
          <w:iCs/>
          <w:sz w:val="24"/>
          <w:szCs w:val="24"/>
        </w:rPr>
        <w:t>So,</w:t>
      </w:r>
      <w:r w:rsidRPr="00F153F6">
        <w:rPr>
          <w:rFonts w:ascii="Times New Roman" w:hAnsi="Times New Roman" w:cs="Times New Roman"/>
          <w:i/>
          <w:iCs/>
          <w:sz w:val="24"/>
          <w:szCs w:val="24"/>
        </w:rPr>
        <w:t xml:space="preserve"> within our group, we had many communications through email and also Microsoft team meetings with our colleagues to discuss our some project activities. Once we receive these meeting invitations, we know what we are going to talk about. For example, what do we do with the themes in our next workshops? What cases do we take? Which are the three cases </w:t>
      </w:r>
      <w:r w:rsidR="00D710C2" w:rsidRPr="00F153F6">
        <w:rPr>
          <w:rFonts w:ascii="Times New Roman" w:hAnsi="Times New Roman" w:cs="Times New Roman"/>
          <w:i/>
          <w:iCs/>
          <w:sz w:val="24"/>
          <w:szCs w:val="24"/>
        </w:rPr>
        <w:t xml:space="preserve">that </w:t>
      </w:r>
      <w:r w:rsidRPr="00F153F6">
        <w:rPr>
          <w:rFonts w:ascii="Times New Roman" w:hAnsi="Times New Roman" w:cs="Times New Roman"/>
          <w:i/>
          <w:iCs/>
          <w:sz w:val="24"/>
          <w:szCs w:val="24"/>
        </w:rPr>
        <w:t xml:space="preserve"> we’re going to use</w:t>
      </w:r>
      <w:r w:rsidR="00D710C2" w:rsidRPr="00F153F6">
        <w:rPr>
          <w:rFonts w:ascii="Times New Roman" w:hAnsi="Times New Roman" w:cs="Times New Roman"/>
          <w:i/>
          <w:iCs/>
          <w:sz w:val="24"/>
          <w:szCs w:val="24"/>
        </w:rPr>
        <w:t>, e</w:t>
      </w:r>
      <w:r w:rsidRPr="00F153F6">
        <w:rPr>
          <w:rFonts w:ascii="Times New Roman" w:hAnsi="Times New Roman" w:cs="Times New Roman"/>
          <w:i/>
          <w:iCs/>
          <w:sz w:val="24"/>
          <w:szCs w:val="24"/>
        </w:rPr>
        <w:t>tc.” (Project B2, Participant 3, Para. 60)</w:t>
      </w:r>
    </w:p>
    <w:p w14:paraId="1BF2CF52" w14:textId="2149E31D"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Actors ma</w:t>
      </w:r>
      <w:bookmarkEnd w:id="547"/>
      <w:bookmarkEnd w:id="548"/>
      <w:r w:rsidRPr="00F153F6">
        <w:rPr>
          <w:rFonts w:ascii="Times New Roman" w:hAnsi="Times New Roman" w:cs="Times New Roman"/>
          <w:sz w:val="24"/>
          <w:szCs w:val="24"/>
        </w:rPr>
        <w:t>y need to meet up with their collaborators to discuss diverse workplace goal-oriented topics</w:t>
      </w:r>
      <w:r w:rsidR="0068434D" w:rsidRPr="00F153F6">
        <w:rPr>
          <w:rFonts w:ascii="Times New Roman" w:hAnsi="Times New Roman" w:cs="Times New Roman"/>
          <w:sz w:val="24"/>
          <w:szCs w:val="24"/>
        </w:rPr>
        <w:t>, such as the themes for workshops and cases to be discussed</w:t>
      </w:r>
      <w:r w:rsidRPr="00F153F6">
        <w:rPr>
          <w:rFonts w:ascii="Times New Roman" w:hAnsi="Times New Roman" w:cs="Times New Roman"/>
          <w:sz w:val="24"/>
          <w:szCs w:val="24"/>
        </w:rPr>
        <w:t xml:space="preserve">. These communications can </w:t>
      </w:r>
      <w:r w:rsidRPr="00F153F6">
        <w:rPr>
          <w:rFonts w:ascii="Times New Roman" w:hAnsi="Times New Roman" w:cs="Times New Roman"/>
          <w:sz w:val="24"/>
          <w:szCs w:val="24"/>
        </w:rPr>
        <w:lastRenderedPageBreak/>
        <w:t xml:space="preserve">only take place when they know how to become inter-connected.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such as email and Microsoft teams with invitation notifications, are frequently used to provide</w:t>
      </w:r>
      <w:r w:rsidR="00CE44B8" w:rsidRPr="00F153F6">
        <w:rPr>
          <w:rFonts w:ascii="Times New Roman" w:hAnsi="Times New Roman" w:cs="Times New Roman"/>
          <w:sz w:val="24"/>
          <w:szCs w:val="24"/>
        </w:rPr>
        <w:t>/afford</w:t>
      </w:r>
      <w:r w:rsidRPr="00F153F6">
        <w:rPr>
          <w:rFonts w:ascii="Times New Roman" w:hAnsi="Times New Roman" w:cs="Times New Roman"/>
          <w:sz w:val="24"/>
          <w:szCs w:val="24"/>
        </w:rPr>
        <w:t xml:space="preserve"> actors with notifying capabilities so that they can be informed about meeting topics as they develop interconnecting knowledgeability before they start communicating in a meeting. </w:t>
      </w:r>
    </w:p>
    <w:p w14:paraId="4E670FEB" w14:textId="7115E215"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addition, the use of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also promote actors networking ability, because sometimes actors may become connected from geographically distributed locations whereby the use of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allows actors cross-distance networking ability. As one interviewee note:</w:t>
      </w:r>
    </w:p>
    <w:p w14:paraId="73C140C7" w14:textId="6EBB67DE"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“As you see in the project, the farthest distance is almost 100 kilometres. </w:t>
      </w:r>
      <w:r w:rsidR="00D710C2" w:rsidRPr="00F153F6">
        <w:rPr>
          <w:rFonts w:ascii="Times New Roman" w:hAnsi="Times New Roman" w:cs="Times New Roman"/>
          <w:i/>
          <w:iCs/>
          <w:sz w:val="24"/>
          <w:szCs w:val="24"/>
        </w:rPr>
        <w:t>So,</w:t>
      </w:r>
      <w:r w:rsidRPr="00F153F6">
        <w:rPr>
          <w:rFonts w:ascii="Times New Roman" w:hAnsi="Times New Roman" w:cs="Times New Roman"/>
          <w:i/>
          <w:iCs/>
          <w:sz w:val="24"/>
          <w:szCs w:val="24"/>
        </w:rPr>
        <w:t xml:space="preserve"> in this project, I think distance is not the biggest issue. I noticed that in other European projects, when you have a partner in the south of England, then the distance is an obstacle, of course. Then when you have to meet each other, that will take you two days or 1 day to go to there, and the other day to get back. So that are the biggest problems, I think, within the European project. But in this project, that was not a big problem’ It’s more flexible in choosing digital or physical cooperations in this project. And now you see in this time of Covid-19’ it’s easier to meet each other on a digital platform and we do that. So ’hat’s advantage when you compare it to a </w:t>
      </w:r>
      <w:r w:rsidR="00D710C2" w:rsidRPr="00F153F6">
        <w:rPr>
          <w:rFonts w:ascii="Times New Roman" w:hAnsi="Times New Roman" w:cs="Times New Roman"/>
          <w:i/>
          <w:iCs/>
          <w:sz w:val="24"/>
          <w:szCs w:val="24"/>
        </w:rPr>
        <w:t>physical meeting</w:t>
      </w:r>
      <w:r w:rsidRPr="00F153F6">
        <w:rPr>
          <w:rFonts w:ascii="Times New Roman" w:hAnsi="Times New Roman" w:cs="Times New Roman"/>
          <w:i/>
          <w:iCs/>
          <w:sz w:val="24"/>
          <w:szCs w:val="24"/>
        </w:rPr>
        <w:t>” (</w:t>
      </w:r>
      <w:bookmarkStart w:id="549" w:name="OLE_LINK860"/>
      <w:bookmarkStart w:id="550" w:name="OLE_LINK861"/>
      <w:r w:rsidRPr="00F153F6">
        <w:rPr>
          <w:rFonts w:ascii="Times New Roman" w:hAnsi="Times New Roman" w:cs="Times New Roman"/>
          <w:i/>
          <w:iCs/>
          <w:sz w:val="24"/>
          <w:szCs w:val="24"/>
        </w:rPr>
        <w:t>Project B1, Participant 1, Para. 90</w:t>
      </w:r>
      <w:bookmarkEnd w:id="549"/>
      <w:bookmarkEnd w:id="550"/>
      <w:r w:rsidRPr="00F153F6">
        <w:rPr>
          <w:rFonts w:ascii="Times New Roman" w:hAnsi="Times New Roman" w:cs="Times New Roman"/>
          <w:i/>
          <w:iCs/>
          <w:sz w:val="24"/>
          <w:szCs w:val="24"/>
        </w:rPr>
        <w:t>)</w:t>
      </w:r>
    </w:p>
    <w:p w14:paraId="23318B55" w14:textId="7F83E6E3"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Actors in the middle stage of a Living Lab project can continue their work either remotely or face-to-face working. This depends on the distance among project stakeholders. In project B1, the distance among stakeholders is not that great, which allows actors to flexibly choose their way to get connected. Due to environmental </w:t>
      </w:r>
      <w:r w:rsidR="00D710C2" w:rsidRPr="00F153F6">
        <w:rPr>
          <w:rFonts w:ascii="Times New Roman" w:hAnsi="Times New Roman" w:cs="Times New Roman"/>
          <w:sz w:val="24"/>
          <w:szCs w:val="24"/>
        </w:rPr>
        <w:t>crisis, i.e.,</w:t>
      </w:r>
      <w:r w:rsidRPr="00F153F6">
        <w:rPr>
          <w:rFonts w:ascii="Times New Roman" w:hAnsi="Times New Roman" w:cs="Times New Roman"/>
          <w:sz w:val="24"/>
          <w:szCs w:val="24"/>
        </w:rPr>
        <w:t xml:space="preserve"> Covid-19 pandemic, actors may not be able to conduct face-to-face connection, so the use of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with digital meeting platforms allows them to continue getting together regardless of constraints caused by distance and so provide actors with cross-distance networking capabilities.</w:t>
      </w:r>
    </w:p>
    <w:p w14:paraId="2737C84E" w14:textId="42E55A65"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However, remote working with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not always be successful since actors may not always have access to a stable connection as they use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Due to unstable wi-fi or internet connections,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constrain stable communication between actors, which may inhibit actors enact inter-connecting knowledgeability during the project’s middle stage. As one interviewee notes:</w:t>
      </w:r>
    </w:p>
    <w:p w14:paraId="220C2DC2" w14:textId="46AD9D5C" w:rsidR="0015201A" w:rsidRPr="00F153F6" w:rsidRDefault="0015201A" w:rsidP="004424B4">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“The challenge with technologies is usually getting everyone to connect smoothly. Yeah, so due to the danger of technical problems, such as unstable digital connections, </w:t>
      </w:r>
      <w:r w:rsidRPr="00F153F6">
        <w:rPr>
          <w:rFonts w:ascii="Times New Roman" w:hAnsi="Times New Roman" w:cs="Times New Roman"/>
          <w:i/>
          <w:iCs/>
          <w:sz w:val="24"/>
          <w:szCs w:val="24"/>
        </w:rPr>
        <w:lastRenderedPageBreak/>
        <w:t>Wi-Fi connections, sometimes during our meeting, suddenly someone drops out, and our connection is interrupted.” (Project B2, Participant 2, Para. 78)</w:t>
      </w:r>
    </w:p>
    <w:p w14:paraId="484421A6" w14:textId="77777777" w:rsidR="0015201A" w:rsidRPr="00F153F6" w:rsidRDefault="0015201A" w:rsidP="004424B4">
      <w:pPr>
        <w:spacing w:line="360" w:lineRule="auto"/>
        <w:ind w:left="720"/>
        <w:jc w:val="both"/>
        <w:rPr>
          <w:rFonts w:ascii="Times New Roman" w:hAnsi="Times New Roman" w:cs="Times New Roman"/>
          <w:i/>
          <w:iCs/>
          <w:sz w:val="24"/>
          <w:szCs w:val="24"/>
        </w:rPr>
      </w:pPr>
    </w:p>
    <w:p w14:paraId="78CBC3A7" w14:textId="21B924C7"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b/>
          <w:bCs/>
          <w:sz w:val="24"/>
          <w:szCs w:val="24"/>
        </w:rPr>
        <w:t>Socialising</w:t>
      </w:r>
    </w:p>
    <w:p w14:paraId="6187BDBD" w14:textId="255BEBCB"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Socialising refers to activities in which actors communicate informally for social purposes. As the project moves to the middle stage, actors may become more familiar with each other, so more informal communication is expected to take place among them, further developing their informal relationships. However, remote working with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constrain on actors’ informal interaction. As one interviewee notes:</w:t>
      </w:r>
    </w:p>
    <w:p w14:paraId="65A79F6A" w14:textId="49AC9B45" w:rsidR="0015201A" w:rsidRPr="00F153F6" w:rsidRDefault="0015201A" w:rsidP="007148BA">
      <w:pPr>
        <w:spacing w:line="360" w:lineRule="auto"/>
        <w:ind w:left="720"/>
        <w:jc w:val="both"/>
        <w:rPr>
          <w:rFonts w:ascii="Times New Roman" w:hAnsi="Times New Roman" w:cs="Times New Roman"/>
          <w:sz w:val="24"/>
          <w:szCs w:val="24"/>
        </w:rPr>
      </w:pPr>
      <w:r w:rsidRPr="00F153F6">
        <w:rPr>
          <w:rFonts w:ascii="Times New Roman" w:hAnsi="Times New Roman" w:cs="Times New Roman"/>
          <w:i/>
          <w:iCs/>
          <w:sz w:val="24"/>
          <w:szCs w:val="24"/>
        </w:rPr>
        <w:t>“I think that face-to-face meetings</w:t>
      </w:r>
      <w:r w:rsidR="00D710C2" w:rsidRPr="00F153F6">
        <w:rPr>
          <w:rFonts w:ascii="Times New Roman" w:hAnsi="Times New Roman" w:cs="Times New Roman"/>
          <w:i/>
          <w:iCs/>
          <w:sz w:val="24"/>
          <w:szCs w:val="24"/>
        </w:rPr>
        <w:t xml:space="preserve"> we have experienced</w:t>
      </w:r>
      <w:r w:rsidRPr="00F153F6">
        <w:rPr>
          <w:rFonts w:ascii="Times New Roman" w:hAnsi="Times New Roman" w:cs="Times New Roman"/>
          <w:i/>
          <w:iCs/>
          <w:sz w:val="24"/>
          <w:szCs w:val="24"/>
        </w:rPr>
        <w:t xml:space="preserve"> have the advantage that </w:t>
      </w:r>
      <w:r w:rsidR="00D710C2" w:rsidRPr="00F153F6">
        <w:rPr>
          <w:rFonts w:ascii="Times New Roman" w:hAnsi="Times New Roman" w:cs="Times New Roman"/>
          <w:i/>
          <w:iCs/>
          <w:sz w:val="24"/>
          <w:szCs w:val="24"/>
        </w:rPr>
        <w:t>we</w:t>
      </w:r>
      <w:r w:rsidRPr="00F153F6">
        <w:rPr>
          <w:rFonts w:ascii="Times New Roman" w:hAnsi="Times New Roman" w:cs="Times New Roman"/>
          <w:i/>
          <w:iCs/>
          <w:sz w:val="24"/>
          <w:szCs w:val="24"/>
        </w:rPr>
        <w:t xml:space="preserve"> are talking to each other between the meeting break and </w:t>
      </w:r>
      <w:r w:rsidR="00D710C2" w:rsidRPr="00F153F6">
        <w:rPr>
          <w:rFonts w:ascii="Times New Roman" w:hAnsi="Times New Roman" w:cs="Times New Roman"/>
          <w:i/>
          <w:iCs/>
          <w:sz w:val="24"/>
          <w:szCs w:val="24"/>
        </w:rPr>
        <w:t>we</w:t>
      </w:r>
      <w:r w:rsidRPr="00F153F6">
        <w:rPr>
          <w:rFonts w:ascii="Times New Roman" w:hAnsi="Times New Roman" w:cs="Times New Roman"/>
          <w:i/>
          <w:iCs/>
          <w:sz w:val="24"/>
          <w:szCs w:val="24"/>
        </w:rPr>
        <w:t xml:space="preserve"> have lunch together and </w:t>
      </w:r>
      <w:r w:rsidR="00D710C2" w:rsidRPr="00F153F6">
        <w:rPr>
          <w:rFonts w:ascii="Times New Roman" w:hAnsi="Times New Roman" w:cs="Times New Roman"/>
          <w:i/>
          <w:iCs/>
          <w:sz w:val="24"/>
          <w:szCs w:val="24"/>
        </w:rPr>
        <w:t>we</w:t>
      </w:r>
      <w:r w:rsidRPr="00F153F6">
        <w:rPr>
          <w:rFonts w:ascii="Times New Roman" w:hAnsi="Times New Roman" w:cs="Times New Roman"/>
          <w:i/>
          <w:iCs/>
          <w:sz w:val="24"/>
          <w:szCs w:val="24"/>
        </w:rPr>
        <w:t xml:space="preserve"> meet each other, </w:t>
      </w:r>
      <w:r w:rsidR="00D710C2" w:rsidRPr="00F153F6">
        <w:rPr>
          <w:rFonts w:ascii="Times New Roman" w:hAnsi="Times New Roman" w:cs="Times New Roman"/>
          <w:i/>
          <w:iCs/>
          <w:sz w:val="24"/>
          <w:szCs w:val="24"/>
        </w:rPr>
        <w:t>we</w:t>
      </w:r>
      <w:r w:rsidRPr="00F153F6">
        <w:rPr>
          <w:rFonts w:ascii="Times New Roman" w:hAnsi="Times New Roman" w:cs="Times New Roman"/>
          <w:i/>
          <w:iCs/>
          <w:sz w:val="24"/>
          <w:szCs w:val="24"/>
        </w:rPr>
        <w:t xml:space="preserve"> chat to each other</w:t>
      </w:r>
      <w:r w:rsidR="00D710C2" w:rsidRPr="00F153F6">
        <w:rPr>
          <w:rFonts w:ascii="Times New Roman" w:hAnsi="Times New Roman" w:cs="Times New Roman"/>
          <w:i/>
          <w:iCs/>
          <w:sz w:val="24"/>
          <w:szCs w:val="24"/>
        </w:rPr>
        <w:t xml:space="preserve"> to familiar with each other in an informal way</w:t>
      </w:r>
      <w:r w:rsidRPr="00F153F6">
        <w:rPr>
          <w:rFonts w:ascii="Times New Roman" w:hAnsi="Times New Roman" w:cs="Times New Roman"/>
          <w:i/>
          <w:iCs/>
          <w:sz w:val="24"/>
          <w:szCs w:val="24"/>
        </w:rPr>
        <w:t xml:space="preserve">. And on a digital platform, you miss that kind of informal contacts, which I think is the main problem when </w:t>
      </w:r>
      <w:r w:rsidR="00D710C2" w:rsidRPr="00F153F6">
        <w:rPr>
          <w:rFonts w:ascii="Times New Roman" w:hAnsi="Times New Roman" w:cs="Times New Roman"/>
          <w:i/>
          <w:iCs/>
          <w:sz w:val="24"/>
          <w:szCs w:val="24"/>
        </w:rPr>
        <w:t>we</w:t>
      </w:r>
      <w:r w:rsidRPr="00F153F6">
        <w:rPr>
          <w:rFonts w:ascii="Times New Roman" w:hAnsi="Times New Roman" w:cs="Times New Roman"/>
          <w:i/>
          <w:iCs/>
          <w:sz w:val="24"/>
          <w:szCs w:val="24"/>
        </w:rPr>
        <w:t xml:space="preserve"> only have digital meetings.” (Project B1, Participant 1, Para. 86)</w:t>
      </w:r>
    </w:p>
    <w:p w14:paraId="6A9BA3D6" w14:textId="4141EE61"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In face-to-face meetings, there seems to be breaks during which actors can develop informal relationships.</w:t>
      </w:r>
      <w:r w:rsidR="00D710C2" w:rsidRPr="00F153F6">
        <w:rPr>
          <w:rFonts w:ascii="Times New Roman" w:hAnsi="Times New Roman" w:cs="Times New Roman"/>
          <w:sz w:val="24"/>
          <w:szCs w:val="24"/>
        </w:rPr>
        <w:t xml:space="preserve"> These breaks give actors space to network with each other usually in an informal way, such as having lunch together, which allow actors to cultivate an informal relationship.</w:t>
      </w:r>
      <w:r w:rsidRPr="00F153F6">
        <w:rPr>
          <w:rFonts w:ascii="Times New Roman" w:hAnsi="Times New Roman" w:cs="Times New Roman"/>
          <w:sz w:val="24"/>
          <w:szCs w:val="24"/>
        </w:rPr>
        <w:t xml:space="preserve"> However, these types of relationships </w:t>
      </w:r>
      <w:r w:rsidR="00D710C2" w:rsidRPr="00F153F6">
        <w:rPr>
          <w:rFonts w:ascii="Times New Roman" w:hAnsi="Times New Roman" w:cs="Times New Roman"/>
          <w:sz w:val="24"/>
          <w:szCs w:val="24"/>
        </w:rPr>
        <w:t>seem to be</w:t>
      </w:r>
      <w:r w:rsidRPr="00F153F6">
        <w:rPr>
          <w:rFonts w:ascii="Times New Roman" w:hAnsi="Times New Roman" w:cs="Times New Roman"/>
          <w:sz w:val="24"/>
          <w:szCs w:val="24"/>
        </w:rPr>
        <w:t xml:space="preserve"> constrained by the use of digital meeting tools.</w:t>
      </w:r>
      <w:r w:rsidR="00D710C2" w:rsidRPr="00F153F6">
        <w:rPr>
          <w:rFonts w:ascii="Times New Roman" w:hAnsi="Times New Roman" w:cs="Times New Roman"/>
          <w:sz w:val="24"/>
          <w:szCs w:val="24"/>
        </w:rPr>
        <w:t xml:space="preserve"> The use of digital platform seem to only allow actors to have digital meetings that are related to their project work. They don’t have breaks during digital meeting that allow them to cultivate informal relationship when they use digital platform. Therefore, such digital platform poses a constraint on limiting actors’ ability </w:t>
      </w:r>
      <w:r w:rsidR="00D65CA5" w:rsidRPr="00F153F6">
        <w:rPr>
          <w:rFonts w:ascii="Times New Roman" w:hAnsi="Times New Roman" w:cs="Times New Roman"/>
          <w:sz w:val="24"/>
          <w:szCs w:val="24"/>
        </w:rPr>
        <w:t xml:space="preserve">to perform </w:t>
      </w:r>
      <w:r w:rsidR="00D710C2" w:rsidRPr="00F153F6">
        <w:rPr>
          <w:rFonts w:ascii="Times New Roman" w:hAnsi="Times New Roman" w:cs="Times New Roman"/>
          <w:sz w:val="24"/>
          <w:szCs w:val="24"/>
        </w:rPr>
        <w:t>informal interacti</w:t>
      </w:r>
      <w:r w:rsidR="00D65CA5" w:rsidRPr="00F153F6">
        <w:rPr>
          <w:rFonts w:ascii="Times New Roman" w:hAnsi="Times New Roman" w:cs="Times New Roman"/>
          <w:sz w:val="24"/>
          <w:szCs w:val="24"/>
        </w:rPr>
        <w:t>ng</w:t>
      </w:r>
      <w:r w:rsidR="00D710C2" w:rsidRPr="00F153F6">
        <w:rPr>
          <w:rFonts w:ascii="Times New Roman" w:hAnsi="Times New Roman" w:cs="Times New Roman"/>
          <w:sz w:val="24"/>
          <w:szCs w:val="24"/>
        </w:rPr>
        <w:t xml:space="preserve">, which inhibit actors to enact </w:t>
      </w:r>
      <w:r w:rsidR="00D65CA5" w:rsidRPr="00F153F6">
        <w:rPr>
          <w:rFonts w:ascii="Times New Roman" w:hAnsi="Times New Roman" w:cs="Times New Roman"/>
          <w:sz w:val="24"/>
          <w:szCs w:val="24"/>
        </w:rPr>
        <w:t xml:space="preserve">their inter-connecting knowledgeability and barricading </w:t>
      </w:r>
      <w:r w:rsidR="00D710C2" w:rsidRPr="00F153F6">
        <w:rPr>
          <w:rFonts w:ascii="Times New Roman" w:hAnsi="Times New Roman" w:cs="Times New Roman"/>
          <w:sz w:val="24"/>
          <w:szCs w:val="24"/>
        </w:rPr>
        <w:t>their knowing-how to cultivate informal relationship</w:t>
      </w:r>
      <w:r w:rsidR="00D65CA5" w:rsidRPr="00F153F6">
        <w:rPr>
          <w:rFonts w:ascii="Times New Roman" w:hAnsi="Times New Roman" w:cs="Times New Roman"/>
          <w:sz w:val="24"/>
          <w:szCs w:val="24"/>
        </w:rPr>
        <w:t>.</w:t>
      </w:r>
    </w:p>
    <w:p w14:paraId="6FE92C05" w14:textId="77777777" w:rsidR="0015201A" w:rsidRPr="00F153F6" w:rsidRDefault="0015201A" w:rsidP="004424B4">
      <w:pPr>
        <w:spacing w:line="360" w:lineRule="auto"/>
        <w:jc w:val="both"/>
        <w:rPr>
          <w:rFonts w:ascii="Times New Roman" w:hAnsi="Times New Roman" w:cs="Times New Roman"/>
        </w:rPr>
      </w:pPr>
    </w:p>
    <w:p w14:paraId="4F3BD316" w14:textId="382EBE0A" w:rsidR="0015201A" w:rsidRPr="00F153F6" w:rsidRDefault="0015201A" w:rsidP="005A3DC1">
      <w:pPr>
        <w:pStyle w:val="Heading3"/>
        <w:spacing w:line="360" w:lineRule="auto"/>
        <w:ind w:left="720"/>
        <w:jc w:val="both"/>
        <w:rPr>
          <w:rFonts w:ascii="Times New Roman" w:hAnsi="Times New Roman" w:cs="Times New Roman"/>
          <w:b/>
          <w:color w:val="auto"/>
          <w:sz w:val="28"/>
          <w:szCs w:val="28"/>
        </w:rPr>
      </w:pPr>
      <w:bookmarkStart w:id="551" w:name="_Toc118371138"/>
      <w:bookmarkStart w:id="552" w:name="_Toc133252164"/>
      <w:r w:rsidRPr="00F153F6">
        <w:rPr>
          <w:rFonts w:ascii="Times New Roman" w:hAnsi="Times New Roman" w:cs="Times New Roman"/>
          <w:b/>
          <w:color w:val="auto"/>
          <w:sz w:val="28"/>
          <w:szCs w:val="28"/>
        </w:rPr>
        <w:t xml:space="preserve">4.3.2. </w:t>
      </w:r>
      <w:bookmarkStart w:id="553" w:name="OLE_LINK866"/>
      <w:bookmarkStart w:id="554" w:name="OLE_LINK867"/>
      <w:bookmarkStart w:id="555" w:name="OLE_LINK878"/>
      <w:r w:rsidRPr="00F153F6">
        <w:rPr>
          <w:rFonts w:ascii="Times New Roman" w:hAnsi="Times New Roman" w:cs="Times New Roman"/>
          <w:b/>
          <w:color w:val="auto"/>
          <w:sz w:val="28"/>
          <w:szCs w:val="28"/>
        </w:rPr>
        <w:t xml:space="preserve">Expertise Accumulating </w:t>
      </w:r>
      <w:bookmarkEnd w:id="553"/>
      <w:bookmarkEnd w:id="554"/>
      <w:bookmarkEnd w:id="555"/>
      <w:r w:rsidRPr="00F153F6">
        <w:rPr>
          <w:rFonts w:ascii="Times New Roman" w:hAnsi="Times New Roman" w:cs="Times New Roman"/>
          <w:b/>
          <w:color w:val="auto"/>
          <w:sz w:val="28"/>
          <w:szCs w:val="28"/>
        </w:rPr>
        <w:t xml:space="preserve">and </w:t>
      </w:r>
      <w:r w:rsidR="00FA6038" w:rsidRPr="00F153F6">
        <w:rPr>
          <w:rFonts w:ascii="Times New Roman" w:hAnsi="Times New Roman" w:cs="Times New Roman"/>
          <w:b/>
          <w:color w:val="auto"/>
          <w:sz w:val="28"/>
          <w:szCs w:val="28"/>
        </w:rPr>
        <w:t>ICT</w:t>
      </w:r>
      <w:bookmarkEnd w:id="551"/>
      <w:bookmarkEnd w:id="552"/>
    </w:p>
    <w:p w14:paraId="22DD7DD7" w14:textId="027591B0"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Expertise accumulating refers to a knowledgeability enacted in which actors learn from each other’s expertise and thereby accumulate further skills. At the middle stage, with project collaboration becoming more intensive, the enactment of expertise accumulating entails that </w:t>
      </w:r>
      <w:r w:rsidRPr="00F153F6">
        <w:rPr>
          <w:rFonts w:ascii="Times New Roman" w:hAnsi="Times New Roman" w:cs="Times New Roman"/>
          <w:sz w:val="24"/>
          <w:szCs w:val="24"/>
        </w:rPr>
        <w:lastRenderedPageBreak/>
        <w:t xml:space="preserve">actors actively engage in learning-by-doing to develop their knowledge of how to develop their capabilities. Actors acquire this knowledgeability through four primary activities: Guiding; Training; Elaborating; and Sharing.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 support such accomplishment by </w:t>
      </w:r>
      <w:r w:rsidR="00CE44B8" w:rsidRPr="00F153F6">
        <w:rPr>
          <w:rFonts w:ascii="Times New Roman" w:hAnsi="Times New Roman" w:cs="Times New Roman"/>
          <w:sz w:val="24"/>
          <w:szCs w:val="24"/>
        </w:rPr>
        <w:t>affording</w:t>
      </w:r>
      <w:r w:rsidRPr="00F153F6">
        <w:rPr>
          <w:rFonts w:ascii="Times New Roman" w:hAnsi="Times New Roman" w:cs="Times New Roman"/>
          <w:sz w:val="24"/>
          <w:szCs w:val="24"/>
        </w:rPr>
        <w:t xml:space="preserve"> actors </w:t>
      </w:r>
      <w:bookmarkStart w:id="556" w:name="OLE_LINK915"/>
      <w:bookmarkStart w:id="557" w:name="OLE_LINK916"/>
      <w:r w:rsidRPr="00F153F6">
        <w:rPr>
          <w:rFonts w:ascii="Times New Roman" w:hAnsi="Times New Roman" w:cs="Times New Roman"/>
          <w:sz w:val="24"/>
          <w:szCs w:val="24"/>
        </w:rPr>
        <w:t>with visualising, ubiquitous, learning ahead, and customising abilities, whilst at the same time,</w:t>
      </w:r>
      <w:r w:rsidRPr="00F153F6" w:rsidDel="000079AE">
        <w:rPr>
          <w:rFonts w:ascii="Times New Roman" w:hAnsi="Times New Roman" w:cs="Times New Roman"/>
          <w:sz w:val="24"/>
          <w:szCs w:val="24"/>
        </w:rPr>
        <w:t xml:space="preserve"> </w:t>
      </w:r>
      <w:r w:rsidRPr="00F153F6">
        <w:rPr>
          <w:rFonts w:ascii="Times New Roman" w:hAnsi="Times New Roman" w:cs="Times New Roman"/>
          <w:sz w:val="24"/>
          <w:szCs w:val="24"/>
        </w:rPr>
        <w:t xml:space="preserve">constraining actors in immediate transforming, communication continuity and in-person demonstrating </w:t>
      </w:r>
      <w:bookmarkEnd w:id="556"/>
      <w:bookmarkEnd w:id="557"/>
      <w:r w:rsidRPr="00F153F6">
        <w:rPr>
          <w:rFonts w:ascii="Times New Roman" w:hAnsi="Times New Roman" w:cs="Times New Roman"/>
          <w:sz w:val="24"/>
          <w:szCs w:val="24"/>
        </w:rPr>
        <w:t xml:space="preserve">abilities. Table 4.9 provides a summary of </w:t>
      </w:r>
      <w:bookmarkStart w:id="558" w:name="OLE_LINK872"/>
      <w:bookmarkStart w:id="559" w:name="OLE_LINK873"/>
      <w:r w:rsidRPr="00F153F6">
        <w:rPr>
          <w:rFonts w:ascii="Times New Roman" w:hAnsi="Times New Roman" w:cs="Times New Roman"/>
          <w:sz w:val="24"/>
          <w:szCs w:val="24"/>
        </w:rPr>
        <w:t>expertise accumulating</w:t>
      </w:r>
      <w:bookmarkEnd w:id="558"/>
      <w:bookmarkEnd w:id="559"/>
      <w:r w:rsidRPr="00F153F6">
        <w:rPr>
          <w:rFonts w:ascii="Times New Roman" w:hAnsi="Times New Roman" w:cs="Times New Roman"/>
          <w:sz w:val="24"/>
          <w:szCs w:val="24"/>
        </w:rPr>
        <w:t xml:space="preserve"> knowledgeability, its accomplished knowing-in-practice and activities that allow the enactment of such knowledgeability, and their explanations.</w:t>
      </w:r>
    </w:p>
    <w:p w14:paraId="2B2EA9A4" w14:textId="77777777" w:rsidR="00845905" w:rsidRPr="00F153F6" w:rsidRDefault="00845905" w:rsidP="004424B4">
      <w:pPr>
        <w:spacing w:line="360" w:lineRule="auto"/>
        <w:jc w:val="both"/>
        <w:rPr>
          <w:rFonts w:ascii="Times New Roman" w:hAnsi="Times New Roman" w:cs="Times New Roman"/>
        </w:rPr>
      </w:pPr>
    </w:p>
    <w:p w14:paraId="0ED295C1" w14:textId="392D3BA7" w:rsidR="007148BA" w:rsidRPr="00F153F6" w:rsidRDefault="007148BA" w:rsidP="007148BA">
      <w:pPr>
        <w:pStyle w:val="Caption"/>
        <w:keepNext/>
        <w:rPr>
          <w:rFonts w:ascii="Times New Roman" w:hAnsi="Times New Roman" w:cs="Times New Roman"/>
          <w:i w:val="0"/>
          <w:iCs w:val="0"/>
          <w:color w:val="auto"/>
          <w:sz w:val="22"/>
          <w:szCs w:val="22"/>
        </w:rPr>
      </w:pPr>
      <w:bookmarkStart w:id="560" w:name="_Toc119448043"/>
      <w:r w:rsidRPr="00F153F6">
        <w:rPr>
          <w:rFonts w:ascii="Times New Roman" w:hAnsi="Times New Roman" w:cs="Times New Roman"/>
          <w:i w:val="0"/>
          <w:iCs w:val="0"/>
          <w:color w:val="auto"/>
          <w:sz w:val="22"/>
          <w:szCs w:val="22"/>
        </w:rPr>
        <w:t xml:space="preserve">Table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Table_4.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9</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Summary of activities and explanation in expertise accumulating </w:t>
      </w:r>
      <w:bookmarkEnd w:id="560"/>
      <w:r w:rsidR="005A3DC1" w:rsidRPr="00F153F6">
        <w:rPr>
          <w:rFonts w:ascii="Times New Roman" w:hAnsi="Times New Roman" w:cs="Times New Roman"/>
          <w:i w:val="0"/>
          <w:iCs w:val="0"/>
          <w:color w:val="auto"/>
          <w:sz w:val="22"/>
          <w:szCs w:val="22"/>
        </w:rPr>
        <w:t>knowledgeability.</w:t>
      </w:r>
    </w:p>
    <w:tbl>
      <w:tblPr>
        <w:tblStyle w:val="PlainTable5"/>
        <w:tblW w:w="9067" w:type="dxa"/>
        <w:tblLook w:val="04A0" w:firstRow="1" w:lastRow="0" w:firstColumn="1" w:lastColumn="0" w:noHBand="0" w:noVBand="1"/>
      </w:tblPr>
      <w:tblGrid>
        <w:gridCol w:w="2552"/>
        <w:gridCol w:w="2263"/>
        <w:gridCol w:w="4252"/>
      </w:tblGrid>
      <w:tr w:rsidR="005549E4" w:rsidRPr="00F153F6" w14:paraId="65D3B7B9" w14:textId="77777777" w:rsidTr="004314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Borders>
              <w:top w:val="nil"/>
              <w:left w:val="nil"/>
            </w:tcBorders>
            <w:shd w:val="clear" w:color="auto" w:fill="auto"/>
            <w:hideMark/>
          </w:tcPr>
          <w:p w14:paraId="12F31AF1" w14:textId="77777777" w:rsidR="0015201A" w:rsidRPr="00F153F6" w:rsidRDefault="0015201A" w:rsidP="004424B4">
            <w:pPr>
              <w:spacing w:line="360" w:lineRule="auto"/>
              <w:jc w:val="both"/>
              <w:rPr>
                <w:rFonts w:ascii="Times New Roman" w:hAnsi="Times New Roman" w:cs="Times New Roman"/>
                <w:b/>
                <w:bCs/>
                <w:sz w:val="22"/>
              </w:rPr>
            </w:pPr>
            <w:r w:rsidRPr="00F153F6">
              <w:rPr>
                <w:rFonts w:ascii="Times New Roman" w:hAnsi="Times New Roman" w:cs="Times New Roman"/>
                <w:b/>
                <w:bCs/>
                <w:sz w:val="22"/>
              </w:rPr>
              <w:t>Knowledgeability</w:t>
            </w:r>
          </w:p>
        </w:tc>
        <w:tc>
          <w:tcPr>
            <w:tcW w:w="2263" w:type="dxa"/>
            <w:tcBorders>
              <w:top w:val="nil"/>
              <w:left w:val="nil"/>
              <w:right w:val="nil"/>
            </w:tcBorders>
            <w:shd w:val="clear" w:color="auto" w:fill="auto"/>
            <w:hideMark/>
          </w:tcPr>
          <w:p w14:paraId="135D56A9"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Activities</w:t>
            </w:r>
          </w:p>
        </w:tc>
        <w:tc>
          <w:tcPr>
            <w:tcW w:w="4252" w:type="dxa"/>
            <w:tcBorders>
              <w:top w:val="nil"/>
              <w:left w:val="nil"/>
              <w:right w:val="nil"/>
            </w:tcBorders>
            <w:shd w:val="clear" w:color="auto" w:fill="auto"/>
            <w:hideMark/>
          </w:tcPr>
          <w:p w14:paraId="7ED25354"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Explanations</w:t>
            </w:r>
          </w:p>
        </w:tc>
      </w:tr>
      <w:tr w:rsidR="005549E4" w:rsidRPr="00F153F6" w14:paraId="2A2845C4" w14:textId="77777777" w:rsidTr="004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il"/>
              <w:left w:val="nil"/>
              <w:bottom w:val="nil"/>
            </w:tcBorders>
            <w:shd w:val="clear" w:color="auto" w:fill="auto"/>
            <w:hideMark/>
          </w:tcPr>
          <w:p w14:paraId="063C17F1" w14:textId="77777777" w:rsidR="0015201A" w:rsidRPr="00F153F6" w:rsidRDefault="0015201A" w:rsidP="004424B4">
            <w:pPr>
              <w:spacing w:line="360" w:lineRule="auto"/>
              <w:jc w:val="both"/>
              <w:rPr>
                <w:rFonts w:ascii="Times New Roman" w:hAnsi="Times New Roman" w:cs="Times New Roman"/>
                <w:i w:val="0"/>
                <w:iCs w:val="0"/>
                <w:sz w:val="22"/>
              </w:rPr>
            </w:pPr>
            <w:r w:rsidRPr="00F153F6">
              <w:rPr>
                <w:rFonts w:ascii="Times New Roman" w:hAnsi="Times New Roman" w:cs="Times New Roman"/>
                <w:sz w:val="22"/>
              </w:rPr>
              <w:t xml:space="preserve">Expertise Accumulating </w:t>
            </w:r>
          </w:p>
          <w:p w14:paraId="4A6F22F6" w14:textId="77777777" w:rsidR="0015201A" w:rsidRPr="00F153F6" w:rsidRDefault="0015201A" w:rsidP="004424B4">
            <w:pPr>
              <w:spacing w:line="360" w:lineRule="auto"/>
              <w:jc w:val="both"/>
              <w:rPr>
                <w:rFonts w:ascii="Times New Roman" w:hAnsi="Times New Roman" w:cs="Times New Roman"/>
                <w:i w:val="0"/>
                <w:iCs w:val="0"/>
                <w:sz w:val="22"/>
              </w:rPr>
            </w:pPr>
          </w:p>
          <w:p w14:paraId="249D09DE" w14:textId="77777777" w:rsidR="0015201A" w:rsidRPr="00F153F6" w:rsidRDefault="0015201A" w:rsidP="004424B4">
            <w:pPr>
              <w:spacing w:line="360" w:lineRule="auto"/>
              <w:jc w:val="both"/>
              <w:rPr>
                <w:rFonts w:ascii="Times New Roman" w:hAnsi="Times New Roman" w:cs="Times New Roman"/>
                <w:sz w:val="22"/>
              </w:rPr>
            </w:pPr>
            <w:r w:rsidRPr="00F153F6">
              <w:rPr>
                <w:rFonts w:ascii="Times New Roman" w:hAnsi="Times New Roman" w:cs="Times New Roman"/>
                <w:sz w:val="22"/>
              </w:rPr>
              <w:t>Explanation: Knowing how to develop capabilities</w:t>
            </w:r>
          </w:p>
        </w:tc>
        <w:tc>
          <w:tcPr>
            <w:tcW w:w="2263" w:type="dxa"/>
            <w:shd w:val="clear" w:color="auto" w:fill="auto"/>
          </w:tcPr>
          <w:p w14:paraId="37903C9A"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Guiding</w:t>
            </w:r>
          </w:p>
        </w:tc>
        <w:tc>
          <w:tcPr>
            <w:tcW w:w="4252" w:type="dxa"/>
            <w:shd w:val="clear" w:color="auto" w:fill="auto"/>
          </w:tcPr>
          <w:p w14:paraId="3371A734"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 xml:space="preserve">Actors </w:t>
            </w:r>
            <w:bookmarkStart w:id="561" w:name="OLE_LINK883"/>
            <w:bookmarkStart w:id="562" w:name="OLE_LINK884"/>
            <w:r w:rsidRPr="00F153F6">
              <w:rPr>
                <w:rFonts w:ascii="Times New Roman" w:hAnsi="Times New Roman" w:cs="Times New Roman"/>
              </w:rPr>
              <w:t>develop their behaviours under guidance of experts.</w:t>
            </w:r>
            <w:bookmarkEnd w:id="561"/>
            <w:bookmarkEnd w:id="562"/>
          </w:p>
        </w:tc>
      </w:tr>
      <w:tr w:rsidR="005549E4" w:rsidRPr="00F153F6" w14:paraId="08EFACB6" w14:textId="77777777" w:rsidTr="004314D7">
        <w:tc>
          <w:tcPr>
            <w:cnfStyle w:val="001000000000" w:firstRow="0" w:lastRow="0" w:firstColumn="1" w:lastColumn="0" w:oddVBand="0" w:evenVBand="0" w:oddHBand="0" w:evenHBand="0" w:firstRowFirstColumn="0" w:firstRowLastColumn="0" w:lastRowFirstColumn="0" w:lastRowLastColumn="0"/>
            <w:tcW w:w="2552" w:type="dxa"/>
            <w:tcBorders>
              <w:top w:val="nil"/>
              <w:left w:val="nil"/>
              <w:bottom w:val="nil"/>
            </w:tcBorders>
            <w:shd w:val="clear" w:color="auto" w:fill="auto"/>
          </w:tcPr>
          <w:p w14:paraId="66093BCE" w14:textId="77777777" w:rsidR="0015201A" w:rsidRPr="00F153F6" w:rsidRDefault="0015201A" w:rsidP="004424B4">
            <w:pPr>
              <w:spacing w:line="360" w:lineRule="auto"/>
              <w:jc w:val="both"/>
              <w:rPr>
                <w:rFonts w:ascii="Times New Roman" w:hAnsi="Times New Roman" w:cs="Times New Roman"/>
                <w:sz w:val="22"/>
              </w:rPr>
            </w:pPr>
          </w:p>
        </w:tc>
        <w:tc>
          <w:tcPr>
            <w:tcW w:w="2263" w:type="dxa"/>
            <w:shd w:val="clear" w:color="auto" w:fill="auto"/>
          </w:tcPr>
          <w:p w14:paraId="0B48323E"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 xml:space="preserve">Training </w:t>
            </w:r>
          </w:p>
          <w:p w14:paraId="6BBC3748"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2" w:type="dxa"/>
            <w:shd w:val="clear" w:color="auto" w:fill="auto"/>
          </w:tcPr>
          <w:p w14:paraId="2EA1BF4A"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Actors engage in an intensive skill development process under training of experts.</w:t>
            </w:r>
          </w:p>
          <w:p w14:paraId="0E3456B9"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49E4" w:rsidRPr="00F153F6" w14:paraId="39508BA4" w14:textId="77777777" w:rsidTr="004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il"/>
              <w:left w:val="nil"/>
              <w:bottom w:val="nil"/>
            </w:tcBorders>
            <w:shd w:val="clear" w:color="auto" w:fill="auto"/>
          </w:tcPr>
          <w:p w14:paraId="6DC169C0" w14:textId="77777777" w:rsidR="0015201A" w:rsidRPr="00F153F6" w:rsidRDefault="0015201A" w:rsidP="004424B4">
            <w:pPr>
              <w:spacing w:line="360" w:lineRule="auto"/>
              <w:jc w:val="both"/>
              <w:rPr>
                <w:rFonts w:ascii="Times New Roman" w:hAnsi="Times New Roman" w:cs="Times New Roman"/>
                <w:sz w:val="22"/>
              </w:rPr>
            </w:pPr>
          </w:p>
        </w:tc>
        <w:tc>
          <w:tcPr>
            <w:tcW w:w="2263" w:type="dxa"/>
            <w:shd w:val="clear" w:color="auto" w:fill="auto"/>
          </w:tcPr>
          <w:p w14:paraId="3002EE53"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Elaborating</w:t>
            </w:r>
          </w:p>
        </w:tc>
        <w:tc>
          <w:tcPr>
            <w:tcW w:w="4252" w:type="dxa"/>
            <w:shd w:val="clear" w:color="auto" w:fill="auto"/>
          </w:tcPr>
          <w:p w14:paraId="7B7DBE7D" w14:textId="1F8B73EB"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 xml:space="preserve">Actors learn from each other under a detailed explanation to their </w:t>
            </w:r>
            <w:r w:rsidR="005A3DC1" w:rsidRPr="00F153F6">
              <w:rPr>
                <w:rFonts w:ascii="Times New Roman" w:hAnsi="Times New Roman" w:cs="Times New Roman"/>
              </w:rPr>
              <w:t>works.</w:t>
            </w:r>
          </w:p>
          <w:p w14:paraId="2201C789"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49E4" w:rsidRPr="00F153F6" w14:paraId="7DB1D3B2" w14:textId="77777777" w:rsidTr="004314D7">
        <w:trPr>
          <w:trHeight w:val="1435"/>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shd w:val="clear" w:color="auto" w:fill="auto"/>
            <w:vAlign w:val="center"/>
          </w:tcPr>
          <w:p w14:paraId="6209E73F" w14:textId="77777777" w:rsidR="0015201A" w:rsidRPr="00F153F6" w:rsidRDefault="0015201A" w:rsidP="004424B4">
            <w:pPr>
              <w:spacing w:line="360" w:lineRule="auto"/>
              <w:jc w:val="both"/>
              <w:rPr>
                <w:rFonts w:ascii="Times New Roman" w:hAnsi="Times New Roman" w:cs="Times New Roman"/>
                <w:i w:val="0"/>
                <w:iCs w:val="0"/>
                <w:sz w:val="22"/>
              </w:rPr>
            </w:pPr>
          </w:p>
        </w:tc>
        <w:tc>
          <w:tcPr>
            <w:tcW w:w="2263" w:type="dxa"/>
            <w:shd w:val="clear" w:color="auto" w:fill="auto"/>
          </w:tcPr>
          <w:p w14:paraId="30F93F78"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Sharing</w:t>
            </w:r>
          </w:p>
        </w:tc>
        <w:tc>
          <w:tcPr>
            <w:tcW w:w="4252" w:type="dxa"/>
            <w:shd w:val="clear" w:color="auto" w:fill="auto"/>
          </w:tcPr>
          <w:p w14:paraId="6504A16E"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 xml:space="preserve">Actors </w:t>
            </w:r>
            <w:bookmarkStart w:id="563" w:name="OLE_LINK903"/>
            <w:bookmarkStart w:id="564" w:name="OLE_LINK904"/>
            <w:r w:rsidRPr="00F153F6">
              <w:rPr>
                <w:rFonts w:ascii="Times New Roman" w:hAnsi="Times New Roman" w:cs="Times New Roman"/>
              </w:rPr>
              <w:t>learn from each other as they share their insights and expertise</w:t>
            </w:r>
            <w:bookmarkEnd w:id="563"/>
            <w:bookmarkEnd w:id="564"/>
            <w:r w:rsidRPr="00F153F6">
              <w:rPr>
                <w:rFonts w:ascii="Times New Roman" w:hAnsi="Times New Roman" w:cs="Times New Roman"/>
              </w:rPr>
              <w:t>.</w:t>
            </w:r>
          </w:p>
        </w:tc>
      </w:tr>
    </w:tbl>
    <w:p w14:paraId="2A135298" w14:textId="77777777" w:rsidR="0015201A" w:rsidRPr="00F153F6" w:rsidRDefault="0015201A" w:rsidP="004424B4">
      <w:pPr>
        <w:spacing w:line="360" w:lineRule="auto"/>
        <w:jc w:val="both"/>
        <w:rPr>
          <w:rFonts w:ascii="Times New Roman" w:hAnsi="Times New Roman" w:cs="Times New Roman"/>
        </w:rPr>
      </w:pPr>
    </w:p>
    <w:p w14:paraId="42545FAB" w14:textId="43EACF72"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Guiding</w:t>
      </w:r>
    </w:p>
    <w:p w14:paraId="6E88CF45" w14:textId="68024B3E"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lastRenderedPageBreak/>
        <w:t xml:space="preserve">Guiding refers to an activity through which </w:t>
      </w:r>
      <w:bookmarkStart w:id="565" w:name="OLE_LINK874"/>
      <w:bookmarkStart w:id="566" w:name="OLE_LINK875"/>
      <w:r w:rsidRPr="00F153F6">
        <w:rPr>
          <w:rFonts w:ascii="Times New Roman" w:hAnsi="Times New Roman" w:cs="Times New Roman"/>
          <w:sz w:val="24"/>
          <w:szCs w:val="24"/>
        </w:rPr>
        <w:t>actors develop their behaviours under guidance of experts.</w:t>
      </w:r>
      <w:bookmarkEnd w:id="565"/>
      <w:bookmarkEnd w:id="566"/>
      <w:r w:rsidRPr="00F153F6">
        <w:rPr>
          <w:rFonts w:ascii="Times New Roman" w:hAnsi="Times New Roman" w:cs="Times New Roman"/>
          <w:sz w:val="24"/>
          <w:szCs w:val="24"/>
        </w:rPr>
        <w:t xml:space="preserve"> When engaging in guiding activities, actors actively learn and improve their skills and level of knowledge under guidance provided by experts or experienced people. In the middle stage of a project, since there are still new participants or partners involved into the project, guiding activities provide and opportunity for new actors to develop their understanding of how to develop skills under the guidance of project relevant experts.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be useful to support such accomplishments by allowing actors to learn ahead so that they can accumulate expertise under experts’ guidance in advance. As one interviewee notes:</w:t>
      </w:r>
    </w:p>
    <w:p w14:paraId="2032DEDC" w14:textId="6EED6C2D"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“This website was prepared as a sort way to communicate about all this later on, but it was also a sort of website for people who would participate in the workshops. They got the link and they also got the links to the website. And there were even small broadcasts made. You can see them in the menu, there’s also a broadcast. And then in the when just about 2 days or a week before a workshop, on the broadcasts, more film about the theme would be put on the website. So everyone, before they participated in the workshop, could go to the website, browse it, and look at the small outcast, which is a small film explaining thing and a very briefly introducing the three cases. They are related to the theme as a sort of an intro that people could do at home, preparing a bit for the workshop. And so we’don’t lose time for that. I think ’hat’s also very efficient way to have participants organise their own leisure timing, and they just go to the website, browse, look at the field at the broadcast in advance.” </w:t>
      </w:r>
      <w:bookmarkStart w:id="567" w:name="OLE_LINK891"/>
      <w:bookmarkStart w:id="568" w:name="OLE_LINK892"/>
      <w:r w:rsidRPr="00F153F6">
        <w:rPr>
          <w:rFonts w:ascii="Times New Roman" w:hAnsi="Times New Roman" w:cs="Times New Roman"/>
          <w:i/>
          <w:iCs/>
          <w:sz w:val="24"/>
          <w:szCs w:val="24"/>
        </w:rPr>
        <w:t>(Project B2, Participant 2, Para. 47)</w:t>
      </w:r>
      <w:bookmarkEnd w:id="567"/>
      <w:bookmarkEnd w:id="568"/>
    </w:p>
    <w:p w14:paraId="5A9C5C1C" w14:textId="77777777"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In the middle stage of the project, more typical Living Lab activities, such as workshops for co-creation, are being organised. This requires project members to recruit new participants such as end users or citizens into the workshop for inter-organisational collaboration. As new participants become involved in the project, they may need some guidance on what the workshop is about and what tasks they need to perform. At this stage, the guidance is usually very detailed information, which is usually time-consuming to deliver during a short period of time such as a workshop. Therefore, the project team in the above example use websites as a means to provide guidance. The websites afford participants learning ahead ability, so that they can develop their skills ahead of the workshop communication. This facilitates actors to enact their expertise accumulating knowledgeability in guiding activities.</w:t>
      </w:r>
    </w:p>
    <w:p w14:paraId="3B86953C" w14:textId="77777777" w:rsidR="0015201A" w:rsidRPr="00F153F6" w:rsidRDefault="0015201A" w:rsidP="004424B4">
      <w:pPr>
        <w:spacing w:line="360" w:lineRule="auto"/>
        <w:jc w:val="both"/>
        <w:rPr>
          <w:rFonts w:ascii="Times New Roman" w:hAnsi="Times New Roman" w:cs="Times New Roman"/>
          <w:sz w:val="24"/>
          <w:szCs w:val="24"/>
        </w:rPr>
      </w:pPr>
    </w:p>
    <w:p w14:paraId="71854F96" w14:textId="691604C5"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lastRenderedPageBreak/>
        <w:t xml:space="preserve">Although guiding activities organised for a group of actors are usually rich enough to support actors to accumulate expertise, there are also other guiding activities taking place interpersonally. The use of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thereby may not allow actors to demonstrate full insights or expertise for their collaborators to learn, by constraining their in-person demonstrating ability</w:t>
      </w:r>
      <w:r w:rsidR="003F4D50" w:rsidRPr="00F153F6">
        <w:rPr>
          <w:rFonts w:ascii="Times New Roman" w:hAnsi="Times New Roman" w:cs="Times New Roman"/>
          <w:sz w:val="24"/>
          <w:szCs w:val="24"/>
        </w:rPr>
        <w:t xml:space="preserve"> (ability to demonstrate expertise inter-personally in a face-to-face way)</w:t>
      </w:r>
      <w:r w:rsidRPr="00F153F6">
        <w:rPr>
          <w:rFonts w:ascii="Times New Roman" w:hAnsi="Times New Roman" w:cs="Times New Roman"/>
          <w:sz w:val="24"/>
          <w:szCs w:val="24"/>
        </w:rPr>
        <w:t>. As one interviewee notes:</w:t>
      </w:r>
    </w:p>
    <w:p w14:paraId="364D9835" w14:textId="6D7DDA76"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“If they have trouble with the technical side, they ask me, </w:t>
      </w:r>
      <w:bookmarkStart w:id="569" w:name="OLE_LINK893"/>
      <w:bookmarkStart w:id="570" w:name="OLE_LINK894"/>
      <w:r w:rsidRPr="00F153F6">
        <w:rPr>
          <w:rFonts w:ascii="Times New Roman" w:hAnsi="Times New Roman" w:cs="Times New Roman"/>
          <w:i/>
          <w:iCs/>
          <w:sz w:val="24"/>
          <w:szCs w:val="24"/>
        </w:rPr>
        <w:t xml:space="preserve">as far as I know I will guide them </w:t>
      </w:r>
      <w:bookmarkEnd w:id="569"/>
      <w:bookmarkEnd w:id="570"/>
      <w:r w:rsidRPr="00F153F6">
        <w:rPr>
          <w:rFonts w:ascii="Times New Roman" w:hAnsi="Times New Roman" w:cs="Times New Roman"/>
          <w:i/>
          <w:iCs/>
          <w:sz w:val="24"/>
          <w:szCs w:val="24"/>
        </w:rPr>
        <w:t xml:space="preserve">to solve the issue, of course, because I have a technical background. But sometimes I will say, yeah, I can make it but I cannot tell you right now </w:t>
      </w:r>
      <w:r w:rsidR="003F4D50" w:rsidRPr="00F153F6">
        <w:rPr>
          <w:rFonts w:ascii="Times New Roman" w:hAnsi="Times New Roman" w:cs="Times New Roman"/>
          <w:i/>
          <w:iCs/>
          <w:sz w:val="24"/>
          <w:szCs w:val="24"/>
        </w:rPr>
        <w:t>what’s</w:t>
      </w:r>
      <w:r w:rsidRPr="00F153F6">
        <w:rPr>
          <w:rFonts w:ascii="Times New Roman" w:hAnsi="Times New Roman" w:cs="Times New Roman"/>
          <w:i/>
          <w:iCs/>
          <w:sz w:val="24"/>
          <w:szCs w:val="24"/>
        </w:rPr>
        <w:t xml:space="preserve"> going on in a virtual meeting, because it is too complex to explain verbally.” (Project B2, Participant 3, Para. 60)</w:t>
      </w:r>
    </w:p>
    <w:p w14:paraId="59D4F109" w14:textId="4958F1AF" w:rsidR="0015201A" w:rsidRPr="00F153F6" w:rsidRDefault="0015201A" w:rsidP="004424B4">
      <w:pPr>
        <w:spacing w:line="360" w:lineRule="auto"/>
        <w:jc w:val="both"/>
        <w:rPr>
          <w:rFonts w:ascii="Times New Roman" w:hAnsi="Times New Roman" w:cs="Times New Roman"/>
        </w:rPr>
      </w:pPr>
      <w:r w:rsidRPr="00F153F6">
        <w:rPr>
          <w:rFonts w:ascii="Times New Roman" w:hAnsi="Times New Roman" w:cs="Times New Roman"/>
          <w:sz w:val="24"/>
          <w:szCs w:val="24"/>
        </w:rPr>
        <w:t>Living Lab project partners have diverse backgrounds and a diverse portfolio of expertise, there are occasions when partners can rely on each other’s distinct expertise to deal with a problem. In the above example, partners may sometimes also need guidance from technical experts to deal with problems. Sometimes this technical expertise may be too hard to explain verbally and require in-person demonstrating. However, due to the materiality of virtual meeting tools, that only allow virtual interacting in a digital way, an actor’s ability to demonstrate</w:t>
      </w:r>
      <w:r w:rsidR="003F4D50" w:rsidRPr="00F153F6">
        <w:rPr>
          <w:rFonts w:ascii="Times New Roman" w:hAnsi="Times New Roman" w:cs="Times New Roman"/>
          <w:sz w:val="24"/>
          <w:szCs w:val="24"/>
        </w:rPr>
        <w:t xml:space="preserve"> results and engage</w:t>
      </w:r>
      <w:r w:rsidRPr="00F153F6">
        <w:rPr>
          <w:rFonts w:ascii="Times New Roman" w:hAnsi="Times New Roman" w:cs="Times New Roman"/>
          <w:sz w:val="24"/>
          <w:szCs w:val="24"/>
        </w:rPr>
        <w:t xml:space="preserve"> in-person is constrained, which inhibits actors’ enactment of expertise accumulating knowledgeability. </w:t>
      </w:r>
    </w:p>
    <w:p w14:paraId="592FC08F" w14:textId="77777777" w:rsidR="0015201A" w:rsidRPr="00F153F6" w:rsidRDefault="0015201A" w:rsidP="004424B4">
      <w:pPr>
        <w:spacing w:line="360" w:lineRule="auto"/>
        <w:jc w:val="both"/>
        <w:rPr>
          <w:rFonts w:ascii="Times New Roman" w:hAnsi="Times New Roman" w:cs="Times New Roman"/>
        </w:rPr>
      </w:pPr>
    </w:p>
    <w:p w14:paraId="17FB0312" w14:textId="488549F2" w:rsidR="0015201A" w:rsidRPr="00F153F6" w:rsidRDefault="0015201A" w:rsidP="004424B4">
      <w:pPr>
        <w:spacing w:line="360" w:lineRule="auto"/>
        <w:jc w:val="both"/>
        <w:rPr>
          <w:rFonts w:ascii="Times New Roman" w:hAnsi="Times New Roman" w:cs="Times New Roman"/>
          <w:b/>
          <w:bCs/>
          <w:sz w:val="24"/>
          <w:szCs w:val="24"/>
        </w:rPr>
      </w:pPr>
      <w:bookmarkStart w:id="571" w:name="OLE_LINK105"/>
      <w:bookmarkStart w:id="572" w:name="OLE_LINK106"/>
      <w:bookmarkStart w:id="573" w:name="OLE_LINK107"/>
      <w:bookmarkStart w:id="574" w:name="OLE_LINK108"/>
      <w:r w:rsidRPr="00F153F6">
        <w:rPr>
          <w:rFonts w:ascii="Times New Roman" w:hAnsi="Times New Roman" w:cs="Times New Roman"/>
          <w:b/>
          <w:bCs/>
          <w:sz w:val="24"/>
          <w:szCs w:val="24"/>
        </w:rPr>
        <w:t>Training</w:t>
      </w:r>
    </w:p>
    <w:p w14:paraId="7FE075C5" w14:textId="348BC533"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Training refers to an activity through which actors engage in a skill development process under the guidance of experts. As actors are trained, they learn new skills and acquire a better understanding of how to develop their abilities.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be useful in supporting such accomplishments by providing actors with ubiquitous ability so that actors can acquire more detailed guidance to facilitate learning. As one interviewee notes:</w:t>
      </w:r>
    </w:p>
    <w:p w14:paraId="2E9C0BE8" w14:textId="3B0D7BA4"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“We at first really need to know how UIA platform works and how it can be used. So at the start of the project</w:t>
      </w:r>
      <w:bookmarkEnd w:id="571"/>
      <w:bookmarkEnd w:id="572"/>
      <w:r w:rsidRPr="00F153F6">
        <w:rPr>
          <w:rFonts w:ascii="Times New Roman" w:hAnsi="Times New Roman" w:cs="Times New Roman"/>
          <w:i/>
          <w:iCs/>
          <w:sz w:val="24"/>
          <w:szCs w:val="24"/>
        </w:rPr>
        <w:t xml:space="preserve">, two of my colleagues were going to Brussels. They received some lectures in college about how UIA works and what you have to do and what you have to sign in so that. So, they give you information and also the access to UIA website. And now we are using this website very frequently at this stage because you can find </w:t>
      </w:r>
      <w:r w:rsidRPr="00F153F6">
        <w:rPr>
          <w:rFonts w:ascii="Times New Roman" w:hAnsi="Times New Roman" w:cs="Times New Roman"/>
          <w:i/>
          <w:iCs/>
          <w:sz w:val="24"/>
          <w:szCs w:val="24"/>
        </w:rPr>
        <w:lastRenderedPageBreak/>
        <w:t>all the information that is necessary to fill in all the requirements of the UIA, so you can directly learn them on website anywhere and anytime when you need. Third, we have one contact person within the UIA and you can call him or email him or meet him virtually about questions anytime and he will help us how to work and how to cooperate.” (Project B1, Participant 1, Para. 34)</w:t>
      </w:r>
    </w:p>
    <w:bookmarkEnd w:id="573"/>
    <w:bookmarkEnd w:id="574"/>
    <w:p w14:paraId="3381A13E" w14:textId="4215D028"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Actors in the project sometimes need to learn how to use resources that support their collaboration and help achieve project objectives. This requires actors’ to repeatedly practice their learning under guiding knowledgeabilities as provided in their training activities. In training activities, actors may seek internal or external expert guidance to guide them to learn complex resources, which allows actors to recurrently develop their understanding of how to develop their aptitude on using the resources. Thanks to the website of UIA that displays all relevant expertise online, project members can enact their expertise when accumulating knowledgeability, which allows them to develop their skills anywhere and anytime. Also, the use of phone calls, email and virtual meetings allows actors to easily communicate with experts from the UIA community </w:t>
      </w:r>
      <w:r w:rsidR="005A3DC1" w:rsidRPr="00F153F6">
        <w:rPr>
          <w:rFonts w:ascii="Times New Roman" w:hAnsi="Times New Roman" w:cs="Times New Roman"/>
          <w:sz w:val="24"/>
          <w:szCs w:val="24"/>
        </w:rPr>
        <w:t>whenever</w:t>
      </w:r>
      <w:r w:rsidRPr="00F153F6">
        <w:rPr>
          <w:rFonts w:ascii="Times New Roman" w:hAnsi="Times New Roman" w:cs="Times New Roman"/>
          <w:sz w:val="24"/>
          <w:szCs w:val="24"/>
        </w:rPr>
        <w:t xml:space="preserve"> needed. This shows how technologies enable people to develop knowledge and understanding and how to develop skills in training activities, by providing people ubiquitous ability so that actors can be trained at anytime and anywhere. </w:t>
      </w:r>
    </w:p>
    <w:p w14:paraId="0F1398D3" w14:textId="77777777" w:rsidR="0015201A" w:rsidRPr="00F153F6" w:rsidRDefault="0015201A" w:rsidP="004424B4">
      <w:pPr>
        <w:spacing w:line="360" w:lineRule="auto"/>
        <w:jc w:val="both"/>
        <w:rPr>
          <w:rFonts w:ascii="Times New Roman" w:hAnsi="Times New Roman" w:cs="Times New Roman"/>
          <w:sz w:val="24"/>
          <w:szCs w:val="24"/>
        </w:rPr>
      </w:pPr>
    </w:p>
    <w:p w14:paraId="4467C05C" w14:textId="2E8EBA3F"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As another interviewee also spoke about such training activity:</w:t>
      </w:r>
    </w:p>
    <w:p w14:paraId="73CA6E6D" w14:textId="52214275"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“We used the Miro to do the works... we have adapted our tools based on this new situation since working online. So, Mirro is certainly one that we changed. If you look at the general website, also the podcast, so we asked people who participated each time before the session to listen to the pod cast, because the pod cast told the story of the three projects that will be discussed during the sessions. And </w:t>
      </w:r>
      <w:r w:rsidR="005A3DC1" w:rsidRPr="00F153F6">
        <w:rPr>
          <w:rFonts w:ascii="Times New Roman" w:hAnsi="Times New Roman" w:cs="Times New Roman"/>
          <w:i/>
          <w:iCs/>
          <w:sz w:val="24"/>
          <w:szCs w:val="24"/>
        </w:rPr>
        <w:t>you</w:t>
      </w:r>
      <w:r w:rsidRPr="00F153F6">
        <w:rPr>
          <w:rFonts w:ascii="Times New Roman" w:hAnsi="Times New Roman" w:cs="Times New Roman"/>
          <w:i/>
          <w:iCs/>
          <w:sz w:val="24"/>
          <w:szCs w:val="24"/>
        </w:rPr>
        <w:t xml:space="preserve"> didn’t want to do that again, like the online lecture where you have to follow all the time. Now with a podcast. You can do that while you’re running or doing your exercise. It’s a nice way to engage with the project, but </w:t>
      </w:r>
      <w:r w:rsidR="005A3DC1" w:rsidRPr="00F153F6">
        <w:rPr>
          <w:rFonts w:ascii="Times New Roman" w:hAnsi="Times New Roman" w:cs="Times New Roman"/>
          <w:i/>
          <w:iCs/>
          <w:sz w:val="24"/>
          <w:szCs w:val="24"/>
        </w:rPr>
        <w:t>it</w:t>
      </w:r>
      <w:r w:rsidRPr="00F153F6">
        <w:rPr>
          <w:rFonts w:ascii="Times New Roman" w:hAnsi="Times New Roman" w:cs="Times New Roman"/>
          <w:i/>
          <w:iCs/>
          <w:sz w:val="24"/>
          <w:szCs w:val="24"/>
        </w:rPr>
        <w:t xml:space="preserve"> doesn’t require you again to sit at the screen. And </w:t>
      </w:r>
      <w:r w:rsidR="005A3DC1" w:rsidRPr="00F153F6">
        <w:rPr>
          <w:rFonts w:ascii="Times New Roman" w:hAnsi="Times New Roman" w:cs="Times New Roman"/>
          <w:i/>
          <w:iCs/>
          <w:sz w:val="24"/>
          <w:szCs w:val="24"/>
        </w:rPr>
        <w:t>so,</w:t>
      </w:r>
      <w:r w:rsidRPr="00F153F6">
        <w:rPr>
          <w:rFonts w:ascii="Times New Roman" w:hAnsi="Times New Roman" w:cs="Times New Roman"/>
          <w:i/>
          <w:iCs/>
          <w:sz w:val="24"/>
          <w:szCs w:val="24"/>
        </w:rPr>
        <w:t xml:space="preserve"> you can listen to it, which was nice.” </w:t>
      </w:r>
      <w:bookmarkStart w:id="575" w:name="OLE_LINK907"/>
      <w:bookmarkStart w:id="576" w:name="OLE_LINK908"/>
      <w:r w:rsidRPr="00F153F6">
        <w:rPr>
          <w:rFonts w:ascii="Times New Roman" w:hAnsi="Times New Roman" w:cs="Times New Roman"/>
          <w:i/>
          <w:iCs/>
          <w:sz w:val="24"/>
          <w:szCs w:val="24"/>
        </w:rPr>
        <w:t>(Project B2, Participant 1, Para. 26)</w:t>
      </w:r>
      <w:bookmarkEnd w:id="575"/>
      <w:bookmarkEnd w:id="576"/>
    </w:p>
    <w:p w14:paraId="37FB42A9" w14:textId="4B71CB0D"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Diverse expertise in inter-organisational collaboration increases complexity within the inter-organisational context and thereby the practice</w:t>
      </w:r>
      <w:r w:rsidRPr="00F153F6" w:rsidDel="003209BA">
        <w:rPr>
          <w:rFonts w:ascii="Times New Roman" w:hAnsi="Times New Roman" w:cs="Times New Roman"/>
          <w:sz w:val="24"/>
          <w:szCs w:val="24"/>
        </w:rPr>
        <w:t xml:space="preserve"> </w:t>
      </w:r>
      <w:r w:rsidRPr="00F153F6">
        <w:rPr>
          <w:rFonts w:ascii="Times New Roman" w:hAnsi="Times New Roman" w:cs="Times New Roman"/>
          <w:sz w:val="24"/>
          <w:szCs w:val="24"/>
        </w:rPr>
        <w:t xml:space="preserve">of learning and accumulating expertise becomes time-consuming. Therefore, actors may use technologies to increase the effectiveness of their </w:t>
      </w:r>
      <w:r w:rsidRPr="00F153F6">
        <w:rPr>
          <w:rFonts w:ascii="Times New Roman" w:hAnsi="Times New Roman" w:cs="Times New Roman"/>
          <w:sz w:val="24"/>
          <w:szCs w:val="24"/>
        </w:rPr>
        <w:lastRenderedPageBreak/>
        <w:t xml:space="preserve">learning process. For example, actors may use Miro podcast to learn tasks or project information before each discussion session, such as workshop sessions. In this way, actors can be trained to be aware of all information and expertise that they need about the session in advance, so that they can effectively join the discussion session afterwards. Actors can use Miro podcast whenever they need, since this podcast allows them to participate in training anywhere (i.e. running or doing exercise) and anytime (i.e. do not have to learn within a fixed time period). Therefore,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such as the Miro podcast provide actors ubiquitous ability so that they have access to such training activities and develop their knowledge and understanding of how to develop skills anytime and anywhere they need.</w:t>
      </w:r>
    </w:p>
    <w:p w14:paraId="3D3918FF" w14:textId="77777777" w:rsidR="0015201A" w:rsidRPr="00F153F6" w:rsidRDefault="0015201A" w:rsidP="004424B4">
      <w:pPr>
        <w:spacing w:line="360" w:lineRule="auto"/>
        <w:jc w:val="both"/>
        <w:rPr>
          <w:rFonts w:ascii="Times New Roman" w:hAnsi="Times New Roman" w:cs="Times New Roman"/>
          <w:sz w:val="24"/>
          <w:szCs w:val="24"/>
        </w:rPr>
      </w:pPr>
    </w:p>
    <w:p w14:paraId="5280D30A" w14:textId="77777777"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Elaborating</w:t>
      </w:r>
    </w:p>
    <w:p w14:paraId="62C2593F" w14:textId="3D799B51"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Elaborating refers to activities in which actors learn from each other and offer a detailed explanation of their works. In the middle stage of the project, actors may have produced some unique work that may indicate complex insights that is hard for others to understand. By explaining these project works, other actors are given the information to help understand these insights and the expertise needed to produce them. This in turn helps with expertise accumulation, thereby helping to enact their knowledge and how to develop these skills.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enable such enactment of knowledge by providing actors with the tools to visualise their insights in a digital form that is easier to understand. As one interviewee notes: </w:t>
      </w:r>
    </w:p>
    <w:p w14:paraId="2EF7AF54" w14:textId="74DC5332"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“I created </w:t>
      </w:r>
      <w:r w:rsidRPr="00F153F6">
        <w:rPr>
          <w:rFonts w:ascii="Times New Roman" w:hAnsi="Times New Roman" w:cs="Times New Roman"/>
          <w:sz w:val="24"/>
          <w:szCs w:val="24"/>
        </w:rPr>
        <w:t>[this website]</w:t>
      </w:r>
      <w:r w:rsidRPr="00F153F6">
        <w:rPr>
          <w:rFonts w:ascii="Times New Roman" w:hAnsi="Times New Roman" w:cs="Times New Roman"/>
          <w:i/>
          <w:iCs/>
          <w:sz w:val="24"/>
          <w:szCs w:val="24"/>
        </w:rPr>
        <w:t xml:space="preserve"> because the university asked me to, and more specifically, the university asked me to show all pieces of information about the project in an article structure. And the main important thing is, how are they connected to each other. </w:t>
      </w:r>
      <w:r w:rsidR="00406033" w:rsidRPr="00F153F6">
        <w:rPr>
          <w:rFonts w:ascii="Times New Roman" w:hAnsi="Times New Roman" w:cs="Times New Roman"/>
          <w:i/>
          <w:iCs/>
          <w:sz w:val="24"/>
          <w:szCs w:val="24"/>
        </w:rPr>
        <w:t>Because</w:t>
      </w:r>
      <w:r w:rsidRPr="00F153F6">
        <w:rPr>
          <w:rFonts w:ascii="Times New Roman" w:hAnsi="Times New Roman" w:cs="Times New Roman"/>
          <w:i/>
          <w:iCs/>
          <w:sz w:val="24"/>
          <w:szCs w:val="24"/>
        </w:rPr>
        <w:t xml:space="preserve"> it’s a woven structure in a kind of network. And the challenges to create this is in the beginning, there are only small, connected groups and projects. And then we used a force field, implementation. </w:t>
      </w:r>
      <w:r w:rsidR="00406033" w:rsidRPr="00F153F6">
        <w:rPr>
          <w:rFonts w:ascii="Times New Roman" w:hAnsi="Times New Roman" w:cs="Times New Roman"/>
          <w:i/>
          <w:iCs/>
          <w:sz w:val="24"/>
          <w:szCs w:val="24"/>
        </w:rPr>
        <w:t>So,</w:t>
      </w:r>
      <w:r w:rsidRPr="00F153F6">
        <w:rPr>
          <w:rFonts w:ascii="Times New Roman" w:hAnsi="Times New Roman" w:cs="Times New Roman"/>
          <w:i/>
          <w:iCs/>
          <w:sz w:val="24"/>
          <w:szCs w:val="24"/>
        </w:rPr>
        <w:t xml:space="preserve"> in every </w:t>
      </w:r>
      <w:r w:rsidR="00406033" w:rsidRPr="00F153F6">
        <w:rPr>
          <w:rFonts w:ascii="Times New Roman" w:hAnsi="Times New Roman" w:cs="Times New Roman"/>
          <w:i/>
          <w:iCs/>
          <w:sz w:val="24"/>
          <w:szCs w:val="24"/>
        </w:rPr>
        <w:t>dot</w:t>
      </w:r>
      <w:r w:rsidRPr="00F153F6">
        <w:rPr>
          <w:rFonts w:ascii="Times New Roman" w:hAnsi="Times New Roman" w:cs="Times New Roman"/>
          <w:i/>
          <w:iCs/>
          <w:sz w:val="24"/>
          <w:szCs w:val="24"/>
        </w:rPr>
        <w:t xml:space="preserve"> we have power and will push all this away. But when it </w:t>
      </w:r>
      <w:r w:rsidR="00406033" w:rsidRPr="00F153F6">
        <w:rPr>
          <w:rFonts w:ascii="Times New Roman" w:hAnsi="Times New Roman" w:cs="Times New Roman"/>
          <w:i/>
          <w:iCs/>
          <w:sz w:val="24"/>
          <w:szCs w:val="24"/>
        </w:rPr>
        <w:t>starts</w:t>
      </w:r>
      <w:r w:rsidRPr="00F153F6">
        <w:rPr>
          <w:rFonts w:ascii="Times New Roman" w:hAnsi="Times New Roman" w:cs="Times New Roman"/>
          <w:i/>
          <w:iCs/>
          <w:sz w:val="24"/>
          <w:szCs w:val="24"/>
        </w:rPr>
        <w:t xml:space="preserve"> becoming a lot of notes, it was not clear anymore or everything is not clearly connected. </w:t>
      </w:r>
      <w:r w:rsidR="00406033" w:rsidRPr="00F153F6">
        <w:rPr>
          <w:rFonts w:ascii="Times New Roman" w:hAnsi="Times New Roman" w:cs="Times New Roman"/>
          <w:i/>
          <w:iCs/>
          <w:sz w:val="24"/>
          <w:szCs w:val="24"/>
        </w:rPr>
        <w:t>So,</w:t>
      </w:r>
      <w:r w:rsidRPr="00F153F6">
        <w:rPr>
          <w:rFonts w:ascii="Times New Roman" w:hAnsi="Times New Roman" w:cs="Times New Roman"/>
          <w:i/>
          <w:iCs/>
          <w:sz w:val="24"/>
          <w:szCs w:val="24"/>
        </w:rPr>
        <w:t xml:space="preserve"> then we evolved this structure to more coloured dots where the yellow, the green, and the black ones, the initiatives, the events, and the tools have a fixed place, and the others are in power. The main goal that it was created for is to provide the information and overview visualization to the researchers.” (Project B2, Participant 3, Para. 28)</w:t>
      </w:r>
    </w:p>
    <w:p w14:paraId="6F0DFFC1" w14:textId="03A09FDE"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lastRenderedPageBreak/>
        <w:t>Actors in the project have their own allocated tasks, which in this case is to create a website as a means to demonstrate project information for some target audience (</w:t>
      </w:r>
      <w:r w:rsidR="00406033" w:rsidRPr="00F153F6">
        <w:rPr>
          <w:rFonts w:ascii="Times New Roman" w:hAnsi="Times New Roman" w:cs="Times New Roman"/>
          <w:sz w:val="24"/>
          <w:szCs w:val="24"/>
        </w:rPr>
        <w:t>e.g.,</w:t>
      </w:r>
      <w:r w:rsidRPr="00F153F6">
        <w:rPr>
          <w:rFonts w:ascii="Times New Roman" w:hAnsi="Times New Roman" w:cs="Times New Roman"/>
          <w:sz w:val="24"/>
          <w:szCs w:val="24"/>
        </w:rPr>
        <w:t xml:space="preserve"> researchers in this case). Such a website </w:t>
      </w:r>
      <w:r w:rsidR="00CE44B8" w:rsidRPr="00F153F6">
        <w:rPr>
          <w:rFonts w:ascii="Times New Roman" w:hAnsi="Times New Roman" w:cs="Times New Roman"/>
          <w:sz w:val="24"/>
          <w:szCs w:val="24"/>
        </w:rPr>
        <w:t>affords</w:t>
      </w:r>
      <w:r w:rsidRPr="00F153F6">
        <w:rPr>
          <w:rFonts w:ascii="Times New Roman" w:hAnsi="Times New Roman" w:cs="Times New Roman"/>
          <w:sz w:val="24"/>
          <w:szCs w:val="24"/>
        </w:rPr>
        <w:t xml:space="preserve"> actors to be able to visualise project concepts, ideas, or activities with distinct colours or icons, which greatly facilitates the audiences’ understandings. Via this medium, actors are able to share their insights accumulating knowledgeability from this project. The website is also developing as the project progresses. In the project’s middle stage, the visualised information becomes much more detailed on the website and the structure is evolving to facilitate the dissemination of information. This indicates the use of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are also evolving in ICT-based IOKE practice. </w:t>
      </w:r>
    </w:p>
    <w:p w14:paraId="071991F1" w14:textId="77777777" w:rsidR="0015201A" w:rsidRPr="00F153F6" w:rsidRDefault="0015201A" w:rsidP="004424B4">
      <w:pPr>
        <w:spacing w:line="360" w:lineRule="auto"/>
        <w:jc w:val="both"/>
        <w:rPr>
          <w:rFonts w:ascii="Times New Roman" w:hAnsi="Times New Roman" w:cs="Times New Roman"/>
          <w:sz w:val="24"/>
          <w:szCs w:val="24"/>
        </w:rPr>
      </w:pPr>
    </w:p>
    <w:p w14:paraId="5DCA1A62" w14:textId="5B0CCE14"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However,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not always be suitable in supporting actors to conduct elaborating activity, and the different uses of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also constrain actors’ communication continuity ability as actors enact their expertise accumulating knowledgeability. As one interviewee note’:</w:t>
      </w:r>
    </w:p>
    <w:p w14:paraId="4E17B8E3" w14:textId="44BDBA6E"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w:t>
      </w:r>
      <w:bookmarkStart w:id="577" w:name="OLE_LINK909"/>
      <w:bookmarkStart w:id="578" w:name="OLE_LINK910"/>
      <w:r w:rsidRPr="00F153F6">
        <w:rPr>
          <w:rFonts w:ascii="Times New Roman" w:hAnsi="Times New Roman" w:cs="Times New Roman"/>
          <w:i/>
          <w:iCs/>
          <w:sz w:val="24"/>
          <w:szCs w:val="24"/>
        </w:rPr>
        <w:t>It’s easier to understand what people say in the real</w:t>
      </w:r>
      <w:r w:rsidR="00406033" w:rsidRPr="00F153F6">
        <w:rPr>
          <w:rFonts w:ascii="Times New Roman" w:hAnsi="Times New Roman" w:cs="Times New Roman"/>
          <w:i/>
          <w:iCs/>
          <w:sz w:val="24"/>
          <w:szCs w:val="24"/>
        </w:rPr>
        <w:t xml:space="preserve"> setting</w:t>
      </w:r>
      <w:r w:rsidRPr="00F153F6">
        <w:rPr>
          <w:rFonts w:ascii="Times New Roman" w:hAnsi="Times New Roman" w:cs="Times New Roman"/>
          <w:i/>
          <w:iCs/>
          <w:sz w:val="24"/>
          <w:szCs w:val="24"/>
        </w:rPr>
        <w:t xml:space="preserve">... because people usually have video off in online meetings when they talk, so there are usually someone interrupting, and internet connection </w:t>
      </w:r>
      <w:r w:rsidRPr="00F153F6">
        <w:rPr>
          <w:rFonts w:ascii="Times New Roman" w:hAnsi="Times New Roman" w:cs="Times New Roman"/>
          <w:sz w:val="24"/>
          <w:szCs w:val="24"/>
        </w:rPr>
        <w:t>[may interrupt]</w:t>
      </w:r>
      <w:r w:rsidRPr="00F153F6">
        <w:rPr>
          <w:rFonts w:ascii="Times New Roman" w:hAnsi="Times New Roman" w:cs="Times New Roman"/>
          <w:i/>
          <w:iCs/>
          <w:sz w:val="24"/>
          <w:szCs w:val="24"/>
        </w:rPr>
        <w:t xml:space="preserve"> as well, and this leads to confusion </w:t>
      </w:r>
      <w:r w:rsidR="00406033" w:rsidRPr="00F153F6">
        <w:rPr>
          <w:rFonts w:ascii="Times New Roman" w:hAnsi="Times New Roman" w:cs="Times New Roman"/>
          <w:i/>
          <w:iCs/>
          <w:sz w:val="24"/>
          <w:szCs w:val="24"/>
        </w:rPr>
        <w:t>sometimes</w:t>
      </w:r>
      <w:r w:rsidRPr="00F153F6">
        <w:rPr>
          <w:rFonts w:ascii="Times New Roman" w:hAnsi="Times New Roman" w:cs="Times New Roman"/>
          <w:i/>
          <w:iCs/>
          <w:sz w:val="24"/>
          <w:szCs w:val="24"/>
        </w:rPr>
        <w:t xml:space="preserve">. </w:t>
      </w:r>
      <w:r w:rsidR="00406033" w:rsidRPr="00F153F6">
        <w:rPr>
          <w:rFonts w:ascii="Times New Roman" w:hAnsi="Times New Roman" w:cs="Times New Roman"/>
          <w:i/>
          <w:iCs/>
          <w:sz w:val="24"/>
          <w:szCs w:val="24"/>
        </w:rPr>
        <w:t>So,</w:t>
      </w:r>
      <w:r w:rsidRPr="00F153F6">
        <w:rPr>
          <w:rFonts w:ascii="Times New Roman" w:hAnsi="Times New Roman" w:cs="Times New Roman"/>
          <w:i/>
          <w:iCs/>
          <w:sz w:val="24"/>
          <w:szCs w:val="24"/>
        </w:rPr>
        <w:t xml:space="preserve"> it’s easier to let each other speak their whole sentence without interruptions in real meeting</w:t>
      </w:r>
      <w:bookmarkEnd w:id="577"/>
      <w:bookmarkEnd w:id="578"/>
      <w:r w:rsidRPr="00F153F6">
        <w:rPr>
          <w:rFonts w:ascii="Times New Roman" w:hAnsi="Times New Roman" w:cs="Times New Roman"/>
          <w:i/>
          <w:iCs/>
          <w:sz w:val="24"/>
          <w:szCs w:val="24"/>
        </w:rPr>
        <w:t>.” (Project B2, Participant 3, Para. 78)</w:t>
      </w:r>
    </w:p>
    <w:p w14:paraId="7F1CC73C" w14:textId="77777777"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Technological infrastructure may be not stable all the time and different people may use the technology differently. These environmental factors and personal preferences may lead to interruptions when actors are explaining their project work, as indicated by participant 3 from project B2. As a result, any explanation be given of the project may be interrupted, and actors would be unable to maintain learning in this situation. </w:t>
      </w:r>
    </w:p>
    <w:p w14:paraId="0E1442C9" w14:textId="77777777" w:rsidR="0015201A" w:rsidRPr="00F153F6" w:rsidRDefault="0015201A" w:rsidP="004424B4">
      <w:pPr>
        <w:spacing w:line="360" w:lineRule="auto"/>
        <w:jc w:val="both"/>
        <w:rPr>
          <w:rFonts w:ascii="Times New Roman" w:hAnsi="Times New Roman" w:cs="Times New Roman"/>
          <w:sz w:val="24"/>
          <w:szCs w:val="24"/>
        </w:rPr>
      </w:pPr>
    </w:p>
    <w:p w14:paraId="3A52C168" w14:textId="77777777" w:rsidR="0015201A" w:rsidRPr="00F153F6" w:rsidRDefault="0015201A" w:rsidP="004424B4">
      <w:pPr>
        <w:spacing w:line="360" w:lineRule="auto"/>
        <w:jc w:val="both"/>
        <w:rPr>
          <w:rFonts w:ascii="Times New Roman" w:hAnsi="Times New Roman" w:cs="Times New Roman"/>
          <w:b/>
          <w:bCs/>
          <w:sz w:val="24"/>
          <w:szCs w:val="24"/>
        </w:rPr>
      </w:pPr>
      <w:bookmarkStart w:id="579" w:name="OLE_LINK1000"/>
      <w:bookmarkStart w:id="580" w:name="OLE_LINK1001"/>
      <w:r w:rsidRPr="00F153F6">
        <w:rPr>
          <w:rFonts w:ascii="Times New Roman" w:hAnsi="Times New Roman" w:cs="Times New Roman"/>
          <w:b/>
          <w:bCs/>
          <w:sz w:val="24"/>
          <w:szCs w:val="24"/>
        </w:rPr>
        <w:t>Sharing</w:t>
      </w:r>
    </w:p>
    <w:p w14:paraId="0EDCA7C6" w14:textId="6FC75279"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Sharing refers to the activity through which actors learn from each other as they share their insights and expertise. At the middle project’s stage, sharing activities entail actors sharing information or expertise with each other and so accumulation of expertise for the project. With the enactment of expertise accumulating knowledgeability, actors are able to translate each </w:t>
      </w:r>
      <w:r w:rsidRPr="00F153F6">
        <w:rPr>
          <w:rFonts w:ascii="Times New Roman" w:hAnsi="Times New Roman" w:cs="Times New Roman"/>
          <w:sz w:val="24"/>
          <w:szCs w:val="24"/>
        </w:rPr>
        <w:lastRenderedPageBreak/>
        <w:t xml:space="preserve">other’s insights, and increase their own understanding and develop their own skills.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 facilitate in this by providing actors customising ability. As one interviewee notes:</w:t>
      </w:r>
    </w:p>
    <w:p w14:paraId="7097D8C4" w14:textId="52E90960"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w:t>
      </w:r>
      <w:bookmarkStart w:id="581" w:name="OLE_LINK956"/>
      <w:bookmarkStart w:id="582" w:name="OLE_LINK957"/>
      <w:r w:rsidRPr="00F153F6">
        <w:rPr>
          <w:rFonts w:ascii="Times New Roman" w:hAnsi="Times New Roman" w:cs="Times New Roman"/>
          <w:i/>
          <w:iCs/>
          <w:sz w:val="24"/>
          <w:szCs w:val="24"/>
        </w:rPr>
        <w:t xml:space="preserve">We knew that it was a bit risky to work with a kind of Miro board in this case, because often artists are quite allergic to like this kind of workshop setups. They want to operate very autonomously and so on. So forcing them in a structure is not always working. Well, we try to pay very much attention to </w:t>
      </w:r>
      <w:r w:rsidR="005A3DC1" w:rsidRPr="00F153F6">
        <w:rPr>
          <w:rFonts w:ascii="Times New Roman" w:hAnsi="Times New Roman" w:cs="Times New Roman"/>
          <w:i/>
          <w:iCs/>
          <w:sz w:val="24"/>
          <w:szCs w:val="24"/>
        </w:rPr>
        <w:t>that</w:t>
      </w:r>
      <w:r w:rsidRPr="00F153F6">
        <w:rPr>
          <w:rFonts w:ascii="Times New Roman" w:hAnsi="Times New Roman" w:cs="Times New Roman"/>
          <w:i/>
          <w:iCs/>
          <w:sz w:val="24"/>
          <w:szCs w:val="24"/>
        </w:rPr>
        <w:t xml:space="preserve">. So that’s why we always ask them to use the pod cast. So actually, they could tell and share their story in their own ways, in their own contexts as so they could share their stories about their artwork.” </w:t>
      </w:r>
      <w:bookmarkStart w:id="583" w:name="OLE_LINK913"/>
      <w:bookmarkStart w:id="584" w:name="OLE_LINK914"/>
      <w:r w:rsidRPr="00F153F6">
        <w:rPr>
          <w:rFonts w:ascii="Times New Roman" w:hAnsi="Times New Roman" w:cs="Times New Roman"/>
          <w:i/>
          <w:iCs/>
          <w:sz w:val="24"/>
          <w:szCs w:val="24"/>
        </w:rPr>
        <w:t>(Project B2, Participant 2, Para. 20</w:t>
      </w:r>
      <w:bookmarkEnd w:id="581"/>
      <w:bookmarkEnd w:id="582"/>
      <w:r w:rsidRPr="00F153F6">
        <w:rPr>
          <w:rFonts w:ascii="Times New Roman" w:hAnsi="Times New Roman" w:cs="Times New Roman"/>
          <w:i/>
          <w:iCs/>
          <w:sz w:val="24"/>
          <w:szCs w:val="24"/>
        </w:rPr>
        <w:t>)</w:t>
      </w:r>
      <w:bookmarkEnd w:id="583"/>
      <w:bookmarkEnd w:id="584"/>
    </w:p>
    <w:p w14:paraId="0C63DC6E" w14:textId="77777777"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In the above exampl</w:t>
      </w:r>
      <w:bookmarkEnd w:id="579"/>
      <w:bookmarkEnd w:id="580"/>
      <w:r w:rsidRPr="00F153F6">
        <w:rPr>
          <w:rFonts w:ascii="Times New Roman" w:hAnsi="Times New Roman" w:cs="Times New Roman"/>
          <w:sz w:val="24"/>
          <w:szCs w:val="24"/>
        </w:rPr>
        <w:t xml:space="preserve">e, actors, for example artists may have diverse stories which are recognised as valuable expertise for the project. However, actors may have their own concerns that can inhibit their intentions to share their insights. Actors are not forced to provide expertise through a structured procedure which reveals a respectful and flexible workplace climate. This indicates a great strength of inter-organisational contextual factors on ICT-based IOKE practice. Instead of using structured ICT tools such as Miro that may cause stress, actors instead use podcasts to share their expertise. Podcast in the above example allow actors to customise their insights in a form that they feel comfortable with, which mitigates their concerns on sharing and allows the project team to develop their understanding towards these insights. Accordingly, their understanding of how to develop skills is accomplished in these sharing activities. </w:t>
      </w:r>
    </w:p>
    <w:p w14:paraId="6E0C19F0" w14:textId="77777777" w:rsidR="0015201A" w:rsidRPr="00F153F6" w:rsidRDefault="0015201A" w:rsidP="004424B4">
      <w:pPr>
        <w:spacing w:line="360" w:lineRule="auto"/>
        <w:jc w:val="both"/>
        <w:rPr>
          <w:rFonts w:ascii="Times New Roman" w:hAnsi="Times New Roman" w:cs="Times New Roman"/>
          <w:sz w:val="24"/>
          <w:szCs w:val="24"/>
        </w:rPr>
      </w:pPr>
    </w:p>
    <w:p w14:paraId="38A78226" w14:textId="2DD96E3F"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However,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sometimes do not allow sharing of distinct types of content such as a specific apps due to the fixed nature of its materiality. This may constrain actors’ immediate transforming ability in sharing activities. As one interviewee notes:</w:t>
      </w:r>
    </w:p>
    <w:p w14:paraId="553CC589" w14:textId="6D35EAAC"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“We’re trying to share as much as possible, mainly the documents on SharePoint when we have intensive discussion in our virtual meetings such as the main appointments we make in the meetings, and we also share photos online. In addition, we share documents, for example, the application form… However, as we share too many types of documents, they cannot be transformed for sharing immediately. What you see is that, for example, we are developing an Ap’. You can’t share it on </w:t>
      </w:r>
      <w:r w:rsidR="005A3DC1" w:rsidRPr="00F153F6">
        <w:rPr>
          <w:rFonts w:ascii="Times New Roman" w:hAnsi="Times New Roman" w:cs="Times New Roman"/>
          <w:i/>
          <w:iCs/>
          <w:sz w:val="24"/>
          <w:szCs w:val="24"/>
        </w:rPr>
        <w:t>SharePoint</w:t>
      </w:r>
      <w:r w:rsidRPr="00F153F6">
        <w:rPr>
          <w:rFonts w:ascii="Times New Roman" w:hAnsi="Times New Roman" w:cs="Times New Roman"/>
          <w:i/>
          <w:iCs/>
          <w:sz w:val="24"/>
          <w:szCs w:val="24"/>
        </w:rPr>
        <w:t xml:space="preserve">. That’s difficult to share itself. There are two partners working on that App. And they are working together so they can share their information between them on the app but not </w:t>
      </w:r>
      <w:r w:rsidRPr="00F153F6">
        <w:rPr>
          <w:rFonts w:ascii="Times New Roman" w:hAnsi="Times New Roman" w:cs="Times New Roman"/>
          <w:i/>
          <w:iCs/>
          <w:sz w:val="24"/>
          <w:szCs w:val="24"/>
        </w:rPr>
        <w:lastRenderedPageBreak/>
        <w:t xml:space="preserve">by the other partners nor by SharePoint. Although they would like to respond to our questions, but it’s hard, because we don’t know what they are referring to when they discuss about that app. </w:t>
      </w:r>
      <w:r w:rsidR="005A3DC1" w:rsidRPr="00F153F6">
        <w:rPr>
          <w:rFonts w:ascii="Times New Roman" w:hAnsi="Times New Roman" w:cs="Times New Roman"/>
          <w:i/>
          <w:iCs/>
          <w:sz w:val="24"/>
          <w:szCs w:val="24"/>
        </w:rPr>
        <w:t>So,</w:t>
      </w:r>
      <w:r w:rsidRPr="00F153F6">
        <w:rPr>
          <w:rFonts w:ascii="Times New Roman" w:hAnsi="Times New Roman" w:cs="Times New Roman"/>
          <w:i/>
          <w:iCs/>
          <w:sz w:val="24"/>
          <w:szCs w:val="24"/>
        </w:rPr>
        <w:t xml:space="preserve"> we are just disengage and wait for them there.” (Project B1, Participant 1, Para. 96)</w:t>
      </w:r>
    </w:p>
    <w:p w14:paraId="177301F9" w14:textId="77777777"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The use of SharePoint allows actors to share a diverse range of work materials with each other. However, since actors in the project possess different expertise, sometimes there are distinct forms of materials that require immediate transformation into an understandable form that every actor can use. The use of SharePoint seems to constrain actors immediate transforming ability when sharing activities preventing actors from understanding the shared information, so actors may have to disengage in from sharing activities.</w:t>
      </w:r>
    </w:p>
    <w:p w14:paraId="321F61D5" w14:textId="77777777" w:rsidR="0015201A" w:rsidRPr="00F153F6" w:rsidRDefault="0015201A" w:rsidP="004424B4">
      <w:pPr>
        <w:spacing w:line="360" w:lineRule="auto"/>
        <w:jc w:val="both"/>
        <w:rPr>
          <w:rFonts w:ascii="Times New Roman" w:hAnsi="Times New Roman" w:cs="Times New Roman"/>
        </w:rPr>
      </w:pPr>
    </w:p>
    <w:p w14:paraId="03A61238" w14:textId="5664F12F" w:rsidR="0015201A" w:rsidRPr="00F153F6" w:rsidRDefault="0015201A" w:rsidP="005A3DC1">
      <w:pPr>
        <w:pStyle w:val="Heading3"/>
        <w:spacing w:line="360" w:lineRule="auto"/>
        <w:ind w:left="720"/>
        <w:jc w:val="both"/>
        <w:rPr>
          <w:rFonts w:ascii="Times New Roman" w:hAnsi="Times New Roman" w:cs="Times New Roman"/>
          <w:b/>
          <w:color w:val="auto"/>
          <w:sz w:val="28"/>
          <w:szCs w:val="28"/>
        </w:rPr>
      </w:pPr>
      <w:bookmarkStart w:id="585" w:name="_Toc118371139"/>
      <w:bookmarkStart w:id="586" w:name="_Toc133252165"/>
      <w:r w:rsidRPr="00F153F6">
        <w:rPr>
          <w:rFonts w:ascii="Times New Roman" w:hAnsi="Times New Roman" w:cs="Times New Roman"/>
          <w:b/>
          <w:color w:val="auto"/>
          <w:sz w:val="28"/>
          <w:szCs w:val="28"/>
        </w:rPr>
        <w:t xml:space="preserve">4.3.3. Collaborative Problem Solving and </w:t>
      </w:r>
      <w:r w:rsidR="00FA6038" w:rsidRPr="00F153F6">
        <w:rPr>
          <w:rFonts w:ascii="Times New Roman" w:hAnsi="Times New Roman" w:cs="Times New Roman"/>
          <w:b/>
          <w:color w:val="auto"/>
          <w:sz w:val="28"/>
          <w:szCs w:val="28"/>
        </w:rPr>
        <w:t>ICT</w:t>
      </w:r>
      <w:bookmarkEnd w:id="585"/>
      <w:bookmarkEnd w:id="586"/>
    </w:p>
    <w:p w14:paraId="15159AC7" w14:textId="45471220"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Collaborative problem solving refers to a knowledgeability through which actors support each other with new ideas to solve emerging problems and propose better solutions. In doing so, actors are better able to develop understanding of how to innovate collectively. There are two primary activities that comprise collaborative problem solving in the middle stages of projects: Co-designing; and Group Discussing.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facilitate such collaborative problem-solving by </w:t>
      </w:r>
      <w:r w:rsidR="00CE44B8" w:rsidRPr="00F153F6">
        <w:rPr>
          <w:rFonts w:ascii="Times New Roman" w:hAnsi="Times New Roman" w:cs="Times New Roman"/>
          <w:sz w:val="24"/>
          <w:szCs w:val="24"/>
        </w:rPr>
        <w:t>affording</w:t>
      </w:r>
      <w:r w:rsidRPr="00F153F6">
        <w:rPr>
          <w:rFonts w:ascii="Times New Roman" w:hAnsi="Times New Roman" w:cs="Times New Roman"/>
          <w:sz w:val="24"/>
          <w:szCs w:val="24"/>
        </w:rPr>
        <w:t xml:space="preserve"> actors sticking, cross-referencing, and instant workaround </w:t>
      </w:r>
      <w:r w:rsidR="00406033" w:rsidRPr="00F153F6">
        <w:rPr>
          <w:rFonts w:ascii="Times New Roman" w:hAnsi="Times New Roman" w:cs="Times New Roman"/>
          <w:sz w:val="24"/>
          <w:szCs w:val="24"/>
        </w:rPr>
        <w:t>abilities, however</w:t>
      </w:r>
      <w:r w:rsidRPr="00F153F6">
        <w:rPr>
          <w:rFonts w:ascii="Times New Roman" w:hAnsi="Times New Roman" w:cs="Times New Roman"/>
          <w:sz w:val="24"/>
          <w:szCs w:val="24"/>
        </w:rPr>
        <w:t xml:space="preserve">, it may also constrain </w:t>
      </w:r>
      <w:r w:rsidR="006A6C81" w:rsidRPr="00F153F6">
        <w:rPr>
          <w:rFonts w:ascii="Times New Roman" w:hAnsi="Times New Roman" w:cs="Times New Roman"/>
          <w:sz w:val="24"/>
          <w:szCs w:val="24"/>
        </w:rPr>
        <w:t>actors’</w:t>
      </w:r>
      <w:r w:rsidRPr="00F153F6">
        <w:rPr>
          <w:rFonts w:ascii="Times New Roman" w:hAnsi="Times New Roman" w:cs="Times New Roman"/>
          <w:sz w:val="24"/>
          <w:szCs w:val="24"/>
        </w:rPr>
        <w:t xml:space="preserve"> ability to be humorous when performing collaborative problem-solving knowledgeability. Table 4.10 provide a summary of knowing in practice, relevant activities and their explanations in co-creating knowledgeability.</w:t>
      </w:r>
    </w:p>
    <w:p w14:paraId="78DF931D" w14:textId="77777777" w:rsidR="0015201A" w:rsidRPr="00F153F6" w:rsidRDefault="0015201A" w:rsidP="004424B4">
      <w:pPr>
        <w:spacing w:line="360" w:lineRule="auto"/>
        <w:jc w:val="both"/>
        <w:rPr>
          <w:rFonts w:ascii="Times New Roman" w:hAnsi="Times New Roman" w:cs="Times New Roman"/>
        </w:rPr>
      </w:pPr>
    </w:p>
    <w:p w14:paraId="0AEF4559" w14:textId="447B1D81" w:rsidR="007148BA" w:rsidRPr="00F153F6" w:rsidRDefault="007148BA" w:rsidP="007148BA">
      <w:pPr>
        <w:pStyle w:val="Caption"/>
        <w:keepNext/>
        <w:rPr>
          <w:rFonts w:ascii="Times New Roman" w:hAnsi="Times New Roman" w:cs="Times New Roman"/>
          <w:i w:val="0"/>
          <w:iCs w:val="0"/>
          <w:color w:val="auto"/>
          <w:sz w:val="22"/>
          <w:szCs w:val="22"/>
        </w:rPr>
      </w:pPr>
      <w:bookmarkStart w:id="587" w:name="_Toc119448044"/>
      <w:r w:rsidRPr="00F153F6">
        <w:rPr>
          <w:rFonts w:ascii="Times New Roman" w:hAnsi="Times New Roman" w:cs="Times New Roman"/>
          <w:i w:val="0"/>
          <w:iCs w:val="0"/>
          <w:color w:val="auto"/>
          <w:sz w:val="22"/>
          <w:szCs w:val="22"/>
        </w:rPr>
        <w:t xml:space="preserve">Table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Table_4.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10</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Summary of activities and explanations in co-creating </w:t>
      </w:r>
      <w:bookmarkEnd w:id="587"/>
      <w:r w:rsidR="005A3DC1" w:rsidRPr="00F153F6">
        <w:rPr>
          <w:rFonts w:ascii="Times New Roman" w:hAnsi="Times New Roman" w:cs="Times New Roman"/>
          <w:i w:val="0"/>
          <w:iCs w:val="0"/>
          <w:color w:val="auto"/>
          <w:sz w:val="22"/>
          <w:szCs w:val="22"/>
        </w:rPr>
        <w:t>knowledgeability.</w:t>
      </w:r>
    </w:p>
    <w:tbl>
      <w:tblPr>
        <w:tblStyle w:val="PlainTable5"/>
        <w:tblW w:w="9067" w:type="dxa"/>
        <w:tblLook w:val="04A0" w:firstRow="1" w:lastRow="0" w:firstColumn="1" w:lastColumn="0" w:noHBand="0" w:noVBand="1"/>
      </w:tblPr>
      <w:tblGrid>
        <w:gridCol w:w="2552"/>
        <w:gridCol w:w="2263"/>
        <w:gridCol w:w="4252"/>
      </w:tblGrid>
      <w:tr w:rsidR="005549E4" w:rsidRPr="00F153F6" w14:paraId="43887A2D" w14:textId="77777777" w:rsidTr="004314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shd w:val="clear" w:color="auto" w:fill="auto"/>
          </w:tcPr>
          <w:p w14:paraId="6F4CB453" w14:textId="77777777" w:rsidR="0015201A" w:rsidRPr="00F153F6" w:rsidRDefault="0015201A" w:rsidP="004424B4">
            <w:pPr>
              <w:spacing w:line="360" w:lineRule="auto"/>
              <w:jc w:val="both"/>
              <w:rPr>
                <w:rFonts w:ascii="Times New Roman" w:hAnsi="Times New Roman" w:cs="Times New Roman"/>
                <w:b/>
                <w:bCs/>
                <w:sz w:val="22"/>
              </w:rPr>
            </w:pPr>
            <w:r w:rsidRPr="00F153F6">
              <w:rPr>
                <w:rFonts w:ascii="Times New Roman" w:hAnsi="Times New Roman" w:cs="Times New Roman"/>
                <w:b/>
                <w:bCs/>
                <w:sz w:val="22"/>
              </w:rPr>
              <w:t>Knowledgeability</w:t>
            </w:r>
          </w:p>
        </w:tc>
        <w:tc>
          <w:tcPr>
            <w:tcW w:w="2263" w:type="dxa"/>
            <w:shd w:val="clear" w:color="auto" w:fill="auto"/>
          </w:tcPr>
          <w:p w14:paraId="6CAED51A"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Activities</w:t>
            </w:r>
          </w:p>
        </w:tc>
        <w:tc>
          <w:tcPr>
            <w:tcW w:w="4252" w:type="dxa"/>
            <w:shd w:val="clear" w:color="auto" w:fill="auto"/>
          </w:tcPr>
          <w:p w14:paraId="0A323784"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Explanations</w:t>
            </w:r>
          </w:p>
        </w:tc>
      </w:tr>
      <w:tr w:rsidR="005549E4" w:rsidRPr="00F153F6" w14:paraId="5D9380B6" w14:textId="77777777" w:rsidTr="004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shd w:val="clear" w:color="auto" w:fill="auto"/>
          </w:tcPr>
          <w:p w14:paraId="65C3E52A" w14:textId="77777777" w:rsidR="0015201A" w:rsidRPr="00F153F6" w:rsidRDefault="0015201A" w:rsidP="004424B4">
            <w:pPr>
              <w:spacing w:line="360" w:lineRule="auto"/>
              <w:jc w:val="both"/>
              <w:rPr>
                <w:rFonts w:ascii="Times New Roman" w:hAnsi="Times New Roman" w:cs="Times New Roman"/>
                <w:i w:val="0"/>
                <w:iCs w:val="0"/>
                <w:sz w:val="22"/>
              </w:rPr>
            </w:pPr>
            <w:r w:rsidRPr="00F153F6">
              <w:rPr>
                <w:rFonts w:ascii="Times New Roman" w:hAnsi="Times New Roman" w:cs="Times New Roman"/>
                <w:sz w:val="22"/>
              </w:rPr>
              <w:t>Collaborative Problem Solving</w:t>
            </w:r>
          </w:p>
          <w:p w14:paraId="273B6DC7" w14:textId="77777777" w:rsidR="0015201A" w:rsidRPr="00F153F6" w:rsidRDefault="0015201A" w:rsidP="004424B4">
            <w:pPr>
              <w:spacing w:line="360" w:lineRule="auto"/>
              <w:jc w:val="both"/>
              <w:rPr>
                <w:rFonts w:ascii="Times New Roman" w:hAnsi="Times New Roman" w:cs="Times New Roman"/>
                <w:i w:val="0"/>
                <w:iCs w:val="0"/>
                <w:sz w:val="22"/>
              </w:rPr>
            </w:pPr>
          </w:p>
          <w:p w14:paraId="2DEF25E3" w14:textId="77777777" w:rsidR="0015201A" w:rsidRPr="00F153F6" w:rsidRDefault="0015201A" w:rsidP="004424B4">
            <w:pPr>
              <w:spacing w:line="360" w:lineRule="auto"/>
              <w:jc w:val="both"/>
              <w:rPr>
                <w:rFonts w:ascii="Times New Roman" w:hAnsi="Times New Roman" w:cs="Times New Roman"/>
                <w:sz w:val="22"/>
              </w:rPr>
            </w:pPr>
            <w:r w:rsidRPr="00F153F6">
              <w:rPr>
                <w:rFonts w:ascii="Times New Roman" w:hAnsi="Times New Roman" w:cs="Times New Roman"/>
                <w:sz w:val="22"/>
              </w:rPr>
              <w:t>Explanation: Knowing how to innovate</w:t>
            </w:r>
          </w:p>
        </w:tc>
        <w:tc>
          <w:tcPr>
            <w:tcW w:w="2263" w:type="dxa"/>
            <w:shd w:val="clear" w:color="auto" w:fill="auto"/>
          </w:tcPr>
          <w:p w14:paraId="4A8D50F4"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Co-designing</w:t>
            </w:r>
          </w:p>
        </w:tc>
        <w:tc>
          <w:tcPr>
            <w:tcW w:w="4252" w:type="dxa"/>
            <w:shd w:val="clear" w:color="auto" w:fill="auto"/>
          </w:tcPr>
          <w:p w14:paraId="2A67722A"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 xml:space="preserve">Actors </w:t>
            </w:r>
            <w:bookmarkStart w:id="588" w:name="OLE_LINK921"/>
            <w:bookmarkStart w:id="589" w:name="OLE_LINK922"/>
            <w:r w:rsidRPr="00F153F6">
              <w:rPr>
                <w:rFonts w:ascii="Times New Roman" w:hAnsi="Times New Roman" w:cs="Times New Roman"/>
              </w:rPr>
              <w:t xml:space="preserve">encourage each other to generate new ideas that can inform new product or service design. </w:t>
            </w:r>
            <w:bookmarkEnd w:id="588"/>
            <w:bookmarkEnd w:id="589"/>
          </w:p>
        </w:tc>
      </w:tr>
      <w:tr w:rsidR="005549E4" w:rsidRPr="00F153F6" w14:paraId="19A00702" w14:textId="77777777" w:rsidTr="004314D7">
        <w:tc>
          <w:tcPr>
            <w:cnfStyle w:val="001000000000" w:firstRow="0" w:lastRow="0" w:firstColumn="1" w:lastColumn="0" w:oddVBand="0" w:evenVBand="0" w:oddHBand="0" w:evenHBand="0" w:firstRowFirstColumn="0" w:firstRowLastColumn="0" w:lastRowFirstColumn="0" w:lastRowLastColumn="0"/>
            <w:tcW w:w="2552" w:type="dxa"/>
            <w:vMerge/>
            <w:shd w:val="clear" w:color="auto" w:fill="auto"/>
          </w:tcPr>
          <w:p w14:paraId="7EBD9C95" w14:textId="77777777" w:rsidR="0015201A" w:rsidRPr="00F153F6" w:rsidRDefault="0015201A" w:rsidP="004424B4">
            <w:pPr>
              <w:spacing w:line="360" w:lineRule="auto"/>
              <w:jc w:val="both"/>
              <w:rPr>
                <w:rFonts w:ascii="Times New Roman" w:hAnsi="Times New Roman" w:cs="Times New Roman"/>
                <w:sz w:val="22"/>
              </w:rPr>
            </w:pPr>
          </w:p>
        </w:tc>
        <w:tc>
          <w:tcPr>
            <w:tcW w:w="2263" w:type="dxa"/>
            <w:shd w:val="clear" w:color="auto" w:fill="auto"/>
          </w:tcPr>
          <w:p w14:paraId="4B2CF17F"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Collaborative Writing</w:t>
            </w:r>
          </w:p>
          <w:p w14:paraId="1639683C"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2" w:type="dxa"/>
            <w:shd w:val="clear" w:color="auto" w:fill="auto"/>
          </w:tcPr>
          <w:p w14:paraId="33608A22"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 xml:space="preserve">Actors get intensively engaged together to support each other in the achievement of writing tasks. </w:t>
            </w:r>
          </w:p>
        </w:tc>
      </w:tr>
      <w:tr w:rsidR="005549E4" w:rsidRPr="00F153F6" w14:paraId="1C3070C3" w14:textId="77777777" w:rsidTr="004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2B39843C" w14:textId="77777777" w:rsidR="0015201A" w:rsidRPr="00F153F6" w:rsidRDefault="0015201A" w:rsidP="004424B4">
            <w:pPr>
              <w:spacing w:line="360" w:lineRule="auto"/>
              <w:jc w:val="both"/>
              <w:rPr>
                <w:rFonts w:ascii="Times New Roman" w:hAnsi="Times New Roman" w:cs="Times New Roman"/>
                <w:sz w:val="22"/>
              </w:rPr>
            </w:pPr>
          </w:p>
        </w:tc>
        <w:tc>
          <w:tcPr>
            <w:tcW w:w="2263" w:type="dxa"/>
            <w:shd w:val="clear" w:color="auto" w:fill="auto"/>
          </w:tcPr>
          <w:p w14:paraId="5892C797"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Group Discussing</w:t>
            </w:r>
          </w:p>
        </w:tc>
        <w:tc>
          <w:tcPr>
            <w:tcW w:w="4252" w:type="dxa"/>
            <w:shd w:val="clear" w:color="auto" w:fill="auto"/>
          </w:tcPr>
          <w:p w14:paraId="11FFC4E0"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 xml:space="preserve">Actors </w:t>
            </w:r>
            <w:bookmarkStart w:id="590" w:name="OLE_LINK929"/>
            <w:bookmarkStart w:id="591" w:name="OLE_LINK930"/>
            <w:r w:rsidRPr="00F153F6">
              <w:rPr>
                <w:rFonts w:ascii="Times New Roman" w:hAnsi="Times New Roman" w:cs="Times New Roman"/>
              </w:rPr>
              <w:t>provide opinions on each other’s thoughts to rich discussion about some concepts or topics during group meeting. In the middle stage, the aims of group discussion is that the opinions provided by actors encourage each other to generate new insights or ideas during group discussion</w:t>
            </w:r>
            <w:bookmarkEnd w:id="590"/>
            <w:bookmarkEnd w:id="591"/>
            <w:r w:rsidRPr="00F153F6">
              <w:rPr>
                <w:rFonts w:ascii="Times New Roman" w:hAnsi="Times New Roman" w:cs="Times New Roman"/>
              </w:rPr>
              <w:t>.</w:t>
            </w:r>
          </w:p>
        </w:tc>
      </w:tr>
    </w:tbl>
    <w:p w14:paraId="0962A2D7" w14:textId="77777777" w:rsidR="0015201A" w:rsidRPr="00F153F6" w:rsidRDefault="0015201A" w:rsidP="004424B4">
      <w:pPr>
        <w:spacing w:line="360" w:lineRule="auto"/>
        <w:jc w:val="both"/>
        <w:rPr>
          <w:rFonts w:ascii="Times New Roman" w:hAnsi="Times New Roman" w:cs="Times New Roman"/>
        </w:rPr>
      </w:pPr>
    </w:p>
    <w:p w14:paraId="280DB5D9" w14:textId="77777777"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Co-designing</w:t>
      </w:r>
    </w:p>
    <w:p w14:paraId="50EBD2D2" w14:textId="2CB8ACA4"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Co-designing refers to activities in which actors encourage each other to generate new ideas that can inform new products or service design. In the middle stage of the Living Lab project, the team has usually started involving public or end users into their co-design process where many workshops labelled as co-creation sessions are conducted and co-design tools are adopted. In co-designing activities, diverse actors work around specific concepts, improve and develop these concepts by stimulating each other’s ideas.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used in these activities usually allow actors sticking ability so that they can always work on specific concepts together. As one interviewee notes:</w:t>
      </w:r>
    </w:p>
    <w:p w14:paraId="6340E4DA" w14:textId="59C9C5DE"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“Now we have these Miro boards for our co-designing. In this case it was about the theme of production and economy. We started always with a mapping of the project, so you see a map in more detail. My colleagues can follow me by if clicking on my little circle, then they can see where I am. So here and we start with a map, then some pictures of the projects that are discussed, such as its interesting aspects, confusions, etc. Many innovations related to these pictures comes out from such discussion.” (Project B2, Participant 1, Para. 23)</w:t>
      </w:r>
    </w:p>
    <w:p w14:paraId="4B986998" w14:textId="2705F1CB"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For each workshop there are specific themes such as ‘production and economy’. In the above example, indicates a strong focus on their co-design process. In the project middle stage, there should be some concepts or pictures already worked out and where a focused interaction around these pictures informs new ideas that are generated as innovation outputs. The use of Miro boards can facilitate stimulation of such ideas by </w:t>
      </w:r>
      <w:r w:rsidR="006A6C81" w:rsidRPr="00F153F6">
        <w:rPr>
          <w:rFonts w:ascii="Times New Roman" w:hAnsi="Times New Roman" w:cs="Times New Roman"/>
          <w:sz w:val="24"/>
          <w:szCs w:val="24"/>
        </w:rPr>
        <w:t>affording</w:t>
      </w:r>
      <w:r w:rsidRPr="00F153F6">
        <w:rPr>
          <w:rFonts w:ascii="Times New Roman" w:hAnsi="Times New Roman" w:cs="Times New Roman"/>
          <w:sz w:val="24"/>
          <w:szCs w:val="24"/>
        </w:rPr>
        <w:t xml:space="preserve"> actors sticking function that allows them to always stay with their collaborators and work around specific concepts or pictures together.</w:t>
      </w:r>
    </w:p>
    <w:p w14:paraId="3117DA5D" w14:textId="77777777" w:rsidR="0015201A" w:rsidRPr="00F153F6" w:rsidRDefault="0015201A" w:rsidP="004424B4">
      <w:pPr>
        <w:spacing w:line="360" w:lineRule="auto"/>
        <w:jc w:val="both"/>
        <w:rPr>
          <w:rFonts w:ascii="Times New Roman" w:hAnsi="Times New Roman" w:cs="Times New Roman"/>
          <w:sz w:val="24"/>
          <w:szCs w:val="24"/>
        </w:rPr>
      </w:pPr>
    </w:p>
    <w:p w14:paraId="7B20FC12" w14:textId="77777777"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Collaborative Writing:</w:t>
      </w:r>
    </w:p>
    <w:p w14:paraId="4E85B8D8" w14:textId="43C3E4FF"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Collaborative writing refers to the activity in which actors are intensively engaged together to support each other in the achievement of writing tasks. In the project’s middle stage, collaborative writing entails that actors encourage each other to revise and improve writing outputs.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allow actors to directly comment on each other’s thoughts by offering instant workarounds so that they can improve their work continually. By working together in collaborative writing, actors may ask questions and give feedbacks to each other frequently helping to generate new insights, which allow actors to increase their understanding of how to innovate in the project. As one interviewee note:</w:t>
      </w:r>
    </w:p>
    <w:p w14:paraId="57442889" w14:textId="2437F855"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“The most important is MS Teams, and the channels in MS teams, because we have shared the documents in those channels so we can comment on </w:t>
      </w:r>
      <w:r w:rsidR="00406033" w:rsidRPr="00F153F6">
        <w:rPr>
          <w:rFonts w:ascii="Times New Roman" w:hAnsi="Times New Roman" w:cs="Times New Roman"/>
          <w:i/>
          <w:iCs/>
          <w:sz w:val="24"/>
          <w:szCs w:val="24"/>
        </w:rPr>
        <w:t>each</w:t>
      </w:r>
      <w:r w:rsidRPr="00F153F6">
        <w:rPr>
          <w:rFonts w:ascii="Times New Roman" w:hAnsi="Times New Roman" w:cs="Times New Roman"/>
          <w:i/>
          <w:iCs/>
          <w:sz w:val="24"/>
          <w:szCs w:val="24"/>
        </w:rPr>
        <w:t xml:space="preserve"> other's documents at it through those channels. In this way, we can produce a better version together, so the channels are most important… </w:t>
      </w:r>
      <w:r w:rsidR="00406033" w:rsidRPr="00F153F6">
        <w:rPr>
          <w:rFonts w:ascii="Times New Roman" w:hAnsi="Times New Roman" w:cs="Times New Roman"/>
          <w:i/>
          <w:iCs/>
          <w:sz w:val="24"/>
          <w:szCs w:val="24"/>
        </w:rPr>
        <w:t>Although</w:t>
      </w:r>
      <w:r w:rsidRPr="00F153F6">
        <w:rPr>
          <w:rFonts w:ascii="Times New Roman" w:hAnsi="Times New Roman" w:cs="Times New Roman"/>
          <w:i/>
          <w:iCs/>
          <w:sz w:val="24"/>
          <w:szCs w:val="24"/>
        </w:rPr>
        <w:t xml:space="preserve"> it's still important for every developer to see all the documents, but mostly, there are no changes made in the documents [but mainly comments]. For example, they are mostly commented like ‘I hate this, or I should make something like that’. Then our colleagues </w:t>
      </w:r>
      <w:r w:rsidRPr="00F153F6">
        <w:rPr>
          <w:rFonts w:ascii="Times New Roman" w:hAnsi="Times New Roman" w:cs="Times New Roman"/>
          <w:sz w:val="24"/>
          <w:szCs w:val="24"/>
        </w:rPr>
        <w:t>[will respond like]</w:t>
      </w:r>
      <w:r w:rsidRPr="00F153F6">
        <w:rPr>
          <w:rFonts w:ascii="Times New Roman" w:hAnsi="Times New Roman" w:cs="Times New Roman"/>
          <w:i/>
          <w:iCs/>
          <w:sz w:val="24"/>
          <w:szCs w:val="24"/>
        </w:rPr>
        <w:t xml:space="preserve">, ‘can you look into this and see if you can find the right information you need’. They may change or may not change these writings based on the comment, it depends on </w:t>
      </w:r>
      <w:r w:rsidR="00406033" w:rsidRPr="00F153F6">
        <w:rPr>
          <w:rFonts w:ascii="Times New Roman" w:hAnsi="Times New Roman" w:cs="Times New Roman"/>
          <w:i/>
          <w:iCs/>
          <w:sz w:val="24"/>
          <w:szCs w:val="24"/>
        </w:rPr>
        <w:t>themselves,</w:t>
      </w:r>
      <w:r w:rsidRPr="00F153F6">
        <w:rPr>
          <w:rFonts w:ascii="Times New Roman" w:hAnsi="Times New Roman" w:cs="Times New Roman"/>
          <w:i/>
          <w:iCs/>
          <w:sz w:val="24"/>
          <w:szCs w:val="24"/>
        </w:rPr>
        <w:t xml:space="preserve"> but everyone respects each other’s primary work. In this way, we collaborate together and make innovations in our documents.” (Project B2, Participant 3, Para. 90)</w:t>
      </w:r>
    </w:p>
    <w:p w14:paraId="6CD3F9A4" w14:textId="13653B04"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the above example, actors use MS teams to support their collaborative writing of project documents. As they write together, actors may raise problems or seek help from their collaborators, and MS teams allows them to post their thoughts on the documents. Other collaborators may get notifications and respond to these questions. By doing so, they do not change each other’s work directly but only provide comments for others to consider potential improvement, which again shows the respectful nature of inter-organisational knowledge exchange. Actors also have their own preference to accept or not accept others’ comments based on their own expertise. The use of MS teams provides actors with the tools to interact together in collaborative </w:t>
      </w:r>
      <w:r w:rsidR="00406033" w:rsidRPr="00F153F6">
        <w:rPr>
          <w:rFonts w:ascii="Times New Roman" w:hAnsi="Times New Roman" w:cs="Times New Roman"/>
          <w:sz w:val="24"/>
          <w:szCs w:val="24"/>
        </w:rPr>
        <w:t>activities and</w:t>
      </w:r>
      <w:r w:rsidRPr="00F153F6">
        <w:rPr>
          <w:rFonts w:ascii="Times New Roman" w:hAnsi="Times New Roman" w:cs="Times New Roman"/>
          <w:sz w:val="24"/>
          <w:szCs w:val="24"/>
        </w:rPr>
        <w:t xml:space="preserve"> be inspired by others feedback and effectively improve their work. This shows how collaborating activities help actors to develop their knowledge of </w:t>
      </w:r>
      <w:r w:rsidRPr="00F153F6">
        <w:rPr>
          <w:rFonts w:ascii="Times New Roman" w:hAnsi="Times New Roman" w:cs="Times New Roman"/>
          <w:sz w:val="24"/>
          <w:szCs w:val="24"/>
        </w:rPr>
        <w:lastRenderedPageBreak/>
        <w:t>how to innovate and recurrently accomplish their collaborative problem-solving knowledgeability as they collaborate together.</w:t>
      </w:r>
    </w:p>
    <w:p w14:paraId="1B1CFBAC" w14:textId="77777777" w:rsidR="0015201A" w:rsidRPr="00F153F6" w:rsidRDefault="0015201A" w:rsidP="004424B4">
      <w:pPr>
        <w:spacing w:line="360" w:lineRule="auto"/>
        <w:jc w:val="both"/>
        <w:rPr>
          <w:rFonts w:ascii="Times New Roman" w:hAnsi="Times New Roman" w:cs="Times New Roman"/>
          <w:sz w:val="24"/>
          <w:szCs w:val="24"/>
        </w:rPr>
      </w:pPr>
    </w:p>
    <w:p w14:paraId="41EFA8F6" w14:textId="77777777"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Group Discussing</w:t>
      </w:r>
    </w:p>
    <w:p w14:paraId="6847D405" w14:textId="02F051CE"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Group discussing refers to the activities in which actors provide opinions on each other’s thoughts to enrich discussion about some concepts or topics during group meeting. In the middle stage, group discussions entail that the opinions provided by actors are used to encourage each other and generate new insights or ideas. Actors in such an activity engage in an idea exploration process by stimulating each other’s thoughts and inspiring new ideas. Through group discussions, actors recurrently accomplish their collaborative problem solving knowledgeability, and develop </w:t>
      </w:r>
      <w:r w:rsidR="006A6C81" w:rsidRPr="00F153F6">
        <w:rPr>
          <w:rFonts w:ascii="Times New Roman" w:hAnsi="Times New Roman" w:cs="Times New Roman"/>
          <w:sz w:val="24"/>
          <w:szCs w:val="24"/>
        </w:rPr>
        <w:t>their knowing</w:t>
      </w:r>
      <w:r w:rsidRPr="00F153F6">
        <w:rPr>
          <w:rFonts w:ascii="Times New Roman" w:hAnsi="Times New Roman" w:cs="Times New Roman"/>
          <w:sz w:val="24"/>
          <w:szCs w:val="24"/>
        </w:rPr>
        <w:t xml:space="preserve"> how to innovate for the project.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in these activities provide</w:t>
      </w:r>
      <w:r w:rsidR="00FA6038" w:rsidRPr="00F153F6">
        <w:rPr>
          <w:rFonts w:ascii="Times New Roman" w:hAnsi="Times New Roman" w:cs="Times New Roman"/>
          <w:sz w:val="24"/>
          <w:szCs w:val="24"/>
        </w:rPr>
        <w:t>s</w:t>
      </w:r>
      <w:r w:rsidRPr="00F153F6">
        <w:rPr>
          <w:rFonts w:ascii="Times New Roman" w:hAnsi="Times New Roman" w:cs="Times New Roman"/>
          <w:sz w:val="24"/>
          <w:szCs w:val="24"/>
        </w:rPr>
        <w:t xml:space="preserve"> actors with cross-referencing tools so that they can use a variety of sources together to stimulate idea generation. As one interviewee notes:</w:t>
      </w:r>
    </w:p>
    <w:p w14:paraId="0BB8398A" w14:textId="4925DA5E"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“I think it helps another thing, for example, it is also an advantage of doing this digitally and having these discussions in Miro because you are using your computer, something that I did a lot when you have a discussion and someone mentions another </w:t>
      </w:r>
      <w:r w:rsidR="00406033" w:rsidRPr="00F153F6">
        <w:rPr>
          <w:rFonts w:ascii="Times New Roman" w:hAnsi="Times New Roman" w:cs="Times New Roman"/>
          <w:i/>
          <w:iCs/>
          <w:sz w:val="24"/>
          <w:szCs w:val="24"/>
        </w:rPr>
        <w:t>artwork</w:t>
      </w:r>
      <w:r w:rsidRPr="00F153F6">
        <w:rPr>
          <w:rFonts w:ascii="Times New Roman" w:hAnsi="Times New Roman" w:cs="Times New Roman"/>
          <w:i/>
          <w:iCs/>
          <w:sz w:val="24"/>
          <w:szCs w:val="24"/>
        </w:rPr>
        <w:t xml:space="preserve"> or mention something else, I can immediately google it and find some information about it to resolve any confusion. So the fact that I just have, I’m using my computer and having this workshop on my computer and I just open another window and I can check something or I can check a website, or I just put the URL website in the chat. </w:t>
      </w:r>
      <w:r w:rsidR="00406033" w:rsidRPr="00F153F6">
        <w:rPr>
          <w:rFonts w:ascii="Times New Roman" w:hAnsi="Times New Roman" w:cs="Times New Roman"/>
          <w:i/>
          <w:iCs/>
          <w:sz w:val="24"/>
          <w:szCs w:val="24"/>
        </w:rPr>
        <w:t>T</w:t>
      </w:r>
      <w:r w:rsidRPr="00F153F6">
        <w:rPr>
          <w:rFonts w:ascii="Times New Roman" w:hAnsi="Times New Roman" w:cs="Times New Roman"/>
          <w:i/>
          <w:iCs/>
          <w:sz w:val="24"/>
          <w:szCs w:val="24"/>
        </w:rPr>
        <w:t xml:space="preserve">hat's okay. Everyone can click on it. And they all see the same website and you can continue the conversation and you talk about what they see on the website or et cetera. So’ yeah, it's fantastic that you have all those references available by </w:t>
      </w:r>
      <w:r w:rsidR="00406033" w:rsidRPr="00F153F6">
        <w:rPr>
          <w:rFonts w:ascii="Times New Roman" w:hAnsi="Times New Roman" w:cs="Times New Roman"/>
          <w:i/>
          <w:iCs/>
          <w:sz w:val="24"/>
          <w:szCs w:val="24"/>
        </w:rPr>
        <w:t>clicking them</w:t>
      </w:r>
      <w:r w:rsidRPr="00F153F6">
        <w:rPr>
          <w:rFonts w:ascii="Times New Roman" w:hAnsi="Times New Roman" w:cs="Times New Roman"/>
          <w:i/>
          <w:iCs/>
          <w:sz w:val="24"/>
          <w:szCs w:val="24"/>
        </w:rPr>
        <w:t xml:space="preserve"> when you're discussing things.” (Project B2, Participant 1, Para. 76)</w:t>
      </w:r>
    </w:p>
    <w:p w14:paraId="25506845" w14:textId="79DABBAF"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Actors during group discussions may propose new ideas that, however, may be confusing for others. With the aid of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actors could work around those ideas immediately to resolve the confusion.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such as Google provide actors with the option of cross-referencing which allows them to refer to more detailed information from other sources and work around and discuss the same thing more deeply with gaining richer information. Miro board has the </w:t>
      </w:r>
      <w:r w:rsidR="00406033" w:rsidRPr="00F153F6">
        <w:rPr>
          <w:rFonts w:ascii="Times New Roman" w:hAnsi="Times New Roman" w:cs="Times New Roman"/>
          <w:sz w:val="24"/>
          <w:szCs w:val="24"/>
        </w:rPr>
        <w:t>chatbot</w:t>
      </w:r>
      <w:r w:rsidRPr="00F153F6">
        <w:rPr>
          <w:rFonts w:ascii="Times New Roman" w:hAnsi="Times New Roman" w:cs="Times New Roman"/>
          <w:sz w:val="24"/>
          <w:szCs w:val="24"/>
        </w:rPr>
        <w:t xml:space="preserve"> function that allows actors to copy and paste URLs, enabling everyone to stick with each other to discuss the same thing topic during group discussions.</w:t>
      </w:r>
    </w:p>
    <w:p w14:paraId="23D99723" w14:textId="1B4E410D"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lastRenderedPageBreak/>
        <w:t xml:space="preserve">There are also other ways to inspire new ideas during group discussion activities, such as joking with each other. However, the use of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constrain this. As one interviewee notes: </w:t>
      </w:r>
    </w:p>
    <w:p w14:paraId="116119BD" w14:textId="46A307FE"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“New ideas are usually coming from meeting with random people and with random talking and humour, especially humour because many good things come up from humour. But ’hat doesn't exist in online events. For example, in this project we had an activity to measure steady tires. It was before the covid times and in one workshop, there were people who needed to just be on the street side and listen to the cars if they have steady tires or not. </w:t>
      </w:r>
      <w:r w:rsidR="00406033" w:rsidRPr="00F153F6">
        <w:rPr>
          <w:rFonts w:ascii="Times New Roman" w:hAnsi="Times New Roman" w:cs="Times New Roman"/>
          <w:i/>
          <w:iCs/>
          <w:sz w:val="24"/>
          <w:szCs w:val="24"/>
        </w:rPr>
        <w:t>So,</w:t>
      </w:r>
      <w:r w:rsidRPr="00F153F6">
        <w:rPr>
          <w:rFonts w:ascii="Times New Roman" w:hAnsi="Times New Roman" w:cs="Times New Roman"/>
          <w:i/>
          <w:iCs/>
          <w:sz w:val="24"/>
          <w:szCs w:val="24"/>
        </w:rPr>
        <w:t xml:space="preserve"> people were just standing on the road listening, and then talking and reflecting together about what they have heard. There are usually some jokes coming out as they talk, and from that kind of joking, joking about real things, which came into the innovation. This I think cannot come from technology, but </w:t>
      </w:r>
      <w:r w:rsidR="00406033" w:rsidRPr="00F153F6">
        <w:rPr>
          <w:rFonts w:ascii="Times New Roman" w:hAnsi="Times New Roman" w:cs="Times New Roman"/>
          <w:i/>
          <w:iCs/>
          <w:sz w:val="24"/>
          <w:szCs w:val="24"/>
        </w:rPr>
        <w:t>exactly</w:t>
      </w:r>
      <w:r w:rsidRPr="00F153F6">
        <w:rPr>
          <w:rFonts w:ascii="Times New Roman" w:hAnsi="Times New Roman" w:cs="Times New Roman"/>
          <w:i/>
          <w:iCs/>
          <w:sz w:val="24"/>
          <w:szCs w:val="24"/>
        </w:rPr>
        <w:t xml:space="preserve"> it's a good example that some innovative </w:t>
      </w:r>
      <w:r w:rsidR="00406033" w:rsidRPr="00F153F6">
        <w:rPr>
          <w:rFonts w:ascii="Times New Roman" w:hAnsi="Times New Roman" w:cs="Times New Roman"/>
          <w:i/>
          <w:iCs/>
          <w:sz w:val="24"/>
          <w:szCs w:val="24"/>
        </w:rPr>
        <w:t>things</w:t>
      </w:r>
      <w:r w:rsidRPr="00F153F6">
        <w:rPr>
          <w:rFonts w:ascii="Times New Roman" w:hAnsi="Times New Roman" w:cs="Times New Roman"/>
          <w:i/>
          <w:iCs/>
          <w:sz w:val="24"/>
          <w:szCs w:val="24"/>
        </w:rPr>
        <w:t xml:space="preserve"> don't happen in MS Team meetings. So, </w:t>
      </w:r>
      <w:r w:rsidR="00406033" w:rsidRPr="00F153F6">
        <w:rPr>
          <w:rFonts w:ascii="Times New Roman" w:hAnsi="Times New Roman" w:cs="Times New Roman"/>
          <w:i/>
          <w:iCs/>
          <w:sz w:val="24"/>
          <w:szCs w:val="24"/>
        </w:rPr>
        <w:t>people</w:t>
      </w:r>
      <w:r w:rsidRPr="00F153F6">
        <w:rPr>
          <w:rFonts w:ascii="Times New Roman" w:hAnsi="Times New Roman" w:cs="Times New Roman"/>
          <w:i/>
          <w:iCs/>
          <w:sz w:val="24"/>
          <w:szCs w:val="24"/>
        </w:rPr>
        <w:t xml:space="preserve"> don't joke about things in MS Team meetings and then get new ideas from that</w:t>
      </w:r>
      <w:r w:rsidRPr="00F153F6">
        <w:rPr>
          <w:rFonts w:ascii="Times New Roman" w:hAnsi="Times New Roman" w:cs="Times New Roman"/>
          <w:sz w:val="24"/>
          <w:szCs w:val="24"/>
        </w:rPr>
        <w:t xml:space="preserve"> [when online]</w:t>
      </w:r>
      <w:r w:rsidRPr="00F153F6">
        <w:rPr>
          <w:rFonts w:ascii="Times New Roman" w:hAnsi="Times New Roman" w:cs="Times New Roman"/>
          <w:i/>
          <w:iCs/>
          <w:sz w:val="24"/>
          <w:szCs w:val="24"/>
        </w:rPr>
        <w:t>.” (Project B3, Participant 1, Para. 80)</w:t>
      </w:r>
    </w:p>
    <w:p w14:paraId="552520FB" w14:textId="17D37B90"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Living Lab projects usually require actors to co-create in their real-life experiences. In the above example, actors stay together and reflect on what they have learnt in the real-life settings and interaction with each other. The context of real-life seems to provide actors a relaxed environment that allow them to comfortably interact with each other face-to-face. Such context and the way actors interact face-to-face enables them to develop a sense of humour, so they are able to joke as they reflect. This seems to greatly enhance the process of exploring </w:t>
      </w:r>
      <w:r w:rsidR="00406033" w:rsidRPr="00F153F6">
        <w:rPr>
          <w:rFonts w:ascii="Times New Roman" w:hAnsi="Times New Roman" w:cs="Times New Roman"/>
          <w:sz w:val="24"/>
          <w:szCs w:val="24"/>
        </w:rPr>
        <w:t>ideas and</w:t>
      </w:r>
      <w:r w:rsidRPr="00F153F6">
        <w:rPr>
          <w:rFonts w:ascii="Times New Roman" w:hAnsi="Times New Roman" w:cs="Times New Roman"/>
          <w:sz w:val="24"/>
          <w:szCs w:val="24"/>
        </w:rPr>
        <w:t xml:space="preserve"> stimulating innovation. However,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seems to constrain an actor’s ability to be humorous in developing their knowledge about how to innovate, and thereby inhibiting an actor from using their co-creating knowledgeability. </w:t>
      </w:r>
    </w:p>
    <w:p w14:paraId="0C6F154E" w14:textId="77777777" w:rsidR="0015201A" w:rsidRPr="00F153F6" w:rsidRDefault="0015201A" w:rsidP="004424B4">
      <w:pPr>
        <w:spacing w:line="360" w:lineRule="auto"/>
        <w:jc w:val="both"/>
        <w:rPr>
          <w:rFonts w:ascii="Times New Roman" w:hAnsi="Times New Roman" w:cs="Times New Roman"/>
        </w:rPr>
      </w:pPr>
    </w:p>
    <w:p w14:paraId="00338B1B" w14:textId="4E33C142" w:rsidR="0015201A" w:rsidRPr="00F153F6" w:rsidRDefault="0015201A" w:rsidP="005A3DC1">
      <w:pPr>
        <w:pStyle w:val="Heading3"/>
        <w:spacing w:line="360" w:lineRule="auto"/>
        <w:ind w:left="720"/>
        <w:jc w:val="both"/>
        <w:rPr>
          <w:rFonts w:ascii="Times New Roman" w:hAnsi="Times New Roman" w:cs="Times New Roman"/>
          <w:b/>
          <w:color w:val="auto"/>
          <w:sz w:val="28"/>
          <w:szCs w:val="28"/>
        </w:rPr>
      </w:pPr>
      <w:bookmarkStart w:id="592" w:name="_Toc118371140"/>
      <w:bookmarkStart w:id="593" w:name="_Toc133252166"/>
      <w:r w:rsidRPr="00F153F6">
        <w:rPr>
          <w:rFonts w:ascii="Times New Roman" w:hAnsi="Times New Roman" w:cs="Times New Roman"/>
          <w:b/>
          <w:color w:val="auto"/>
          <w:sz w:val="28"/>
          <w:szCs w:val="28"/>
        </w:rPr>
        <w:t xml:space="preserve">4.3.4. Co-ordinating and </w:t>
      </w:r>
      <w:r w:rsidR="00FA6038" w:rsidRPr="00F153F6">
        <w:rPr>
          <w:rFonts w:ascii="Times New Roman" w:hAnsi="Times New Roman" w:cs="Times New Roman"/>
          <w:b/>
          <w:color w:val="auto"/>
          <w:sz w:val="28"/>
          <w:szCs w:val="28"/>
        </w:rPr>
        <w:t>ICT</w:t>
      </w:r>
      <w:bookmarkEnd w:id="592"/>
      <w:bookmarkEnd w:id="593"/>
    </w:p>
    <w:p w14:paraId="546C2A0E" w14:textId="7F731C41"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Co-ordinating refers to knowledgeability enacted by actors which helps generate reactions to the outputs of others’ work or themselves in order to move their work forward. At the project’s middle stage, this entails how actors coordinate their works based on their previous achievement. This usually leads to changes in their existing organising practices. There are three types of activities that comprise co-ordinating: Adapting; Monitoring; and Staffing.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 help actors </w:t>
      </w:r>
      <w:r w:rsidR="006A6C81" w:rsidRPr="00F153F6">
        <w:rPr>
          <w:rFonts w:ascii="Times New Roman" w:hAnsi="Times New Roman" w:cs="Times New Roman"/>
          <w:sz w:val="24"/>
          <w:szCs w:val="24"/>
        </w:rPr>
        <w:t>by affording them</w:t>
      </w:r>
      <w:r w:rsidRPr="00F153F6">
        <w:rPr>
          <w:rFonts w:ascii="Times New Roman" w:hAnsi="Times New Roman" w:cs="Times New Roman"/>
          <w:sz w:val="24"/>
          <w:szCs w:val="24"/>
        </w:rPr>
        <w:t xml:space="preserve"> documenting, tracing, and assigning ability to support </w:t>
      </w:r>
      <w:r w:rsidR="00406033" w:rsidRPr="00F153F6">
        <w:rPr>
          <w:rFonts w:ascii="Times New Roman" w:hAnsi="Times New Roman" w:cs="Times New Roman"/>
          <w:sz w:val="24"/>
          <w:szCs w:val="24"/>
        </w:rPr>
        <w:t>actors</w:t>
      </w:r>
      <w:r w:rsidRPr="00F153F6">
        <w:rPr>
          <w:rFonts w:ascii="Times New Roman" w:hAnsi="Times New Roman" w:cs="Times New Roman"/>
          <w:sz w:val="24"/>
          <w:szCs w:val="24"/>
        </w:rPr>
        <w:t xml:space="preserve"> in their understanding of how to direct their work performance as the project moves forward. </w:t>
      </w:r>
      <w:r w:rsidRPr="00F153F6">
        <w:rPr>
          <w:rFonts w:ascii="Times New Roman" w:hAnsi="Times New Roman" w:cs="Times New Roman"/>
          <w:sz w:val="24"/>
          <w:szCs w:val="24"/>
        </w:rPr>
        <w:lastRenderedPageBreak/>
        <w:t>Table 4.11 provide a summary of knowing in practice, relevant activities and their explanations in co-ordinating knowledgeability at the project’s middle stage.</w:t>
      </w:r>
    </w:p>
    <w:p w14:paraId="54962B1C" w14:textId="77777777" w:rsidR="0015201A" w:rsidRPr="00F153F6" w:rsidRDefault="0015201A" w:rsidP="004424B4">
      <w:pPr>
        <w:spacing w:line="360" w:lineRule="auto"/>
        <w:jc w:val="both"/>
        <w:rPr>
          <w:rFonts w:ascii="Times New Roman" w:hAnsi="Times New Roman" w:cs="Times New Roman"/>
        </w:rPr>
      </w:pPr>
    </w:p>
    <w:p w14:paraId="546CEC5E" w14:textId="19A2D995" w:rsidR="007148BA" w:rsidRPr="00F153F6" w:rsidRDefault="007148BA" w:rsidP="007148BA">
      <w:pPr>
        <w:pStyle w:val="Caption"/>
        <w:keepNext/>
        <w:rPr>
          <w:rFonts w:ascii="Times New Roman" w:hAnsi="Times New Roman" w:cs="Times New Roman"/>
          <w:i w:val="0"/>
          <w:iCs w:val="0"/>
          <w:color w:val="auto"/>
          <w:sz w:val="22"/>
          <w:szCs w:val="22"/>
        </w:rPr>
      </w:pPr>
      <w:bookmarkStart w:id="594" w:name="_Toc119448045"/>
      <w:r w:rsidRPr="00F153F6">
        <w:rPr>
          <w:rFonts w:ascii="Times New Roman" w:hAnsi="Times New Roman" w:cs="Times New Roman"/>
          <w:i w:val="0"/>
          <w:iCs w:val="0"/>
          <w:color w:val="auto"/>
          <w:sz w:val="22"/>
          <w:szCs w:val="22"/>
        </w:rPr>
        <w:t xml:space="preserve">Table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Table_4.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11</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Summary of the co-ordinating knowledgeability and its relevant elements</w:t>
      </w:r>
      <w:bookmarkEnd w:id="594"/>
    </w:p>
    <w:tbl>
      <w:tblPr>
        <w:tblStyle w:val="PlainTable5"/>
        <w:tblW w:w="9067" w:type="dxa"/>
        <w:tblLook w:val="04A0" w:firstRow="1" w:lastRow="0" w:firstColumn="1" w:lastColumn="0" w:noHBand="0" w:noVBand="1"/>
      </w:tblPr>
      <w:tblGrid>
        <w:gridCol w:w="2552"/>
        <w:gridCol w:w="2263"/>
        <w:gridCol w:w="4252"/>
      </w:tblGrid>
      <w:tr w:rsidR="005549E4" w:rsidRPr="00F153F6" w14:paraId="76A52872" w14:textId="77777777" w:rsidTr="004314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shd w:val="clear" w:color="auto" w:fill="auto"/>
          </w:tcPr>
          <w:p w14:paraId="7F4ED0C6" w14:textId="77777777" w:rsidR="0015201A" w:rsidRPr="00F153F6" w:rsidRDefault="0015201A" w:rsidP="004424B4">
            <w:pPr>
              <w:spacing w:line="360" w:lineRule="auto"/>
              <w:jc w:val="both"/>
              <w:rPr>
                <w:rFonts w:ascii="Times New Roman" w:hAnsi="Times New Roman" w:cs="Times New Roman"/>
                <w:b/>
                <w:bCs/>
                <w:sz w:val="22"/>
              </w:rPr>
            </w:pPr>
            <w:r w:rsidRPr="00F153F6">
              <w:rPr>
                <w:rFonts w:ascii="Times New Roman" w:hAnsi="Times New Roman" w:cs="Times New Roman"/>
                <w:b/>
                <w:bCs/>
                <w:sz w:val="22"/>
              </w:rPr>
              <w:t>Knowledgeability</w:t>
            </w:r>
          </w:p>
        </w:tc>
        <w:tc>
          <w:tcPr>
            <w:tcW w:w="2263" w:type="dxa"/>
            <w:shd w:val="clear" w:color="auto" w:fill="auto"/>
          </w:tcPr>
          <w:p w14:paraId="0DAC4A86"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Activities</w:t>
            </w:r>
          </w:p>
        </w:tc>
        <w:tc>
          <w:tcPr>
            <w:tcW w:w="4252" w:type="dxa"/>
            <w:shd w:val="clear" w:color="auto" w:fill="auto"/>
          </w:tcPr>
          <w:p w14:paraId="25B39D45"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Explanations</w:t>
            </w:r>
          </w:p>
        </w:tc>
      </w:tr>
      <w:tr w:rsidR="005549E4" w:rsidRPr="00F153F6" w14:paraId="77482347" w14:textId="77777777" w:rsidTr="004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390D8916" w14:textId="77777777" w:rsidR="0015201A" w:rsidRPr="00F153F6" w:rsidRDefault="0015201A" w:rsidP="004424B4">
            <w:pPr>
              <w:spacing w:line="360" w:lineRule="auto"/>
              <w:jc w:val="both"/>
              <w:rPr>
                <w:rFonts w:ascii="Times New Roman" w:hAnsi="Times New Roman" w:cs="Times New Roman"/>
                <w:i w:val="0"/>
                <w:iCs w:val="0"/>
                <w:sz w:val="22"/>
              </w:rPr>
            </w:pPr>
            <w:r w:rsidRPr="00F153F6">
              <w:rPr>
                <w:rFonts w:ascii="Times New Roman" w:hAnsi="Times New Roman" w:cs="Times New Roman"/>
                <w:sz w:val="22"/>
              </w:rPr>
              <w:t>Co-ordinating</w:t>
            </w:r>
          </w:p>
          <w:p w14:paraId="5750EB94" w14:textId="77777777" w:rsidR="0015201A" w:rsidRPr="00F153F6" w:rsidRDefault="0015201A" w:rsidP="004424B4">
            <w:pPr>
              <w:spacing w:line="360" w:lineRule="auto"/>
              <w:jc w:val="both"/>
              <w:rPr>
                <w:rFonts w:ascii="Times New Roman" w:hAnsi="Times New Roman" w:cs="Times New Roman"/>
                <w:i w:val="0"/>
                <w:iCs w:val="0"/>
                <w:sz w:val="22"/>
              </w:rPr>
            </w:pPr>
          </w:p>
          <w:p w14:paraId="566A7DC2" w14:textId="77777777" w:rsidR="0015201A" w:rsidRPr="00F153F6" w:rsidRDefault="0015201A" w:rsidP="004424B4">
            <w:pPr>
              <w:spacing w:line="360" w:lineRule="auto"/>
              <w:jc w:val="both"/>
              <w:rPr>
                <w:rFonts w:ascii="Times New Roman" w:hAnsi="Times New Roman" w:cs="Times New Roman"/>
                <w:sz w:val="22"/>
              </w:rPr>
            </w:pPr>
            <w:r w:rsidRPr="00F153F6">
              <w:rPr>
                <w:rFonts w:ascii="Times New Roman" w:hAnsi="Times New Roman" w:cs="Times New Roman"/>
                <w:sz w:val="22"/>
              </w:rPr>
              <w:t>Explanation: Knowing how to direct performance</w:t>
            </w:r>
          </w:p>
        </w:tc>
        <w:tc>
          <w:tcPr>
            <w:tcW w:w="2263" w:type="dxa"/>
            <w:shd w:val="clear" w:color="auto" w:fill="auto"/>
          </w:tcPr>
          <w:p w14:paraId="4E675205"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Adapting</w:t>
            </w:r>
          </w:p>
        </w:tc>
        <w:tc>
          <w:tcPr>
            <w:tcW w:w="4252" w:type="dxa"/>
            <w:shd w:val="clear" w:color="auto" w:fill="auto"/>
          </w:tcPr>
          <w:p w14:paraId="6CC25BC9"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Actors change their behaviours regarding existing organising practices in order to make them suitable for new situations</w:t>
            </w:r>
          </w:p>
        </w:tc>
      </w:tr>
      <w:tr w:rsidR="005549E4" w:rsidRPr="00F153F6" w14:paraId="043C5FB1" w14:textId="77777777" w:rsidTr="004314D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257E6556" w14:textId="77777777" w:rsidR="0015201A" w:rsidRPr="00F153F6" w:rsidRDefault="0015201A" w:rsidP="004424B4">
            <w:pPr>
              <w:spacing w:line="360" w:lineRule="auto"/>
              <w:jc w:val="both"/>
              <w:rPr>
                <w:rFonts w:ascii="Times New Roman" w:hAnsi="Times New Roman" w:cs="Times New Roman"/>
                <w:sz w:val="22"/>
              </w:rPr>
            </w:pPr>
          </w:p>
        </w:tc>
        <w:tc>
          <w:tcPr>
            <w:tcW w:w="2263" w:type="dxa"/>
            <w:shd w:val="clear" w:color="auto" w:fill="auto"/>
          </w:tcPr>
          <w:p w14:paraId="7D026888"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Monitoring</w:t>
            </w:r>
          </w:p>
          <w:p w14:paraId="607136DF"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2" w:type="dxa"/>
            <w:shd w:val="clear" w:color="auto" w:fill="auto"/>
          </w:tcPr>
          <w:p w14:paraId="7252E073"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Actors keep checking the projects performance closely as the project is progressing in order to monitor how work develops so that actors can make any necessary changes</w:t>
            </w:r>
          </w:p>
          <w:p w14:paraId="70799B01"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49E4" w:rsidRPr="00F153F6" w14:paraId="5B35CEEE" w14:textId="77777777" w:rsidTr="004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1B2FB330" w14:textId="77777777" w:rsidR="0015201A" w:rsidRPr="00F153F6" w:rsidRDefault="0015201A" w:rsidP="004424B4">
            <w:pPr>
              <w:spacing w:line="360" w:lineRule="auto"/>
              <w:jc w:val="both"/>
              <w:rPr>
                <w:rFonts w:ascii="Times New Roman" w:hAnsi="Times New Roman" w:cs="Times New Roman"/>
                <w:sz w:val="22"/>
              </w:rPr>
            </w:pPr>
          </w:p>
        </w:tc>
        <w:tc>
          <w:tcPr>
            <w:tcW w:w="2263" w:type="dxa"/>
            <w:shd w:val="clear" w:color="auto" w:fill="auto"/>
          </w:tcPr>
          <w:p w14:paraId="0FFA0086"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Staffing</w:t>
            </w:r>
          </w:p>
        </w:tc>
        <w:tc>
          <w:tcPr>
            <w:tcW w:w="4252" w:type="dxa"/>
            <w:shd w:val="clear" w:color="auto" w:fill="auto"/>
          </w:tcPr>
          <w:p w14:paraId="04F2BE1E"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Actors (</w:t>
            </w:r>
            <w:bookmarkStart w:id="595" w:name="OLE_LINK948"/>
            <w:bookmarkStart w:id="596" w:name="OLE_LINK949"/>
            <w:r w:rsidRPr="00F153F6">
              <w:rPr>
                <w:rFonts w:ascii="Times New Roman" w:hAnsi="Times New Roman" w:cs="Times New Roman"/>
              </w:rPr>
              <w:t>re-)arrange personnel, allocate them tasks and roles, and get them agreed to conduct next unity of actions as project moving forward based on their existing achievements</w:t>
            </w:r>
            <w:bookmarkEnd w:id="595"/>
            <w:bookmarkEnd w:id="596"/>
            <w:r w:rsidRPr="00F153F6">
              <w:rPr>
                <w:rFonts w:ascii="Times New Roman" w:hAnsi="Times New Roman" w:cs="Times New Roman"/>
              </w:rPr>
              <w:t>.</w:t>
            </w:r>
          </w:p>
          <w:p w14:paraId="6F744988"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3A506949" w14:textId="77777777" w:rsidR="0015201A" w:rsidRPr="00F153F6" w:rsidRDefault="0015201A" w:rsidP="004424B4">
      <w:pPr>
        <w:spacing w:line="360" w:lineRule="auto"/>
        <w:jc w:val="both"/>
        <w:rPr>
          <w:rFonts w:ascii="Times New Roman" w:hAnsi="Times New Roman" w:cs="Times New Roman"/>
        </w:rPr>
      </w:pPr>
    </w:p>
    <w:p w14:paraId="39E3F3C8" w14:textId="40B30906" w:rsidR="0015201A" w:rsidRPr="00F153F6" w:rsidRDefault="0015201A" w:rsidP="004424B4">
      <w:pPr>
        <w:spacing w:line="360" w:lineRule="auto"/>
        <w:jc w:val="both"/>
        <w:rPr>
          <w:rFonts w:ascii="Times New Roman" w:hAnsi="Times New Roman" w:cs="Times New Roman"/>
          <w:b/>
          <w:bCs/>
          <w:sz w:val="24"/>
          <w:szCs w:val="24"/>
        </w:rPr>
      </w:pPr>
      <w:bookmarkStart w:id="597" w:name="OLE_LINK942"/>
      <w:bookmarkStart w:id="598" w:name="OLE_LINK943"/>
      <w:r w:rsidRPr="00F153F6">
        <w:rPr>
          <w:rFonts w:ascii="Times New Roman" w:hAnsi="Times New Roman" w:cs="Times New Roman"/>
          <w:b/>
          <w:bCs/>
          <w:sz w:val="24"/>
          <w:szCs w:val="24"/>
        </w:rPr>
        <w:t>Adapting</w:t>
      </w:r>
    </w:p>
    <w:p w14:paraId="790C0676" w14:textId="5785A292"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Adapting refers to activities in which actors </w:t>
      </w:r>
      <w:bookmarkStart w:id="599" w:name="OLE_LINK952"/>
      <w:bookmarkStart w:id="600" w:name="OLE_LINK953"/>
      <w:r w:rsidRPr="00F153F6">
        <w:rPr>
          <w:rFonts w:ascii="Times New Roman" w:hAnsi="Times New Roman" w:cs="Times New Roman"/>
          <w:sz w:val="24"/>
          <w:szCs w:val="24"/>
        </w:rPr>
        <w:t>change behaviours and existing practices in order to make them more suitable for new situations</w:t>
      </w:r>
      <w:bookmarkEnd w:id="599"/>
      <w:bookmarkEnd w:id="600"/>
      <w:r w:rsidRPr="00F153F6">
        <w:rPr>
          <w:rFonts w:ascii="Times New Roman" w:hAnsi="Times New Roman" w:cs="Times New Roman"/>
          <w:sz w:val="24"/>
          <w:szCs w:val="24"/>
        </w:rPr>
        <w:t xml:space="preserve">. At the project’s middle stage, actors may have completely organised some project activities, while the quality of the performance of these activities may vary informing actors to adapt their organising behaviours for new situations.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 provide actors documenting software tools to record existing behaviours in project </w:t>
      </w:r>
      <w:r w:rsidRPr="00F153F6">
        <w:rPr>
          <w:rFonts w:ascii="Times New Roman" w:hAnsi="Times New Roman" w:cs="Times New Roman"/>
          <w:sz w:val="24"/>
          <w:szCs w:val="24"/>
        </w:rPr>
        <w:lastRenderedPageBreak/>
        <w:t>activities which can inform new requirements or change to fit into the new situations. As one interviewee notes:</w:t>
      </w:r>
    </w:p>
    <w:p w14:paraId="5D60CFA8" w14:textId="77777777" w:rsidR="0015201A" w:rsidRPr="00F153F6" w:rsidRDefault="0015201A" w:rsidP="004424B4">
      <w:pPr>
        <w:spacing w:line="360" w:lineRule="auto"/>
        <w:jc w:val="both"/>
        <w:rPr>
          <w:rFonts w:ascii="Times New Roman" w:hAnsi="Times New Roman" w:cs="Times New Roman"/>
          <w:sz w:val="24"/>
          <w:szCs w:val="24"/>
        </w:rPr>
      </w:pPr>
    </w:p>
    <w:p w14:paraId="660B445C" w14:textId="59AFD505" w:rsidR="0015201A" w:rsidRPr="00F153F6" w:rsidRDefault="0015201A" w:rsidP="004424B4">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“So actually, the tool is used for documenting. </w:t>
      </w:r>
      <w:r w:rsidR="00406033" w:rsidRPr="00F153F6">
        <w:rPr>
          <w:rFonts w:ascii="Times New Roman" w:hAnsi="Times New Roman" w:cs="Times New Roman"/>
          <w:i/>
          <w:iCs/>
          <w:sz w:val="24"/>
          <w:szCs w:val="24"/>
        </w:rPr>
        <w:t>So,</w:t>
      </w:r>
      <w:r w:rsidRPr="00F153F6">
        <w:rPr>
          <w:rFonts w:ascii="Times New Roman" w:hAnsi="Times New Roman" w:cs="Times New Roman"/>
          <w:i/>
          <w:iCs/>
          <w:sz w:val="24"/>
          <w:szCs w:val="24"/>
        </w:rPr>
        <w:t xml:space="preserve"> each person that we interview and any of our project activities is then documented in</w:t>
      </w:r>
      <w:r w:rsidR="00406033" w:rsidRPr="00F153F6">
        <w:rPr>
          <w:rFonts w:ascii="Times New Roman" w:hAnsi="Times New Roman" w:cs="Times New Roman"/>
          <w:i/>
          <w:iCs/>
          <w:sz w:val="24"/>
          <w:szCs w:val="24"/>
        </w:rPr>
        <w:t xml:space="preserve"> the</w:t>
      </w:r>
      <w:r w:rsidRPr="00F153F6">
        <w:rPr>
          <w:rFonts w:ascii="Times New Roman" w:hAnsi="Times New Roman" w:cs="Times New Roman"/>
          <w:i/>
          <w:iCs/>
          <w:sz w:val="24"/>
          <w:szCs w:val="24"/>
        </w:rPr>
        <w:t xml:space="preserve"> </w:t>
      </w:r>
      <w:r w:rsidR="00406033" w:rsidRPr="00F153F6">
        <w:rPr>
          <w:rFonts w:ascii="Times New Roman" w:hAnsi="Times New Roman" w:cs="Times New Roman"/>
          <w:i/>
          <w:iCs/>
          <w:sz w:val="24"/>
          <w:szCs w:val="24"/>
        </w:rPr>
        <w:t>project</w:t>
      </w:r>
      <w:r w:rsidRPr="00F153F6">
        <w:rPr>
          <w:rFonts w:ascii="Times New Roman" w:hAnsi="Times New Roman" w:cs="Times New Roman"/>
          <w:i/>
          <w:iCs/>
          <w:sz w:val="24"/>
          <w:szCs w:val="24"/>
        </w:rPr>
        <w:t xml:space="preserve">... So we are quite, we try to be very thorough on that. Actually, we redevelop our activities based on new needs identified from the documentation of every progress. For instance, </w:t>
      </w:r>
      <w:r w:rsidR="00406033" w:rsidRPr="00F153F6">
        <w:rPr>
          <w:rFonts w:ascii="Times New Roman" w:hAnsi="Times New Roman" w:cs="Times New Roman"/>
          <w:i/>
          <w:iCs/>
          <w:sz w:val="24"/>
          <w:szCs w:val="24"/>
        </w:rPr>
        <w:t>t</w:t>
      </w:r>
      <w:r w:rsidRPr="00F153F6">
        <w:rPr>
          <w:rFonts w:ascii="Times New Roman" w:hAnsi="Times New Roman" w:cs="Times New Roman"/>
          <w:i/>
          <w:iCs/>
          <w:sz w:val="24"/>
          <w:szCs w:val="24"/>
        </w:rPr>
        <w:t>he co</w:t>
      </w:r>
      <w:r w:rsidR="00406033" w:rsidRPr="00F153F6">
        <w:rPr>
          <w:rFonts w:ascii="Times New Roman" w:hAnsi="Times New Roman" w:cs="Times New Roman"/>
          <w:i/>
          <w:iCs/>
          <w:sz w:val="24"/>
          <w:szCs w:val="24"/>
        </w:rPr>
        <w:t>n</w:t>
      </w:r>
      <w:r w:rsidRPr="00F153F6">
        <w:rPr>
          <w:rFonts w:ascii="Times New Roman" w:hAnsi="Times New Roman" w:cs="Times New Roman"/>
          <w:i/>
          <w:iCs/>
          <w:sz w:val="24"/>
          <w:szCs w:val="24"/>
        </w:rPr>
        <w:t>cept</w:t>
      </w:r>
      <w:r w:rsidR="00406033" w:rsidRPr="00F153F6">
        <w:rPr>
          <w:rFonts w:ascii="Times New Roman" w:hAnsi="Times New Roman" w:cs="Times New Roman"/>
          <w:i/>
          <w:iCs/>
          <w:sz w:val="24"/>
          <w:szCs w:val="24"/>
        </w:rPr>
        <w:t xml:space="preserve"> of</w:t>
      </w:r>
      <w:r w:rsidRPr="00F153F6">
        <w:rPr>
          <w:rFonts w:ascii="Times New Roman" w:hAnsi="Times New Roman" w:cs="Times New Roman"/>
          <w:i/>
          <w:iCs/>
          <w:sz w:val="24"/>
          <w:szCs w:val="24"/>
        </w:rPr>
        <w:t xml:space="preserve"> “Leash” was added to this project because we saw that the conceptual layer is so important to understand how these commissions work but are under-developed as documented on DAM tool. Thereby we need DAM tool to document more about those layers. I work very closely with the developers, and actually the tool is adapted to the </w:t>
      </w:r>
      <w:r w:rsidR="00406033" w:rsidRPr="00F153F6">
        <w:rPr>
          <w:rFonts w:ascii="Times New Roman" w:hAnsi="Times New Roman" w:cs="Times New Roman"/>
          <w:i/>
          <w:iCs/>
          <w:sz w:val="24"/>
          <w:szCs w:val="24"/>
        </w:rPr>
        <w:t>documentation</w:t>
      </w:r>
      <w:r w:rsidRPr="00F153F6">
        <w:rPr>
          <w:rFonts w:ascii="Times New Roman" w:hAnsi="Times New Roman" w:cs="Times New Roman"/>
          <w:i/>
          <w:iCs/>
          <w:sz w:val="24"/>
          <w:szCs w:val="24"/>
        </w:rPr>
        <w:t xml:space="preserve"> needs. It’s used in two ways one as a communication tool, but also second as a documentation tool” (Project B2, Participant 1, Para. 35)</w:t>
      </w:r>
    </w:p>
    <w:p w14:paraId="594A5F94" w14:textId="77777777" w:rsidR="0015201A" w:rsidRPr="00F153F6" w:rsidRDefault="0015201A" w:rsidP="004424B4">
      <w:pPr>
        <w:spacing w:line="360" w:lineRule="auto"/>
        <w:jc w:val="both"/>
        <w:rPr>
          <w:rFonts w:ascii="Times New Roman" w:hAnsi="Times New Roman" w:cs="Times New Roman"/>
          <w:sz w:val="24"/>
          <w:szCs w:val="24"/>
        </w:rPr>
      </w:pPr>
    </w:p>
    <w:p w14:paraId="154188A9" w14:textId="1B1E8511"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As the project moves forwards, actors may be aware of some important concepts that are under-developed </w:t>
      </w:r>
      <w:bookmarkEnd w:id="597"/>
      <w:bookmarkEnd w:id="598"/>
      <w:r w:rsidRPr="00F153F6">
        <w:rPr>
          <w:rFonts w:ascii="Times New Roman" w:hAnsi="Times New Roman" w:cs="Times New Roman"/>
          <w:sz w:val="24"/>
          <w:szCs w:val="24"/>
        </w:rPr>
        <w:t xml:space="preserve">based on the records of their existing project activities. Actors in above instance use DAM tool, a digital platform called De Andere Markt, to document any of their project activities. Based on the documentation of project activities, some issues are identified which can inform changes, such as adding new concepts to the project. Such a tool is also adapted and redeveloped to document more activities as the project moves forward. As actors </w:t>
      </w:r>
      <w:r w:rsidR="00406033" w:rsidRPr="00F153F6">
        <w:rPr>
          <w:rFonts w:ascii="Times New Roman" w:hAnsi="Times New Roman" w:cs="Times New Roman"/>
          <w:sz w:val="24"/>
          <w:szCs w:val="24"/>
        </w:rPr>
        <w:t>adapt project</w:t>
      </w:r>
      <w:r w:rsidRPr="00F153F6">
        <w:rPr>
          <w:rFonts w:ascii="Times New Roman" w:hAnsi="Times New Roman" w:cs="Times New Roman"/>
          <w:sz w:val="24"/>
          <w:szCs w:val="24"/>
        </w:rPr>
        <w:t xml:space="preserve"> activities and tools, they are able to understand better how to direct the project performance on the right way.</w:t>
      </w:r>
    </w:p>
    <w:p w14:paraId="0E247159" w14:textId="77777777" w:rsidR="0015201A" w:rsidRPr="00F153F6" w:rsidRDefault="0015201A" w:rsidP="004424B4">
      <w:pPr>
        <w:spacing w:line="360" w:lineRule="auto"/>
        <w:jc w:val="both"/>
        <w:rPr>
          <w:rFonts w:ascii="Times New Roman" w:hAnsi="Times New Roman" w:cs="Times New Roman"/>
          <w:sz w:val="24"/>
          <w:szCs w:val="24"/>
        </w:rPr>
      </w:pPr>
    </w:p>
    <w:p w14:paraId="271D0E6B" w14:textId="77777777" w:rsidR="0015201A" w:rsidRPr="00F153F6" w:rsidRDefault="0015201A" w:rsidP="004424B4">
      <w:pPr>
        <w:spacing w:line="360" w:lineRule="auto"/>
        <w:jc w:val="both"/>
        <w:rPr>
          <w:rFonts w:ascii="Times New Roman" w:hAnsi="Times New Roman" w:cs="Times New Roman"/>
          <w:b/>
          <w:bCs/>
          <w:sz w:val="24"/>
          <w:szCs w:val="24"/>
        </w:rPr>
      </w:pPr>
      <w:bookmarkStart w:id="601" w:name="OLE_LINK946"/>
      <w:bookmarkStart w:id="602" w:name="OLE_LINK947"/>
      <w:r w:rsidRPr="00F153F6">
        <w:rPr>
          <w:rFonts w:ascii="Times New Roman" w:hAnsi="Times New Roman" w:cs="Times New Roman"/>
          <w:b/>
          <w:bCs/>
          <w:sz w:val="24"/>
          <w:szCs w:val="24"/>
        </w:rPr>
        <w:t>Monitoring</w:t>
      </w:r>
    </w:p>
    <w:p w14:paraId="20BEE35C" w14:textId="171211FD"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Monitoring refers to activities in which actors keep checking the projects performance closely as </w:t>
      </w:r>
      <w:r w:rsidR="005A3DC1" w:rsidRPr="00F153F6">
        <w:rPr>
          <w:rFonts w:ascii="Times New Roman" w:hAnsi="Times New Roman" w:cs="Times New Roman"/>
          <w:sz w:val="24"/>
          <w:szCs w:val="24"/>
        </w:rPr>
        <w:t>it</w:t>
      </w:r>
      <w:r w:rsidRPr="00F153F6">
        <w:rPr>
          <w:rFonts w:ascii="Times New Roman" w:hAnsi="Times New Roman" w:cs="Times New Roman"/>
          <w:sz w:val="24"/>
          <w:szCs w:val="24"/>
        </w:rPr>
        <w:t xml:space="preserve"> is progressing in order to monitor how it develops so that actors can make any necessary changes. At the project’s middle stage, as more project activities start developing, actors need to closely monitor how these activities are developing such that actors are able to know how to direct the project overall performance.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 provide actors with tracing tools which allows them to closely monitor the developing trajectory of these activities. As one interviewee notes:</w:t>
      </w:r>
    </w:p>
    <w:p w14:paraId="5624F4A5" w14:textId="77777777" w:rsidR="0015201A" w:rsidRPr="00F153F6" w:rsidRDefault="0015201A" w:rsidP="004424B4">
      <w:pPr>
        <w:spacing w:line="360" w:lineRule="auto"/>
        <w:jc w:val="both"/>
        <w:rPr>
          <w:rFonts w:ascii="Times New Roman" w:hAnsi="Times New Roman" w:cs="Times New Roman"/>
          <w:sz w:val="24"/>
          <w:szCs w:val="24"/>
        </w:rPr>
      </w:pPr>
    </w:p>
    <w:p w14:paraId="62CA4EEE" w14:textId="7095F7D5" w:rsidR="0015201A" w:rsidRPr="00F153F6" w:rsidRDefault="0015201A" w:rsidP="004424B4">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“We use a lot of </w:t>
      </w:r>
      <w:r w:rsidR="00406033" w:rsidRPr="00F153F6">
        <w:rPr>
          <w:rFonts w:ascii="Times New Roman" w:hAnsi="Times New Roman" w:cs="Times New Roman"/>
          <w:i/>
          <w:iCs/>
          <w:sz w:val="24"/>
          <w:szCs w:val="24"/>
        </w:rPr>
        <w:t>videos</w:t>
      </w:r>
      <w:r w:rsidRPr="00F153F6">
        <w:rPr>
          <w:rFonts w:ascii="Times New Roman" w:hAnsi="Times New Roman" w:cs="Times New Roman"/>
          <w:i/>
          <w:iCs/>
          <w:sz w:val="24"/>
          <w:szCs w:val="24"/>
        </w:rPr>
        <w:t xml:space="preserve">. And </w:t>
      </w:r>
      <w:r w:rsidR="00406033" w:rsidRPr="00F153F6">
        <w:rPr>
          <w:rFonts w:ascii="Times New Roman" w:hAnsi="Times New Roman" w:cs="Times New Roman"/>
          <w:i/>
          <w:iCs/>
          <w:sz w:val="24"/>
          <w:szCs w:val="24"/>
        </w:rPr>
        <w:t>so,</w:t>
      </w:r>
      <w:r w:rsidRPr="00F153F6">
        <w:rPr>
          <w:rFonts w:ascii="Times New Roman" w:hAnsi="Times New Roman" w:cs="Times New Roman"/>
          <w:i/>
          <w:iCs/>
          <w:sz w:val="24"/>
          <w:szCs w:val="24"/>
        </w:rPr>
        <w:t xml:space="preserve"> in this case, the audio and the podcasts were a way of recording and at the end bringing it to the public. We had intended at some point to also do recordings of the workshops themselves and to make a kind of documentary afterwards. But to be honest, actually, there was not the money to do this kind of stuff. Production wise, it takes a lot of effort. </w:t>
      </w:r>
      <w:r w:rsidR="005A3DC1" w:rsidRPr="00F153F6">
        <w:rPr>
          <w:rFonts w:ascii="Times New Roman" w:hAnsi="Times New Roman" w:cs="Times New Roman"/>
          <w:i/>
          <w:iCs/>
          <w:sz w:val="24"/>
          <w:szCs w:val="24"/>
        </w:rPr>
        <w:t>So,</w:t>
      </w:r>
      <w:r w:rsidRPr="00F153F6">
        <w:rPr>
          <w:rFonts w:ascii="Times New Roman" w:hAnsi="Times New Roman" w:cs="Times New Roman"/>
          <w:i/>
          <w:iCs/>
          <w:sz w:val="24"/>
          <w:szCs w:val="24"/>
        </w:rPr>
        <w:t xml:space="preserve"> we did record the sessions, but it will be more processed in a kind of policy advisory that are documented afterwards so that we can know how the sessions are developed, but the podcasts of the context and the projects themselves play that role very much” (Project B2, Participant 1, Para. 78)</w:t>
      </w:r>
    </w:p>
    <w:p w14:paraId="0642FD5F" w14:textId="77777777" w:rsidR="0015201A" w:rsidRPr="00F153F6" w:rsidRDefault="0015201A" w:rsidP="004424B4">
      <w:pPr>
        <w:spacing w:line="360" w:lineRule="auto"/>
        <w:jc w:val="both"/>
        <w:rPr>
          <w:rFonts w:ascii="Times New Roman" w:hAnsi="Times New Roman" w:cs="Times New Roman"/>
          <w:sz w:val="24"/>
          <w:szCs w:val="24"/>
        </w:rPr>
      </w:pPr>
    </w:p>
    <w:p w14:paraId="52FED11F" w14:textId="77777777"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the above example, actors use videos and podcasts to record their workshop activities for monitoring purposes </w:t>
      </w:r>
      <w:bookmarkEnd w:id="601"/>
      <w:bookmarkEnd w:id="602"/>
      <w:r w:rsidRPr="00F153F6">
        <w:rPr>
          <w:rFonts w:ascii="Times New Roman" w:hAnsi="Times New Roman" w:cs="Times New Roman"/>
          <w:sz w:val="24"/>
          <w:szCs w:val="24"/>
        </w:rPr>
        <w:t>and to check how workshop activities are developing. These videos are also available to the public, revealing the transparent nature of the Living Lab project. Although there seems to be better ways to monitor these activities, the financial situation of the project may become a constraint inhibiting such changes to take place.</w:t>
      </w:r>
    </w:p>
    <w:p w14:paraId="14A9612A" w14:textId="77777777" w:rsidR="0015201A" w:rsidRPr="00F153F6" w:rsidRDefault="0015201A" w:rsidP="004424B4">
      <w:pPr>
        <w:spacing w:line="360" w:lineRule="auto"/>
        <w:jc w:val="both"/>
        <w:rPr>
          <w:rFonts w:ascii="Times New Roman" w:hAnsi="Times New Roman" w:cs="Times New Roman"/>
          <w:sz w:val="24"/>
          <w:szCs w:val="24"/>
        </w:rPr>
      </w:pPr>
    </w:p>
    <w:p w14:paraId="41014600" w14:textId="77777777"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Staffing</w:t>
      </w:r>
    </w:p>
    <w:p w14:paraId="68E73B40" w14:textId="307C9622"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Staffing refers to activities in which actors (re-)arrange personnel, allocate them tasks and roles, and get them agreed to conduct next unity of actions as the project moves forward based on their existing achievements. At the project’s middle stage, there are continually new tasks to be allocated to different project members. </w:t>
      </w:r>
      <w:r w:rsidR="00FA603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provide actors with tools that help with assigning staff, allowing actors to clearly indicate the roles and responsibilities for each other. This facilitates actors to better understand how to direct the projects performance in a better way. As one interviewee notes:</w:t>
      </w:r>
    </w:p>
    <w:p w14:paraId="09D8EA82" w14:textId="77777777" w:rsidR="0015201A" w:rsidRPr="00F153F6" w:rsidRDefault="0015201A" w:rsidP="004424B4">
      <w:pPr>
        <w:spacing w:line="360" w:lineRule="auto"/>
        <w:jc w:val="both"/>
        <w:rPr>
          <w:rFonts w:ascii="Times New Roman" w:hAnsi="Times New Roman" w:cs="Times New Roman"/>
          <w:sz w:val="24"/>
          <w:szCs w:val="24"/>
        </w:rPr>
      </w:pPr>
    </w:p>
    <w:p w14:paraId="61A9320D" w14:textId="2BBDE17F" w:rsidR="0015201A" w:rsidRPr="00F153F6" w:rsidRDefault="0015201A" w:rsidP="005A3DC1">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“We also use Trello. It’s like a digital board where you can put sticking notes on and assign tasks to </w:t>
      </w:r>
      <w:r w:rsidR="005A3DC1" w:rsidRPr="00F153F6">
        <w:rPr>
          <w:rFonts w:ascii="Times New Roman" w:hAnsi="Times New Roman" w:cs="Times New Roman"/>
          <w:i/>
          <w:iCs/>
          <w:sz w:val="24"/>
          <w:szCs w:val="24"/>
        </w:rPr>
        <w:t>p</w:t>
      </w:r>
      <w:r w:rsidRPr="00F153F6">
        <w:rPr>
          <w:rFonts w:ascii="Times New Roman" w:hAnsi="Times New Roman" w:cs="Times New Roman"/>
          <w:i/>
          <w:iCs/>
          <w:sz w:val="24"/>
          <w:szCs w:val="24"/>
        </w:rPr>
        <w:t>eople. So it’s a common matter for programming companies to divide the project and tasks and assignments to people” (Project B2, Participant 3, Para. 13)</w:t>
      </w:r>
    </w:p>
    <w:p w14:paraId="32F1F8BC" w14:textId="77777777" w:rsidR="0015201A" w:rsidRPr="00F153F6" w:rsidRDefault="0015201A" w:rsidP="004424B4">
      <w:pPr>
        <w:spacing w:line="360" w:lineRule="auto"/>
        <w:jc w:val="both"/>
        <w:rPr>
          <w:rFonts w:ascii="Times New Roman" w:hAnsi="Times New Roman" w:cs="Times New Roman"/>
          <w:sz w:val="24"/>
          <w:szCs w:val="24"/>
        </w:rPr>
      </w:pPr>
    </w:p>
    <w:p w14:paraId="07E0203D" w14:textId="77777777"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lastRenderedPageBreak/>
        <w:t>In the above example, actors use Trello for staffing activities. This is a tool used commonly organisations to allocate their tasks, which shows an industrial pattern of ICT selection as an environmental factor that may affect ICT-based IOKE practice. Trollo allows actors to demonstrate their roles and tasks clearly with the use of sticking notes, allowing actors assigning ability in staffing activities.</w:t>
      </w:r>
    </w:p>
    <w:p w14:paraId="3C4172C4" w14:textId="77777777" w:rsidR="0015201A" w:rsidRPr="00F153F6" w:rsidRDefault="0015201A" w:rsidP="004424B4">
      <w:pPr>
        <w:spacing w:line="360" w:lineRule="auto"/>
        <w:jc w:val="both"/>
        <w:rPr>
          <w:rFonts w:ascii="Times New Roman" w:hAnsi="Times New Roman" w:cs="Times New Roman"/>
        </w:rPr>
      </w:pPr>
    </w:p>
    <w:p w14:paraId="35DCA24B" w14:textId="77777777" w:rsidR="0015201A" w:rsidRPr="00F153F6" w:rsidRDefault="0015201A" w:rsidP="004424B4">
      <w:pPr>
        <w:pStyle w:val="Heading2"/>
        <w:spacing w:line="360" w:lineRule="auto"/>
        <w:rPr>
          <w:rFonts w:ascii="Times New Roman" w:hAnsi="Times New Roman" w:cs="Times New Roman"/>
          <w:sz w:val="32"/>
          <w:szCs w:val="32"/>
        </w:rPr>
      </w:pPr>
      <w:bookmarkStart w:id="603" w:name="_Toc118371141"/>
      <w:bookmarkStart w:id="604" w:name="_Toc133252167"/>
      <w:r w:rsidRPr="00F153F6">
        <w:rPr>
          <w:rFonts w:ascii="Times New Roman" w:hAnsi="Times New Roman" w:cs="Times New Roman"/>
          <w:sz w:val="32"/>
          <w:szCs w:val="32"/>
        </w:rPr>
        <w:t>4.4. Completed Stage Finding</w:t>
      </w:r>
      <w:bookmarkEnd w:id="603"/>
      <w:bookmarkEnd w:id="604"/>
    </w:p>
    <w:p w14:paraId="11E48C9B" w14:textId="1F2EFAD6"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Figure 4.3 presents a framework of ICT-</w:t>
      </w:r>
      <w:r w:rsidR="00406033" w:rsidRPr="00F153F6">
        <w:rPr>
          <w:rFonts w:ascii="Times New Roman" w:hAnsi="Times New Roman" w:cs="Times New Roman"/>
          <w:sz w:val="24"/>
          <w:szCs w:val="24"/>
        </w:rPr>
        <w:t>based IOKE</w:t>
      </w:r>
      <w:r w:rsidRPr="00F153F6">
        <w:rPr>
          <w:rFonts w:ascii="Times New Roman" w:hAnsi="Times New Roman" w:cs="Times New Roman"/>
          <w:sz w:val="24"/>
          <w:szCs w:val="24"/>
        </w:rPr>
        <w:t xml:space="preserve"> during the completed stage of Living Lab projects. This section presents a detailed discussion regarding the concepts that emerged in relation to the ICT-based IOKE process for the project completed stage. Quotations are provided in the structure of: content of quotation; ID of project stage (C indicates completed stage); ID of project number; ID of interviewee; and No. of paragraph in specific interview transcripts. For example, </w:t>
      </w:r>
      <w:r w:rsidRPr="00F153F6">
        <w:rPr>
          <w:rFonts w:ascii="Times New Roman" w:hAnsi="Times New Roman" w:cs="Times New Roman"/>
          <w:i/>
          <w:iCs/>
          <w:sz w:val="24"/>
          <w:szCs w:val="24"/>
        </w:rPr>
        <w:t>‘(Project C3, Participant 2, Para. 20)’</w:t>
      </w:r>
      <w:r w:rsidRPr="00F153F6">
        <w:rPr>
          <w:rFonts w:ascii="Times New Roman" w:hAnsi="Times New Roman" w:cs="Times New Roman"/>
          <w:sz w:val="24"/>
          <w:szCs w:val="24"/>
        </w:rPr>
        <w:t xml:space="preserve"> indicates completed stage project, project No.3, interview participant No. 2, and paragraph No. 20 in the interview transcript.</w:t>
      </w:r>
    </w:p>
    <w:p w14:paraId="00F5AEB3" w14:textId="7674E645" w:rsidR="007148BA" w:rsidRPr="00F153F6" w:rsidRDefault="00E00ACE" w:rsidP="007148BA">
      <w:pPr>
        <w:keepNext/>
        <w:spacing w:line="360" w:lineRule="auto"/>
        <w:jc w:val="center"/>
      </w:pPr>
      <w:r w:rsidRPr="00F153F6">
        <w:rPr>
          <w:noProof/>
        </w:rPr>
        <w:lastRenderedPageBreak/>
        <w:drawing>
          <wp:inline distT="0" distB="0" distL="0" distR="0" wp14:anchorId="028E4D41" wp14:editId="2C10E507">
            <wp:extent cx="5731510" cy="4636135"/>
            <wp:effectExtent l="0" t="0" r="2540" b="0"/>
            <wp:docPr id="877032827"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32827" name="Picture 4"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636135"/>
                    </a:xfrm>
                    <a:prstGeom prst="rect">
                      <a:avLst/>
                    </a:prstGeom>
                    <a:noFill/>
                    <a:ln>
                      <a:noFill/>
                    </a:ln>
                  </pic:spPr>
                </pic:pic>
              </a:graphicData>
            </a:graphic>
          </wp:inline>
        </w:drawing>
      </w:r>
    </w:p>
    <w:p w14:paraId="6C3BC7AA" w14:textId="136382E7" w:rsidR="007148BA" w:rsidRPr="00F153F6" w:rsidRDefault="007148BA" w:rsidP="007148BA">
      <w:pPr>
        <w:pStyle w:val="Caption"/>
        <w:jc w:val="center"/>
        <w:rPr>
          <w:rFonts w:ascii="Times New Roman" w:hAnsi="Times New Roman" w:cs="Times New Roman"/>
          <w:i w:val="0"/>
          <w:iCs w:val="0"/>
          <w:color w:val="auto"/>
          <w:sz w:val="22"/>
          <w:szCs w:val="22"/>
        </w:rPr>
      </w:pPr>
      <w:bookmarkStart w:id="605" w:name="_Toc119448467"/>
      <w:r w:rsidRPr="00F153F6">
        <w:rPr>
          <w:rFonts w:ascii="Times New Roman" w:hAnsi="Times New Roman" w:cs="Times New Roman"/>
          <w:i w:val="0"/>
          <w:iCs w:val="0"/>
          <w:color w:val="auto"/>
          <w:sz w:val="22"/>
          <w:szCs w:val="22"/>
        </w:rPr>
        <w:t xml:space="preserve">Figure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Figure_4.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3</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ICT-based Inter-organisational Knowledge Exchange Practice (Completed Stage)</w:t>
      </w:r>
      <w:bookmarkEnd w:id="605"/>
    </w:p>
    <w:p w14:paraId="791CC703" w14:textId="72F42C7D" w:rsidR="0015201A" w:rsidRPr="00F153F6" w:rsidRDefault="0015201A" w:rsidP="004424B4">
      <w:pPr>
        <w:spacing w:line="360" w:lineRule="auto"/>
        <w:jc w:val="both"/>
        <w:rPr>
          <w:rFonts w:ascii="Times New Roman" w:hAnsi="Times New Roman" w:cs="Times New Roman"/>
        </w:rPr>
      </w:pPr>
      <w:r w:rsidRPr="00F153F6">
        <w:rPr>
          <w:rFonts w:ascii="Times New Roman" w:hAnsi="Times New Roman" w:cs="Times New Roman"/>
        </w:rPr>
        <w:fldChar w:fldCharType="begin"/>
      </w:r>
      <w:r w:rsidRPr="00F153F6">
        <w:rPr>
          <w:rFonts w:ascii="Times New Roman" w:hAnsi="Times New Roman" w:cs="Times New Roman"/>
        </w:rPr>
        <w:instrText xml:space="preserve"> INCLUDEPICTURE "https://documents.lucid.app/documents/44d8b9b0-6d41-4b5d-a20d-ee01d91060ef/pages/0_0?a=10246&amp;x=8440&amp;y=-795&amp;w=1760&amp;h=1645&amp;store=1&amp;accept=image%2F*&amp;auth=LCA%20c3f5dac708199b0b1414d6cd5a8448c15a7bd1d8-ts%3D1643667786" \* MERGEFORMATINET </w:instrText>
      </w:r>
      <w:r w:rsidR="00000000">
        <w:rPr>
          <w:rFonts w:ascii="Times New Roman" w:hAnsi="Times New Roman" w:cs="Times New Roman"/>
        </w:rPr>
        <w:fldChar w:fldCharType="separate"/>
      </w:r>
      <w:r w:rsidRPr="00F153F6">
        <w:rPr>
          <w:rFonts w:ascii="Times New Roman" w:hAnsi="Times New Roman" w:cs="Times New Roman"/>
        </w:rPr>
        <w:fldChar w:fldCharType="end"/>
      </w:r>
    </w:p>
    <w:p w14:paraId="3BDE0872" w14:textId="021F359E"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During the project completion stage, IOKE is continuously taking place under three contextual layers: inter-organisational context, intra-organisational context, and environmental context, these being influenced and influencing diverse embedded contextual characteristics and mediated by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IOKE at the project completed stage is characterised by four different knowledgeabilities, namely: inter-connecting; insights spreading; co-constructing; and co-ordinating. Each of these knowledgeabilities are enacted through different activities and are mediated via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Two of these knowledgeabilities: insights spreading and co-constructing (i.e.</w:t>
      </w:r>
      <w:r w:rsidR="00BC4C23" w:rsidRPr="00F153F6">
        <w:rPr>
          <w:rFonts w:ascii="Times New Roman" w:hAnsi="Times New Roman" w:cs="Times New Roman"/>
          <w:sz w:val="24"/>
          <w:szCs w:val="24"/>
        </w:rPr>
        <w:t>,</w:t>
      </w:r>
      <w:r w:rsidRPr="00F153F6">
        <w:rPr>
          <w:rFonts w:ascii="Times New Roman" w:hAnsi="Times New Roman" w:cs="Times New Roman"/>
          <w:sz w:val="24"/>
          <w:szCs w:val="24"/>
        </w:rPr>
        <w:t xml:space="preserve"> knowing how to </w:t>
      </w:r>
      <w:r w:rsidR="0068434D" w:rsidRPr="00F153F6">
        <w:rPr>
          <w:rFonts w:ascii="Times New Roman" w:hAnsi="Times New Roman" w:cs="Times New Roman"/>
          <w:sz w:val="24"/>
          <w:szCs w:val="24"/>
        </w:rPr>
        <w:t>disseminate</w:t>
      </w:r>
      <w:r w:rsidRPr="00F153F6">
        <w:rPr>
          <w:rFonts w:ascii="Times New Roman" w:hAnsi="Times New Roman" w:cs="Times New Roman"/>
          <w:sz w:val="24"/>
          <w:szCs w:val="24"/>
        </w:rPr>
        <w:t xml:space="preserve"> impact, and knowing how to integrate efforts) are viewed as core knowledgeabilities because they are recognised as core abilities in pursuits of project goals at the project completed stage. These core knowledgeabilities occur only when actors can connect to each other,  i.e. inter-connecting is a condition for these knowledgeabilities, whereby knowing how to cultivate relationships with different actors is enacted. As a result of the enactment of insights spreading and co-constructing, actors are able to co-ordinate their project </w:t>
      </w:r>
      <w:r w:rsidRPr="00F153F6">
        <w:rPr>
          <w:rFonts w:ascii="Times New Roman" w:hAnsi="Times New Roman" w:cs="Times New Roman"/>
          <w:sz w:val="24"/>
          <w:szCs w:val="24"/>
        </w:rPr>
        <w:lastRenderedPageBreak/>
        <w:t xml:space="preserve">activities moving forward, which allows them to develop a understanding regarding how to direct project performance to move forward. Therefore, co-ordinating becomes the resulting knowledgeability of these core knowledgeabilities. Although the core knowledgeabilities and the role of ICT are different here compared to other stages, the finding shows a similar implication on the nature of ICT-based IOKE practice across all stages; that is, as part of the ICT-based IOKE actors enact their different knowledgeabilities with the support of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to achieve their goals, and their knowledgeabilities are thereby (re)produced in recurrent IOKEs. As a result,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play</w:t>
      </w:r>
      <w:r w:rsidR="00964DE8" w:rsidRPr="00F153F6">
        <w:rPr>
          <w:rFonts w:ascii="Times New Roman" w:hAnsi="Times New Roman" w:cs="Times New Roman"/>
          <w:sz w:val="24"/>
          <w:szCs w:val="24"/>
        </w:rPr>
        <w:t>s</w:t>
      </w:r>
      <w:r w:rsidRPr="00F153F6">
        <w:rPr>
          <w:rFonts w:ascii="Times New Roman" w:hAnsi="Times New Roman" w:cs="Times New Roman"/>
          <w:sz w:val="24"/>
          <w:szCs w:val="24"/>
        </w:rPr>
        <w:t xml:space="preserve"> a significant role in these practices by </w:t>
      </w:r>
      <w:r w:rsidR="006A6C81" w:rsidRPr="00F153F6">
        <w:rPr>
          <w:rFonts w:ascii="Times New Roman" w:hAnsi="Times New Roman" w:cs="Times New Roman"/>
          <w:sz w:val="24"/>
          <w:szCs w:val="24"/>
        </w:rPr>
        <w:t>affording</w:t>
      </w:r>
      <w:r w:rsidRPr="00F153F6">
        <w:rPr>
          <w:rFonts w:ascii="Times New Roman" w:hAnsi="Times New Roman" w:cs="Times New Roman"/>
          <w:sz w:val="24"/>
          <w:szCs w:val="24"/>
        </w:rPr>
        <w:t xml:space="preserve"> or constraining different action possibilities while actors engage in activities. </w:t>
      </w:r>
    </w:p>
    <w:p w14:paraId="4CE03C72" w14:textId="65FC7F6A"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above </w:t>
      </w:r>
      <w:r w:rsidR="00964DE8" w:rsidRPr="00F153F6">
        <w:rPr>
          <w:rFonts w:ascii="Times New Roman" w:hAnsi="Times New Roman" w:cs="Times New Roman"/>
          <w:sz w:val="24"/>
          <w:szCs w:val="24"/>
        </w:rPr>
        <w:t>are</w:t>
      </w:r>
      <w:r w:rsidRPr="00F153F6">
        <w:rPr>
          <w:rFonts w:ascii="Times New Roman" w:hAnsi="Times New Roman" w:cs="Times New Roman"/>
          <w:sz w:val="24"/>
          <w:szCs w:val="24"/>
        </w:rPr>
        <w:t xml:space="preserve"> summarised in Table 4.12. In the project completed stage, there are four different knowledgeabilities within the ICT-based IOKE practice, each of which is an expression of different types of knowing in practice and is enacted or performed via different activities. Finally, the last column indicates how ICTs mediate actions as part of each knowledgeability, a</w:t>
      </w:r>
      <w:r w:rsidR="006A6C81" w:rsidRPr="00F153F6">
        <w:rPr>
          <w:rFonts w:ascii="Times New Roman" w:hAnsi="Times New Roman" w:cs="Times New Roman"/>
          <w:sz w:val="24"/>
          <w:szCs w:val="24"/>
        </w:rPr>
        <w:t>ffording</w:t>
      </w:r>
      <w:r w:rsidRPr="00F153F6">
        <w:rPr>
          <w:rFonts w:ascii="Times New Roman" w:hAnsi="Times New Roman" w:cs="Times New Roman"/>
          <w:sz w:val="24"/>
          <w:szCs w:val="24"/>
        </w:rPr>
        <w:t xml:space="preserve"> or constraining actors’ distinct capabilities. These are discussed in detail in the ensuing sections.</w:t>
      </w:r>
    </w:p>
    <w:p w14:paraId="19F1FCBC" w14:textId="4B27943D" w:rsidR="007148BA" w:rsidRPr="00F153F6" w:rsidRDefault="007148BA" w:rsidP="007148BA">
      <w:pPr>
        <w:pStyle w:val="Caption"/>
        <w:keepNext/>
        <w:rPr>
          <w:rFonts w:ascii="Times New Roman" w:hAnsi="Times New Roman" w:cs="Times New Roman"/>
          <w:i w:val="0"/>
          <w:iCs w:val="0"/>
          <w:color w:val="auto"/>
          <w:sz w:val="22"/>
          <w:szCs w:val="22"/>
        </w:rPr>
      </w:pPr>
      <w:bookmarkStart w:id="606" w:name="_Toc119448046"/>
      <w:r w:rsidRPr="00F153F6">
        <w:rPr>
          <w:rFonts w:ascii="Times New Roman" w:hAnsi="Times New Roman" w:cs="Times New Roman"/>
          <w:i w:val="0"/>
          <w:iCs w:val="0"/>
          <w:color w:val="auto"/>
          <w:sz w:val="22"/>
          <w:szCs w:val="22"/>
        </w:rPr>
        <w:t xml:space="preserve">Table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Table_4.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12</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Summary of knowledgeabilities in ICT-based IOKE practice, its relevant activities, performed knowledge and ICT </w:t>
      </w:r>
      <w:r w:rsidR="006A6C81" w:rsidRPr="00F153F6">
        <w:rPr>
          <w:rFonts w:ascii="Times New Roman" w:hAnsi="Times New Roman" w:cs="Times New Roman"/>
          <w:i w:val="0"/>
          <w:iCs w:val="0"/>
          <w:color w:val="auto"/>
          <w:sz w:val="22"/>
          <w:szCs w:val="22"/>
        </w:rPr>
        <w:t>affording</w:t>
      </w:r>
      <w:r w:rsidRPr="00F153F6">
        <w:rPr>
          <w:rFonts w:ascii="Times New Roman" w:hAnsi="Times New Roman" w:cs="Times New Roman"/>
          <w:i w:val="0"/>
          <w:iCs w:val="0"/>
          <w:color w:val="auto"/>
          <w:sz w:val="22"/>
          <w:szCs w:val="22"/>
        </w:rPr>
        <w:t xml:space="preserve"> and ICT constraints in the project completion stage</w:t>
      </w:r>
      <w:bookmarkEnd w:id="606"/>
    </w:p>
    <w:tbl>
      <w:tblPr>
        <w:tblStyle w:val="PlainTable5"/>
        <w:tblW w:w="5000" w:type="pct"/>
        <w:tblLook w:val="04A0" w:firstRow="1" w:lastRow="0" w:firstColumn="1" w:lastColumn="0" w:noHBand="0" w:noVBand="1"/>
      </w:tblPr>
      <w:tblGrid>
        <w:gridCol w:w="1931"/>
        <w:gridCol w:w="1755"/>
        <w:gridCol w:w="1560"/>
        <w:gridCol w:w="1986"/>
        <w:gridCol w:w="1794"/>
      </w:tblGrid>
      <w:tr w:rsidR="005549E4" w:rsidRPr="00F153F6" w14:paraId="6FDD7E6E" w14:textId="77777777" w:rsidTr="007148BA">
        <w:trPr>
          <w:cnfStyle w:val="100000000000" w:firstRow="1" w:lastRow="0" w:firstColumn="0" w:lastColumn="0" w:oddVBand="0" w:evenVBand="0" w:oddHBand="0" w:evenHBand="0" w:firstRowFirstColumn="0" w:firstRowLastColumn="0" w:lastRowFirstColumn="0" w:lastRowLastColumn="0"/>
          <w:trHeight w:val="979"/>
        </w:trPr>
        <w:tc>
          <w:tcPr>
            <w:cnfStyle w:val="001000000100" w:firstRow="0" w:lastRow="0" w:firstColumn="1" w:lastColumn="0" w:oddVBand="0" w:evenVBand="0" w:oddHBand="0" w:evenHBand="0" w:firstRowFirstColumn="1" w:firstRowLastColumn="0" w:lastRowFirstColumn="0" w:lastRowLastColumn="0"/>
            <w:tcW w:w="1070" w:type="pct"/>
            <w:tcBorders>
              <w:top w:val="single" w:sz="4" w:space="0" w:color="auto"/>
            </w:tcBorders>
          </w:tcPr>
          <w:p w14:paraId="1F4F3640" w14:textId="77777777" w:rsidR="0015201A" w:rsidRPr="00F153F6" w:rsidRDefault="0015201A" w:rsidP="004424B4">
            <w:pPr>
              <w:spacing w:line="360" w:lineRule="auto"/>
              <w:jc w:val="both"/>
              <w:rPr>
                <w:rFonts w:ascii="Times New Roman" w:hAnsi="Times New Roman" w:cs="Times New Roman"/>
                <w:b/>
                <w:bCs/>
                <w:sz w:val="22"/>
                <w:szCs w:val="21"/>
              </w:rPr>
            </w:pPr>
            <w:bookmarkStart w:id="607" w:name="OLE_LINK964"/>
            <w:bookmarkStart w:id="608" w:name="OLE_LINK965"/>
            <w:r w:rsidRPr="00F153F6">
              <w:rPr>
                <w:rFonts w:ascii="Times New Roman" w:hAnsi="Times New Roman" w:cs="Times New Roman"/>
                <w:b/>
                <w:bCs/>
                <w:sz w:val="22"/>
                <w:szCs w:val="21"/>
              </w:rPr>
              <w:t>Knowledgeabilities of ICT-based IOKE Practice</w:t>
            </w:r>
          </w:p>
        </w:tc>
        <w:tc>
          <w:tcPr>
            <w:tcW w:w="972" w:type="pct"/>
            <w:tcBorders>
              <w:top w:val="single" w:sz="4" w:space="0" w:color="auto"/>
            </w:tcBorders>
          </w:tcPr>
          <w:p w14:paraId="3CE0EF2C"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1"/>
              </w:rPr>
            </w:pPr>
            <w:r w:rsidRPr="00F153F6">
              <w:rPr>
                <w:rFonts w:ascii="Times New Roman" w:hAnsi="Times New Roman" w:cs="Times New Roman"/>
                <w:b/>
                <w:bCs/>
                <w:sz w:val="22"/>
                <w:szCs w:val="21"/>
              </w:rPr>
              <w:t>Knowing in practice</w:t>
            </w:r>
          </w:p>
        </w:tc>
        <w:tc>
          <w:tcPr>
            <w:tcW w:w="864" w:type="pct"/>
            <w:tcBorders>
              <w:top w:val="single" w:sz="4" w:space="0" w:color="auto"/>
            </w:tcBorders>
          </w:tcPr>
          <w:p w14:paraId="1C442E1F" w14:textId="77777777" w:rsidR="0015201A" w:rsidRPr="00F153F6" w:rsidRDefault="0015201A" w:rsidP="004424B4">
            <w:pPr>
              <w:tabs>
                <w:tab w:val="left" w:pos="495"/>
                <w:tab w:val="center" w:pos="964"/>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1"/>
              </w:rPr>
            </w:pPr>
            <w:r w:rsidRPr="00F153F6">
              <w:rPr>
                <w:rFonts w:ascii="Times New Roman" w:hAnsi="Times New Roman" w:cs="Times New Roman"/>
                <w:b/>
                <w:bCs/>
                <w:sz w:val="22"/>
                <w:szCs w:val="21"/>
              </w:rPr>
              <w:tab/>
            </w:r>
            <w:r w:rsidRPr="00F153F6">
              <w:rPr>
                <w:rFonts w:ascii="Times New Roman" w:hAnsi="Times New Roman" w:cs="Times New Roman"/>
                <w:b/>
                <w:bCs/>
                <w:sz w:val="22"/>
                <w:szCs w:val="21"/>
              </w:rPr>
              <w:tab/>
              <w:t>Activities</w:t>
            </w:r>
          </w:p>
        </w:tc>
        <w:tc>
          <w:tcPr>
            <w:tcW w:w="1100" w:type="pct"/>
            <w:tcBorders>
              <w:top w:val="single" w:sz="4" w:space="0" w:color="auto"/>
            </w:tcBorders>
          </w:tcPr>
          <w:p w14:paraId="7EAA2B82" w14:textId="207988C1"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1"/>
              </w:rPr>
            </w:pPr>
            <w:r w:rsidRPr="00F153F6">
              <w:rPr>
                <w:rFonts w:ascii="Times New Roman" w:hAnsi="Times New Roman" w:cs="Times New Roman"/>
                <w:b/>
                <w:bCs/>
                <w:sz w:val="22"/>
                <w:szCs w:val="21"/>
              </w:rPr>
              <w:t>ICT-</w:t>
            </w:r>
            <w:r w:rsidR="006A6C81" w:rsidRPr="00F153F6">
              <w:rPr>
                <w:rFonts w:ascii="Times New Roman" w:hAnsi="Times New Roman" w:cs="Times New Roman"/>
                <w:b/>
                <w:bCs/>
                <w:sz w:val="22"/>
                <w:szCs w:val="21"/>
              </w:rPr>
              <w:t>Afforded</w:t>
            </w:r>
            <w:r w:rsidRPr="00F153F6">
              <w:rPr>
                <w:rFonts w:ascii="Times New Roman" w:hAnsi="Times New Roman" w:cs="Times New Roman"/>
                <w:b/>
                <w:bCs/>
                <w:sz w:val="22"/>
                <w:szCs w:val="21"/>
              </w:rPr>
              <w:t xml:space="preserve"> Abilities </w:t>
            </w:r>
          </w:p>
        </w:tc>
        <w:tc>
          <w:tcPr>
            <w:tcW w:w="994" w:type="pct"/>
            <w:tcBorders>
              <w:top w:val="single" w:sz="4" w:space="0" w:color="auto"/>
            </w:tcBorders>
          </w:tcPr>
          <w:p w14:paraId="615408AB"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1"/>
              </w:rPr>
            </w:pPr>
            <w:r w:rsidRPr="00F153F6">
              <w:rPr>
                <w:rFonts w:ascii="Times New Roman" w:hAnsi="Times New Roman" w:cs="Times New Roman"/>
                <w:b/>
                <w:bCs/>
                <w:sz w:val="22"/>
                <w:szCs w:val="21"/>
              </w:rPr>
              <w:t xml:space="preserve">ICT-Constrained Abilities </w:t>
            </w:r>
          </w:p>
        </w:tc>
      </w:tr>
      <w:tr w:rsidR="005549E4" w:rsidRPr="00F153F6" w14:paraId="2905196E" w14:textId="77777777" w:rsidTr="007148BA">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070" w:type="pct"/>
          </w:tcPr>
          <w:p w14:paraId="1F483AE6" w14:textId="77777777" w:rsidR="0015201A" w:rsidRPr="00F153F6" w:rsidRDefault="0015201A" w:rsidP="004424B4">
            <w:pPr>
              <w:spacing w:line="360" w:lineRule="auto"/>
              <w:jc w:val="both"/>
              <w:rPr>
                <w:rFonts w:ascii="Times New Roman" w:hAnsi="Times New Roman" w:cs="Times New Roman"/>
                <w:i w:val="0"/>
                <w:iCs w:val="0"/>
                <w:sz w:val="22"/>
                <w:szCs w:val="21"/>
              </w:rPr>
            </w:pPr>
            <w:r w:rsidRPr="00F153F6">
              <w:rPr>
                <w:rFonts w:ascii="Times New Roman" w:hAnsi="Times New Roman" w:cs="Times New Roman"/>
                <w:sz w:val="22"/>
                <w:szCs w:val="21"/>
              </w:rPr>
              <w:t xml:space="preserve">Inter-connecting </w:t>
            </w:r>
          </w:p>
          <w:p w14:paraId="310843A0" w14:textId="77777777" w:rsidR="0015201A" w:rsidRPr="00F153F6" w:rsidRDefault="0015201A" w:rsidP="004424B4">
            <w:pPr>
              <w:spacing w:line="360" w:lineRule="auto"/>
              <w:jc w:val="both"/>
              <w:rPr>
                <w:rFonts w:ascii="Times New Roman" w:hAnsi="Times New Roman" w:cs="Times New Roman"/>
                <w:sz w:val="22"/>
                <w:szCs w:val="21"/>
              </w:rPr>
            </w:pPr>
          </w:p>
        </w:tc>
        <w:tc>
          <w:tcPr>
            <w:tcW w:w="972" w:type="pct"/>
            <w:shd w:val="clear" w:color="auto" w:fill="auto"/>
          </w:tcPr>
          <w:p w14:paraId="25172233"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Knowing how to cultivate relationship</w:t>
            </w:r>
          </w:p>
        </w:tc>
        <w:tc>
          <w:tcPr>
            <w:tcW w:w="864" w:type="pct"/>
            <w:shd w:val="clear" w:color="auto" w:fill="auto"/>
          </w:tcPr>
          <w:p w14:paraId="0387C68A"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Connecting</w:t>
            </w:r>
          </w:p>
          <w:p w14:paraId="0AD83E9A"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24E662B4"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Socialising</w:t>
            </w:r>
          </w:p>
        </w:tc>
        <w:tc>
          <w:tcPr>
            <w:tcW w:w="1100" w:type="pct"/>
            <w:shd w:val="clear" w:color="auto" w:fill="auto"/>
          </w:tcPr>
          <w:p w14:paraId="3565552E"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Grouping</w:t>
            </w:r>
          </w:p>
          <w:p w14:paraId="0B818B9F"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03D6184D"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Cross-distance Networking</w:t>
            </w:r>
          </w:p>
          <w:p w14:paraId="476EE4AA"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04472B6C"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Notifying</w:t>
            </w:r>
          </w:p>
          <w:p w14:paraId="395983A9"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3A1CB16D"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c>
          <w:tcPr>
            <w:tcW w:w="994" w:type="pct"/>
            <w:shd w:val="clear" w:color="auto" w:fill="auto"/>
          </w:tcPr>
          <w:p w14:paraId="79CF83ED"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Stress Releasing</w:t>
            </w:r>
          </w:p>
        </w:tc>
      </w:tr>
      <w:tr w:rsidR="005549E4" w:rsidRPr="00F153F6" w14:paraId="39C6BA26" w14:textId="77777777" w:rsidTr="007148BA">
        <w:trPr>
          <w:trHeight w:val="1724"/>
        </w:trPr>
        <w:tc>
          <w:tcPr>
            <w:cnfStyle w:val="001000000000" w:firstRow="0" w:lastRow="0" w:firstColumn="1" w:lastColumn="0" w:oddVBand="0" w:evenVBand="0" w:oddHBand="0" w:evenHBand="0" w:firstRowFirstColumn="0" w:firstRowLastColumn="0" w:lastRowFirstColumn="0" w:lastRowLastColumn="0"/>
            <w:tcW w:w="1070" w:type="pct"/>
          </w:tcPr>
          <w:p w14:paraId="43AD4E07" w14:textId="77777777" w:rsidR="0015201A" w:rsidRPr="00F153F6" w:rsidRDefault="0015201A" w:rsidP="004424B4">
            <w:pPr>
              <w:spacing w:line="360" w:lineRule="auto"/>
              <w:jc w:val="both"/>
              <w:rPr>
                <w:rFonts w:ascii="Times New Roman" w:hAnsi="Times New Roman" w:cs="Times New Roman"/>
                <w:i w:val="0"/>
                <w:iCs w:val="0"/>
                <w:sz w:val="22"/>
                <w:szCs w:val="21"/>
              </w:rPr>
            </w:pPr>
            <w:r w:rsidRPr="00F153F6">
              <w:rPr>
                <w:rFonts w:ascii="Times New Roman" w:hAnsi="Times New Roman" w:cs="Times New Roman"/>
                <w:sz w:val="22"/>
                <w:szCs w:val="21"/>
              </w:rPr>
              <w:lastRenderedPageBreak/>
              <w:t>Insights Spreading</w:t>
            </w:r>
          </w:p>
          <w:p w14:paraId="6A973DCE" w14:textId="77777777" w:rsidR="0015201A" w:rsidRPr="00F153F6" w:rsidRDefault="0015201A" w:rsidP="004424B4">
            <w:pPr>
              <w:spacing w:line="360" w:lineRule="auto"/>
              <w:jc w:val="both"/>
              <w:rPr>
                <w:rFonts w:ascii="Times New Roman" w:hAnsi="Times New Roman" w:cs="Times New Roman"/>
                <w:sz w:val="22"/>
                <w:szCs w:val="21"/>
              </w:rPr>
            </w:pPr>
          </w:p>
        </w:tc>
        <w:tc>
          <w:tcPr>
            <w:tcW w:w="972" w:type="pct"/>
            <w:shd w:val="clear" w:color="auto" w:fill="auto"/>
          </w:tcPr>
          <w:p w14:paraId="472AEAD1" w14:textId="17287C4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 xml:space="preserve">Knowing how to </w:t>
            </w:r>
            <w:r w:rsidR="0068434D" w:rsidRPr="00F153F6">
              <w:rPr>
                <w:rFonts w:ascii="Times New Roman" w:hAnsi="Times New Roman" w:cs="Times New Roman"/>
                <w:szCs w:val="21"/>
              </w:rPr>
              <w:t>disseminate impact</w:t>
            </w:r>
          </w:p>
        </w:tc>
        <w:tc>
          <w:tcPr>
            <w:tcW w:w="864" w:type="pct"/>
            <w:shd w:val="clear" w:color="auto" w:fill="auto"/>
          </w:tcPr>
          <w:p w14:paraId="547F2BBE"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Publishing</w:t>
            </w:r>
          </w:p>
          <w:p w14:paraId="2DBDED5E"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6A4804B7"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Circulating</w:t>
            </w:r>
          </w:p>
          <w:p w14:paraId="67E9CAF4"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0F1BD0C1"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Sharing</w:t>
            </w:r>
          </w:p>
          <w:p w14:paraId="392434FC"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3D117C37"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c>
          <w:tcPr>
            <w:tcW w:w="1100" w:type="pct"/>
            <w:shd w:val="clear" w:color="auto" w:fill="auto"/>
          </w:tcPr>
          <w:p w14:paraId="62D72D8F"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Visualising</w:t>
            </w:r>
          </w:p>
          <w:p w14:paraId="73FBB025"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19A17C8C"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Flexibility</w:t>
            </w:r>
          </w:p>
          <w:p w14:paraId="6333B922"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c>
          <w:tcPr>
            <w:tcW w:w="994" w:type="pct"/>
            <w:shd w:val="clear" w:color="auto" w:fill="auto"/>
          </w:tcPr>
          <w:p w14:paraId="525248FC"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r>
      <w:tr w:rsidR="005549E4" w:rsidRPr="00F153F6" w14:paraId="08CA2988" w14:textId="77777777" w:rsidTr="007148BA">
        <w:trPr>
          <w:cnfStyle w:val="000000100000" w:firstRow="0" w:lastRow="0" w:firstColumn="0" w:lastColumn="0" w:oddVBand="0" w:evenVBand="0" w:oddHBand="1" w:evenHBand="0" w:firstRowFirstColumn="0" w:firstRowLastColumn="0" w:lastRowFirstColumn="0" w:lastRowLastColumn="0"/>
          <w:trHeight w:val="1724"/>
        </w:trPr>
        <w:tc>
          <w:tcPr>
            <w:cnfStyle w:val="001000000000" w:firstRow="0" w:lastRow="0" w:firstColumn="1" w:lastColumn="0" w:oddVBand="0" w:evenVBand="0" w:oddHBand="0" w:evenHBand="0" w:firstRowFirstColumn="0" w:firstRowLastColumn="0" w:lastRowFirstColumn="0" w:lastRowLastColumn="0"/>
            <w:tcW w:w="1070" w:type="pct"/>
          </w:tcPr>
          <w:p w14:paraId="17E00C0A" w14:textId="77777777" w:rsidR="0015201A" w:rsidRPr="00F153F6" w:rsidRDefault="0015201A" w:rsidP="004424B4">
            <w:pPr>
              <w:spacing w:line="360" w:lineRule="auto"/>
              <w:jc w:val="both"/>
              <w:rPr>
                <w:rFonts w:ascii="Times New Roman" w:hAnsi="Times New Roman" w:cs="Times New Roman"/>
                <w:i w:val="0"/>
                <w:iCs w:val="0"/>
                <w:sz w:val="22"/>
                <w:szCs w:val="21"/>
              </w:rPr>
            </w:pPr>
            <w:r w:rsidRPr="00F153F6">
              <w:rPr>
                <w:rFonts w:ascii="Times New Roman" w:hAnsi="Times New Roman" w:cs="Times New Roman"/>
                <w:sz w:val="22"/>
                <w:szCs w:val="21"/>
              </w:rPr>
              <w:t>Co-constructing</w:t>
            </w:r>
          </w:p>
          <w:p w14:paraId="093A9302" w14:textId="77777777" w:rsidR="0015201A" w:rsidRPr="00F153F6" w:rsidRDefault="0015201A" w:rsidP="004424B4">
            <w:pPr>
              <w:spacing w:line="360" w:lineRule="auto"/>
              <w:jc w:val="both"/>
              <w:rPr>
                <w:rFonts w:ascii="Times New Roman" w:hAnsi="Times New Roman" w:cs="Times New Roman"/>
                <w:sz w:val="22"/>
                <w:szCs w:val="21"/>
              </w:rPr>
            </w:pPr>
          </w:p>
        </w:tc>
        <w:tc>
          <w:tcPr>
            <w:tcW w:w="972" w:type="pct"/>
            <w:shd w:val="clear" w:color="auto" w:fill="auto"/>
          </w:tcPr>
          <w:p w14:paraId="2726701F"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Knowing how to integrate efforts</w:t>
            </w:r>
          </w:p>
        </w:tc>
        <w:tc>
          <w:tcPr>
            <w:tcW w:w="864" w:type="pct"/>
            <w:shd w:val="clear" w:color="auto" w:fill="auto"/>
          </w:tcPr>
          <w:p w14:paraId="08A8182D"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Consolidating</w:t>
            </w:r>
          </w:p>
          <w:p w14:paraId="33B431B1"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22E327BF"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Collective Reflecting</w:t>
            </w:r>
          </w:p>
          <w:p w14:paraId="7F78990F"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c>
          <w:tcPr>
            <w:tcW w:w="1100" w:type="pct"/>
            <w:shd w:val="clear" w:color="auto" w:fill="auto"/>
          </w:tcPr>
          <w:p w14:paraId="5094CA03"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Reviewing</w:t>
            </w:r>
          </w:p>
          <w:p w14:paraId="7716AEC7"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3C3BF264"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Instant Workaround</w:t>
            </w:r>
          </w:p>
        </w:tc>
        <w:tc>
          <w:tcPr>
            <w:tcW w:w="994" w:type="pct"/>
            <w:shd w:val="clear" w:color="auto" w:fill="auto"/>
          </w:tcPr>
          <w:p w14:paraId="62CEC7F5"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Integrating</w:t>
            </w:r>
          </w:p>
          <w:p w14:paraId="31D9F5D8"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p w14:paraId="11B93245"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r>
      <w:tr w:rsidR="005549E4" w:rsidRPr="00F153F6" w14:paraId="27B516DD" w14:textId="77777777" w:rsidTr="007148BA">
        <w:trPr>
          <w:trHeight w:val="1476"/>
        </w:trPr>
        <w:tc>
          <w:tcPr>
            <w:cnfStyle w:val="001000000000" w:firstRow="0" w:lastRow="0" w:firstColumn="1" w:lastColumn="0" w:oddVBand="0" w:evenVBand="0" w:oddHBand="0" w:evenHBand="0" w:firstRowFirstColumn="0" w:firstRowLastColumn="0" w:lastRowFirstColumn="0" w:lastRowLastColumn="0"/>
            <w:tcW w:w="1070" w:type="pct"/>
            <w:tcBorders>
              <w:bottom w:val="single" w:sz="4" w:space="0" w:color="auto"/>
            </w:tcBorders>
          </w:tcPr>
          <w:p w14:paraId="4EA7FD2E" w14:textId="77777777" w:rsidR="0015201A" w:rsidRPr="00F153F6" w:rsidRDefault="0015201A" w:rsidP="004424B4">
            <w:pPr>
              <w:spacing w:line="360" w:lineRule="auto"/>
              <w:jc w:val="both"/>
              <w:rPr>
                <w:rFonts w:ascii="Times New Roman" w:hAnsi="Times New Roman" w:cs="Times New Roman"/>
                <w:sz w:val="22"/>
                <w:szCs w:val="21"/>
              </w:rPr>
            </w:pPr>
            <w:r w:rsidRPr="00F153F6">
              <w:rPr>
                <w:rFonts w:ascii="Times New Roman" w:hAnsi="Times New Roman" w:cs="Times New Roman"/>
                <w:sz w:val="22"/>
                <w:szCs w:val="21"/>
              </w:rPr>
              <w:t>Co-ordinating</w:t>
            </w:r>
          </w:p>
        </w:tc>
        <w:tc>
          <w:tcPr>
            <w:tcW w:w="972" w:type="pct"/>
            <w:tcBorders>
              <w:bottom w:val="single" w:sz="4" w:space="0" w:color="auto"/>
            </w:tcBorders>
          </w:tcPr>
          <w:p w14:paraId="1DA89F16"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Knowing how to direct performance</w:t>
            </w:r>
          </w:p>
        </w:tc>
        <w:tc>
          <w:tcPr>
            <w:tcW w:w="864" w:type="pct"/>
            <w:tcBorders>
              <w:bottom w:val="single" w:sz="4" w:space="0" w:color="auto"/>
            </w:tcBorders>
          </w:tcPr>
          <w:p w14:paraId="68EBCC82"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Controlling</w:t>
            </w:r>
          </w:p>
          <w:p w14:paraId="391175F0"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6DE64270"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 xml:space="preserve">Monitoring </w:t>
            </w:r>
          </w:p>
          <w:p w14:paraId="358FC31E"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673D1643"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Sustaining</w:t>
            </w:r>
          </w:p>
        </w:tc>
        <w:tc>
          <w:tcPr>
            <w:tcW w:w="1100" w:type="pct"/>
            <w:tcBorders>
              <w:bottom w:val="single" w:sz="4" w:space="0" w:color="auto"/>
            </w:tcBorders>
          </w:tcPr>
          <w:p w14:paraId="2D8BE34E"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Documenting</w:t>
            </w:r>
          </w:p>
          <w:p w14:paraId="6A9BEE71"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p w14:paraId="7B174D59"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Tracking</w:t>
            </w:r>
          </w:p>
        </w:tc>
        <w:tc>
          <w:tcPr>
            <w:tcW w:w="994" w:type="pct"/>
            <w:tcBorders>
              <w:bottom w:val="single" w:sz="4" w:space="0" w:color="auto"/>
            </w:tcBorders>
          </w:tcPr>
          <w:p w14:paraId="47FF498A"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F153F6">
              <w:rPr>
                <w:rFonts w:ascii="Times New Roman" w:hAnsi="Times New Roman" w:cs="Times New Roman"/>
                <w:szCs w:val="21"/>
              </w:rPr>
              <w:t>Localising</w:t>
            </w:r>
          </w:p>
        </w:tc>
      </w:tr>
      <w:bookmarkEnd w:id="607"/>
      <w:bookmarkEnd w:id="608"/>
    </w:tbl>
    <w:p w14:paraId="693AED0E" w14:textId="77777777" w:rsidR="0015201A" w:rsidRPr="00F153F6" w:rsidRDefault="0015201A" w:rsidP="004424B4">
      <w:pPr>
        <w:spacing w:line="360" w:lineRule="auto"/>
        <w:jc w:val="both"/>
        <w:rPr>
          <w:rFonts w:ascii="Times New Roman" w:hAnsi="Times New Roman" w:cs="Times New Roman"/>
        </w:rPr>
      </w:pPr>
    </w:p>
    <w:p w14:paraId="14A52AF3" w14:textId="73B4A8A4" w:rsidR="0015201A" w:rsidRPr="00F153F6" w:rsidRDefault="0015201A" w:rsidP="005A3DC1">
      <w:pPr>
        <w:pStyle w:val="Heading3"/>
        <w:spacing w:line="360" w:lineRule="auto"/>
        <w:ind w:left="720"/>
        <w:jc w:val="both"/>
        <w:rPr>
          <w:rFonts w:ascii="Times New Roman" w:hAnsi="Times New Roman" w:cs="Times New Roman"/>
          <w:b/>
          <w:color w:val="auto"/>
          <w:sz w:val="28"/>
          <w:szCs w:val="28"/>
        </w:rPr>
      </w:pPr>
      <w:bookmarkStart w:id="609" w:name="_Toc118371142"/>
      <w:bookmarkStart w:id="610" w:name="_Toc133252168"/>
      <w:r w:rsidRPr="00F153F6">
        <w:rPr>
          <w:rFonts w:ascii="Times New Roman" w:hAnsi="Times New Roman" w:cs="Times New Roman"/>
          <w:b/>
          <w:color w:val="auto"/>
          <w:sz w:val="28"/>
          <w:szCs w:val="28"/>
        </w:rPr>
        <w:t xml:space="preserve">4.4.1. Inter-connecting and </w:t>
      </w:r>
      <w:r w:rsidR="00964DE8" w:rsidRPr="00F153F6">
        <w:rPr>
          <w:rFonts w:ascii="Times New Roman" w:hAnsi="Times New Roman" w:cs="Times New Roman"/>
          <w:b/>
          <w:color w:val="auto"/>
          <w:sz w:val="28"/>
          <w:szCs w:val="28"/>
        </w:rPr>
        <w:t>ICT</w:t>
      </w:r>
      <w:bookmarkEnd w:id="609"/>
      <w:bookmarkEnd w:id="610"/>
    </w:p>
    <w:p w14:paraId="1F6D5F3B" w14:textId="13757243"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Inter-connecting refers to a knowledgeability by which actors are inter-connected with the help of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to establish a network among them. At the completed stage, there are two types of activities involved in this: Connecting and Socialising. During these activities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 facilitate such inter-connection by providing actors cross-distance networking, networking maintaining, and a notifying ability to develop their understanding and expertise in how to cultivate relationships with others, while this may also inhibit their inter-connection by constrain actors’ </w:t>
      </w:r>
      <w:bookmarkStart w:id="611" w:name="OLE_LINK982"/>
      <w:bookmarkStart w:id="612" w:name="OLE_LINK983"/>
      <w:r w:rsidRPr="00F153F6">
        <w:rPr>
          <w:rFonts w:ascii="Times New Roman" w:hAnsi="Times New Roman" w:cs="Times New Roman"/>
          <w:sz w:val="24"/>
          <w:szCs w:val="24"/>
        </w:rPr>
        <w:t xml:space="preserve">stress releasing </w:t>
      </w:r>
      <w:bookmarkEnd w:id="611"/>
      <w:bookmarkEnd w:id="612"/>
      <w:r w:rsidRPr="00F153F6">
        <w:rPr>
          <w:rFonts w:ascii="Times New Roman" w:hAnsi="Times New Roman" w:cs="Times New Roman"/>
          <w:sz w:val="24"/>
          <w:szCs w:val="24"/>
        </w:rPr>
        <w:t xml:space="preserve">ability. Table 4.13 provides a summary of inter-connecting knowledgeability, </w:t>
      </w:r>
      <w:r w:rsidRPr="00F153F6">
        <w:rPr>
          <w:rFonts w:ascii="Times New Roman" w:hAnsi="Times New Roman" w:cs="Times New Roman"/>
          <w:sz w:val="24"/>
          <w:szCs w:val="24"/>
        </w:rPr>
        <w:lastRenderedPageBreak/>
        <w:t>its accomplished knowing-in-practice, activities that allow the enactment of such knowledgeability, and their explanations.</w:t>
      </w:r>
    </w:p>
    <w:p w14:paraId="41EB21B1" w14:textId="77777777" w:rsidR="0015201A" w:rsidRPr="00F153F6" w:rsidRDefault="0015201A" w:rsidP="004424B4">
      <w:pPr>
        <w:spacing w:line="360" w:lineRule="auto"/>
        <w:jc w:val="both"/>
        <w:rPr>
          <w:rFonts w:ascii="Times New Roman" w:hAnsi="Times New Roman" w:cs="Times New Roman"/>
        </w:rPr>
      </w:pPr>
    </w:p>
    <w:p w14:paraId="21472E3E" w14:textId="12828295" w:rsidR="007148BA" w:rsidRPr="00F153F6" w:rsidRDefault="007148BA" w:rsidP="007148BA">
      <w:pPr>
        <w:pStyle w:val="Caption"/>
        <w:keepNext/>
        <w:rPr>
          <w:rFonts w:ascii="Times New Roman" w:hAnsi="Times New Roman" w:cs="Times New Roman"/>
          <w:i w:val="0"/>
          <w:iCs w:val="0"/>
          <w:color w:val="auto"/>
          <w:sz w:val="22"/>
          <w:szCs w:val="22"/>
        </w:rPr>
      </w:pPr>
      <w:bookmarkStart w:id="613" w:name="_Toc119448047"/>
      <w:r w:rsidRPr="00F153F6">
        <w:rPr>
          <w:rFonts w:ascii="Times New Roman" w:hAnsi="Times New Roman" w:cs="Times New Roman"/>
          <w:i w:val="0"/>
          <w:iCs w:val="0"/>
          <w:color w:val="auto"/>
          <w:sz w:val="22"/>
          <w:szCs w:val="22"/>
        </w:rPr>
        <w:t xml:space="preserve">Table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Table_4.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13</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Summary of the inter-connecting knowledgeability and its relevant elements</w:t>
      </w:r>
      <w:bookmarkEnd w:id="613"/>
    </w:p>
    <w:tbl>
      <w:tblPr>
        <w:tblStyle w:val="PlainTable5"/>
        <w:tblW w:w="9067" w:type="dxa"/>
        <w:tblLook w:val="04A0" w:firstRow="1" w:lastRow="0" w:firstColumn="1" w:lastColumn="0" w:noHBand="0" w:noVBand="1"/>
      </w:tblPr>
      <w:tblGrid>
        <w:gridCol w:w="2552"/>
        <w:gridCol w:w="2263"/>
        <w:gridCol w:w="4252"/>
      </w:tblGrid>
      <w:tr w:rsidR="005549E4" w:rsidRPr="00F153F6" w14:paraId="6DD42CFA" w14:textId="77777777" w:rsidTr="007148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Borders>
              <w:top w:val="single" w:sz="4" w:space="0" w:color="auto"/>
            </w:tcBorders>
            <w:shd w:val="clear" w:color="auto" w:fill="auto"/>
          </w:tcPr>
          <w:p w14:paraId="0C603EC2" w14:textId="77777777" w:rsidR="0015201A" w:rsidRPr="00F153F6" w:rsidRDefault="0015201A" w:rsidP="004424B4">
            <w:pPr>
              <w:spacing w:line="360" w:lineRule="auto"/>
              <w:jc w:val="both"/>
              <w:rPr>
                <w:rFonts w:ascii="Times New Roman" w:hAnsi="Times New Roman" w:cs="Times New Roman"/>
                <w:b/>
                <w:bCs/>
                <w:sz w:val="22"/>
              </w:rPr>
            </w:pPr>
            <w:r w:rsidRPr="00F153F6">
              <w:rPr>
                <w:rFonts w:ascii="Times New Roman" w:hAnsi="Times New Roman" w:cs="Times New Roman"/>
                <w:b/>
                <w:bCs/>
                <w:sz w:val="22"/>
              </w:rPr>
              <w:t>Knowledgeability</w:t>
            </w:r>
          </w:p>
        </w:tc>
        <w:tc>
          <w:tcPr>
            <w:tcW w:w="2263" w:type="dxa"/>
            <w:tcBorders>
              <w:top w:val="single" w:sz="4" w:space="0" w:color="auto"/>
            </w:tcBorders>
            <w:shd w:val="clear" w:color="auto" w:fill="auto"/>
          </w:tcPr>
          <w:p w14:paraId="63546234"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Activities</w:t>
            </w:r>
          </w:p>
        </w:tc>
        <w:tc>
          <w:tcPr>
            <w:tcW w:w="4252" w:type="dxa"/>
            <w:tcBorders>
              <w:top w:val="single" w:sz="4" w:space="0" w:color="auto"/>
            </w:tcBorders>
            <w:shd w:val="clear" w:color="auto" w:fill="auto"/>
          </w:tcPr>
          <w:p w14:paraId="37485AE7"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Explanations</w:t>
            </w:r>
          </w:p>
        </w:tc>
      </w:tr>
      <w:tr w:rsidR="005549E4" w:rsidRPr="00F153F6" w14:paraId="47AC2A7B" w14:textId="77777777" w:rsidTr="004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shd w:val="clear" w:color="auto" w:fill="auto"/>
          </w:tcPr>
          <w:p w14:paraId="7FCE6395" w14:textId="77777777" w:rsidR="0015201A" w:rsidRPr="00F153F6" w:rsidRDefault="0015201A" w:rsidP="004424B4">
            <w:pPr>
              <w:spacing w:line="360" w:lineRule="auto"/>
              <w:jc w:val="both"/>
              <w:rPr>
                <w:rFonts w:ascii="Times New Roman" w:hAnsi="Times New Roman" w:cs="Times New Roman"/>
                <w:i w:val="0"/>
                <w:iCs w:val="0"/>
                <w:sz w:val="22"/>
              </w:rPr>
            </w:pPr>
            <w:r w:rsidRPr="00F153F6">
              <w:rPr>
                <w:rFonts w:ascii="Times New Roman" w:hAnsi="Times New Roman" w:cs="Times New Roman"/>
                <w:sz w:val="22"/>
              </w:rPr>
              <w:t xml:space="preserve">Inter-connecting </w:t>
            </w:r>
          </w:p>
          <w:p w14:paraId="2BCF5992" w14:textId="77777777" w:rsidR="0015201A" w:rsidRPr="00F153F6" w:rsidRDefault="0015201A" w:rsidP="004424B4">
            <w:pPr>
              <w:spacing w:line="360" w:lineRule="auto"/>
              <w:jc w:val="both"/>
              <w:rPr>
                <w:rFonts w:ascii="Times New Roman" w:hAnsi="Times New Roman" w:cs="Times New Roman"/>
                <w:i w:val="0"/>
                <w:iCs w:val="0"/>
                <w:sz w:val="22"/>
              </w:rPr>
            </w:pPr>
          </w:p>
          <w:p w14:paraId="4CABF50E" w14:textId="77777777" w:rsidR="0015201A" w:rsidRPr="00F153F6" w:rsidRDefault="0015201A" w:rsidP="004424B4">
            <w:pPr>
              <w:spacing w:line="360" w:lineRule="auto"/>
              <w:jc w:val="both"/>
              <w:rPr>
                <w:rFonts w:ascii="Times New Roman" w:hAnsi="Times New Roman" w:cs="Times New Roman"/>
                <w:sz w:val="22"/>
              </w:rPr>
            </w:pPr>
            <w:r w:rsidRPr="00F153F6">
              <w:rPr>
                <w:rFonts w:ascii="Times New Roman" w:hAnsi="Times New Roman" w:cs="Times New Roman"/>
                <w:sz w:val="22"/>
              </w:rPr>
              <w:t>Explanation: Knowing how to cultivate relationship</w:t>
            </w:r>
          </w:p>
        </w:tc>
        <w:tc>
          <w:tcPr>
            <w:tcW w:w="2263" w:type="dxa"/>
            <w:shd w:val="clear" w:color="auto" w:fill="auto"/>
          </w:tcPr>
          <w:p w14:paraId="7BE4EAB5"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Connecting</w:t>
            </w:r>
          </w:p>
        </w:tc>
        <w:tc>
          <w:tcPr>
            <w:tcW w:w="4252" w:type="dxa"/>
            <w:shd w:val="clear" w:color="auto" w:fill="auto"/>
          </w:tcPr>
          <w:p w14:paraId="180D0CAE"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 xml:space="preserve">Actors approach each other and are connected for interaction in order to achieve work-related goals. The connecting activity indicates how actors are inter-connected to develop their knowing how to cultivate a workplace goal-oriented relationship. </w:t>
            </w:r>
          </w:p>
        </w:tc>
      </w:tr>
      <w:tr w:rsidR="005549E4" w:rsidRPr="00F153F6" w14:paraId="4528EEC3" w14:textId="77777777" w:rsidTr="007148BA">
        <w:tc>
          <w:tcPr>
            <w:cnfStyle w:val="001000000000" w:firstRow="0" w:lastRow="0" w:firstColumn="1" w:lastColumn="0" w:oddVBand="0" w:evenVBand="0" w:oddHBand="0" w:evenHBand="0" w:firstRowFirstColumn="0" w:firstRowLastColumn="0" w:lastRowFirstColumn="0" w:lastRowLastColumn="0"/>
            <w:tcW w:w="2552" w:type="dxa"/>
            <w:vMerge/>
            <w:tcBorders>
              <w:bottom w:val="single" w:sz="4" w:space="0" w:color="auto"/>
            </w:tcBorders>
            <w:shd w:val="clear" w:color="auto" w:fill="auto"/>
          </w:tcPr>
          <w:p w14:paraId="32E67E29" w14:textId="77777777" w:rsidR="0015201A" w:rsidRPr="00F153F6" w:rsidRDefault="0015201A" w:rsidP="004424B4">
            <w:pPr>
              <w:spacing w:line="360" w:lineRule="auto"/>
              <w:jc w:val="both"/>
              <w:rPr>
                <w:rFonts w:ascii="Times New Roman" w:hAnsi="Times New Roman" w:cs="Times New Roman"/>
                <w:sz w:val="22"/>
              </w:rPr>
            </w:pPr>
          </w:p>
        </w:tc>
        <w:tc>
          <w:tcPr>
            <w:tcW w:w="2263" w:type="dxa"/>
            <w:tcBorders>
              <w:bottom w:val="single" w:sz="4" w:space="0" w:color="auto"/>
            </w:tcBorders>
            <w:shd w:val="clear" w:color="auto" w:fill="auto"/>
          </w:tcPr>
          <w:p w14:paraId="4F82BDB1"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Socialising</w:t>
            </w:r>
          </w:p>
        </w:tc>
        <w:tc>
          <w:tcPr>
            <w:tcW w:w="4252" w:type="dxa"/>
            <w:tcBorders>
              <w:bottom w:val="single" w:sz="4" w:space="0" w:color="auto"/>
            </w:tcBorders>
            <w:shd w:val="clear" w:color="auto" w:fill="auto"/>
          </w:tcPr>
          <w:p w14:paraId="65B3FE20"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Actors communicate informally with social purpose</w:t>
            </w:r>
          </w:p>
        </w:tc>
      </w:tr>
    </w:tbl>
    <w:p w14:paraId="4DAF7B7F" w14:textId="77777777" w:rsidR="0015201A" w:rsidRPr="00F153F6" w:rsidRDefault="0015201A" w:rsidP="004424B4">
      <w:pPr>
        <w:spacing w:line="360" w:lineRule="auto"/>
        <w:jc w:val="both"/>
        <w:rPr>
          <w:rFonts w:ascii="Times New Roman" w:hAnsi="Times New Roman" w:cs="Times New Roman"/>
        </w:rPr>
      </w:pPr>
    </w:p>
    <w:p w14:paraId="602195D8" w14:textId="77777777" w:rsidR="0015201A" w:rsidRPr="00F153F6" w:rsidRDefault="0015201A" w:rsidP="004424B4">
      <w:pPr>
        <w:spacing w:line="360" w:lineRule="auto"/>
        <w:jc w:val="both"/>
        <w:rPr>
          <w:rFonts w:ascii="Times New Roman" w:hAnsi="Times New Roman" w:cs="Times New Roman"/>
        </w:rPr>
      </w:pPr>
    </w:p>
    <w:p w14:paraId="037E7017" w14:textId="47EFF9B6"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Connecting</w:t>
      </w:r>
    </w:p>
    <w:p w14:paraId="7C86BDA9" w14:textId="6B953371"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Connecting refers to the activities through which actors are assembled together to establish workplace goal-oriented relationships with each other. At the completed stage, actors continue engaging in activities to reach out to each other with a focus on maintaining communications with their collaborators. As one interviewee notes:</w:t>
      </w:r>
    </w:p>
    <w:p w14:paraId="68C9C15E" w14:textId="53C320F8"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w:t>
      </w:r>
      <w:bookmarkStart w:id="614" w:name="OLE_LINK974"/>
      <w:bookmarkStart w:id="615" w:name="OLE_LINK975"/>
      <w:r w:rsidRPr="00F153F6">
        <w:rPr>
          <w:rFonts w:ascii="Times New Roman" w:hAnsi="Times New Roman" w:cs="Times New Roman"/>
          <w:i/>
          <w:iCs/>
          <w:sz w:val="24"/>
          <w:szCs w:val="24"/>
        </w:rPr>
        <w:t xml:space="preserve">In the end, it’s surprising that some of the oldest technology is the one that works best. Sometimes. So, for example, for many stakeholders that were older, the most effective thing to reach out to them was just taking the phone and calling them, to maintain more regular contact between the workshops that we were doing. And with younger people, we just used a </w:t>
      </w:r>
      <w:r w:rsidR="00406033" w:rsidRPr="00F153F6">
        <w:rPr>
          <w:rFonts w:ascii="Times New Roman" w:hAnsi="Times New Roman" w:cs="Times New Roman"/>
          <w:i/>
          <w:iCs/>
          <w:sz w:val="24"/>
          <w:szCs w:val="24"/>
        </w:rPr>
        <w:t>lot of</w:t>
      </w:r>
      <w:r w:rsidRPr="00F153F6">
        <w:rPr>
          <w:rFonts w:ascii="Times New Roman" w:hAnsi="Times New Roman" w:cs="Times New Roman"/>
          <w:i/>
          <w:iCs/>
          <w:sz w:val="24"/>
          <w:szCs w:val="24"/>
        </w:rPr>
        <w:t xml:space="preserve"> Telegram. We have a Telegram group where all volunteers are there. With this tool, it was like a really easy way to get in touch with them. I mean for all these </w:t>
      </w:r>
      <w:r w:rsidR="00406033" w:rsidRPr="00F153F6">
        <w:rPr>
          <w:rFonts w:ascii="Times New Roman" w:hAnsi="Times New Roman" w:cs="Times New Roman"/>
          <w:i/>
          <w:iCs/>
          <w:sz w:val="24"/>
          <w:szCs w:val="24"/>
        </w:rPr>
        <w:t>projects</w:t>
      </w:r>
      <w:r w:rsidRPr="00F153F6">
        <w:rPr>
          <w:rFonts w:ascii="Times New Roman" w:hAnsi="Times New Roman" w:cs="Times New Roman"/>
          <w:i/>
          <w:iCs/>
          <w:sz w:val="24"/>
          <w:szCs w:val="24"/>
        </w:rPr>
        <w:t>, it’s very important that you maintain this rapport with the volunteers all the time</w:t>
      </w:r>
      <w:bookmarkEnd w:id="614"/>
      <w:bookmarkEnd w:id="615"/>
      <w:r w:rsidRPr="00F153F6">
        <w:rPr>
          <w:rFonts w:ascii="Times New Roman" w:hAnsi="Times New Roman" w:cs="Times New Roman"/>
          <w:i/>
          <w:iCs/>
          <w:sz w:val="24"/>
          <w:szCs w:val="24"/>
        </w:rPr>
        <w:t>.” (Project C2, Participant 1, Para. 47)</w:t>
      </w:r>
    </w:p>
    <w:p w14:paraId="1F0C1AB4" w14:textId="69446F9C"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Different age groups may have different preference on the use of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for connecting. Therefore, using suitable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for connecting can greatly enhance the effectiveness of </w:t>
      </w:r>
      <w:r w:rsidRPr="00F153F6">
        <w:rPr>
          <w:rFonts w:ascii="Times New Roman" w:hAnsi="Times New Roman" w:cs="Times New Roman"/>
          <w:sz w:val="24"/>
          <w:szCs w:val="24"/>
        </w:rPr>
        <w:lastRenderedPageBreak/>
        <w:t xml:space="preserve">maintaining communication. Regular contacts between actors reveals a formal structure of inter-organisational context. The grouping </w:t>
      </w:r>
      <w:r w:rsidR="006A6C81" w:rsidRPr="00F153F6">
        <w:rPr>
          <w:rFonts w:ascii="Times New Roman" w:hAnsi="Times New Roman" w:cs="Times New Roman"/>
          <w:sz w:val="24"/>
          <w:szCs w:val="24"/>
        </w:rPr>
        <w:t>affordance</w:t>
      </w:r>
      <w:r w:rsidRPr="00F153F6">
        <w:rPr>
          <w:rFonts w:ascii="Times New Roman" w:hAnsi="Times New Roman" w:cs="Times New Roman"/>
          <w:sz w:val="24"/>
          <w:szCs w:val="24"/>
        </w:rPr>
        <w:t xml:space="preserve"> of Telegram that allows actors to be grouped together can significantly facilitate such a connection among multiple actors. </w:t>
      </w:r>
    </w:p>
    <w:p w14:paraId="11FA3A83" w14:textId="600B687B"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addition, as during the previous two stages,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afford actors cross-distance abilities that allow them to inter-connect with others regardless of distance, and notifying ability that allows them to be informed by events at the completed stage such that actors are able to develop inter-connecting knowing in </w:t>
      </w:r>
      <w:r w:rsidR="007148BA" w:rsidRPr="00F153F6">
        <w:rPr>
          <w:rFonts w:ascii="Times New Roman" w:hAnsi="Times New Roman" w:cs="Times New Roman"/>
          <w:sz w:val="24"/>
          <w:szCs w:val="24"/>
        </w:rPr>
        <w:t>practice.</w:t>
      </w:r>
      <w:r w:rsidRPr="00F153F6">
        <w:rPr>
          <w:rFonts w:ascii="Times New Roman" w:hAnsi="Times New Roman" w:cs="Times New Roman"/>
          <w:sz w:val="24"/>
          <w:szCs w:val="24"/>
        </w:rPr>
        <w:t xml:space="preserve"> As one interviewee notes:</w:t>
      </w:r>
    </w:p>
    <w:p w14:paraId="47A379A6" w14:textId="298AF354" w:rsidR="0015201A" w:rsidRPr="00F153F6" w:rsidRDefault="0015201A" w:rsidP="004424B4">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“We are in Sicily. That is a very nice </w:t>
      </w:r>
      <w:r w:rsidR="00406033" w:rsidRPr="00F153F6">
        <w:rPr>
          <w:rFonts w:ascii="Times New Roman" w:hAnsi="Times New Roman" w:cs="Times New Roman"/>
          <w:i/>
          <w:iCs/>
          <w:sz w:val="24"/>
          <w:szCs w:val="24"/>
        </w:rPr>
        <w:t>place</w:t>
      </w:r>
      <w:r w:rsidRPr="00F153F6">
        <w:rPr>
          <w:rFonts w:ascii="Times New Roman" w:hAnsi="Times New Roman" w:cs="Times New Roman"/>
          <w:i/>
          <w:iCs/>
          <w:sz w:val="24"/>
          <w:szCs w:val="24"/>
        </w:rPr>
        <w:t xml:space="preserve"> to live. It’s very far from </w:t>
      </w:r>
      <w:r w:rsidR="00406033" w:rsidRPr="00F153F6">
        <w:rPr>
          <w:rFonts w:ascii="Times New Roman" w:hAnsi="Times New Roman" w:cs="Times New Roman"/>
          <w:i/>
          <w:iCs/>
          <w:sz w:val="24"/>
          <w:szCs w:val="24"/>
        </w:rPr>
        <w:t>everything</w:t>
      </w:r>
      <w:r w:rsidRPr="00F153F6">
        <w:rPr>
          <w:rFonts w:ascii="Times New Roman" w:hAnsi="Times New Roman" w:cs="Times New Roman"/>
          <w:i/>
          <w:iCs/>
          <w:sz w:val="24"/>
          <w:szCs w:val="24"/>
        </w:rPr>
        <w:t>. It’s pretty cool, but our consortium was made up as I told you of 13 other partners from five different countries. So for sure, we used Skype, we used Google Meet, we use Zoom, all the possible tools to get in contact with these people. We took a lot of planes, and this is allowed by polices now permitting face-to-face meetings, but the technologies are mainly of course the video calling technologies.” (Project C3, Participant 2, Para. 20)</w:t>
      </w:r>
    </w:p>
    <w:p w14:paraId="471D9B1B" w14:textId="484188DF"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“So we as a leader of the consortium, we use this </w:t>
      </w:r>
      <w:r w:rsidRPr="00F153F6">
        <w:rPr>
          <w:rFonts w:ascii="Times New Roman" w:hAnsi="Times New Roman" w:cs="Times New Roman"/>
          <w:sz w:val="24"/>
          <w:szCs w:val="24"/>
        </w:rPr>
        <w:t>[Slack]</w:t>
      </w:r>
      <w:r w:rsidRPr="00F153F6">
        <w:rPr>
          <w:rFonts w:ascii="Times New Roman" w:hAnsi="Times New Roman" w:cs="Times New Roman"/>
          <w:i/>
          <w:iCs/>
          <w:sz w:val="24"/>
          <w:szCs w:val="24"/>
        </w:rPr>
        <w:t>. Other partners use Email more often than Slack, because they were used to use EMAIL in that way. We tried to discourage this, because then you have a lot of emails.</w:t>
      </w:r>
      <w:r w:rsidR="00406033" w:rsidRPr="00F153F6">
        <w:rPr>
          <w:rFonts w:ascii="Times New Roman" w:hAnsi="Times New Roman" w:cs="Times New Roman"/>
          <w:i/>
          <w:iCs/>
          <w:sz w:val="24"/>
          <w:szCs w:val="24"/>
        </w:rPr>
        <w:t xml:space="preserve"> </w:t>
      </w:r>
      <w:r w:rsidRPr="00F153F6">
        <w:rPr>
          <w:rFonts w:ascii="Times New Roman" w:hAnsi="Times New Roman" w:cs="Times New Roman"/>
          <w:i/>
          <w:iCs/>
          <w:sz w:val="24"/>
          <w:szCs w:val="24"/>
        </w:rPr>
        <w:t xml:space="preserve">Of course, it’s sort of life span like if you leave. And then maybe some important communication is just there </w:t>
      </w:r>
      <w:r w:rsidR="00406033" w:rsidRPr="00F153F6">
        <w:rPr>
          <w:rFonts w:ascii="Times New Roman" w:hAnsi="Times New Roman" w:cs="Times New Roman"/>
          <w:i/>
          <w:iCs/>
          <w:sz w:val="24"/>
          <w:szCs w:val="24"/>
        </w:rPr>
        <w:t>with</w:t>
      </w:r>
      <w:r w:rsidRPr="00F153F6">
        <w:rPr>
          <w:rFonts w:ascii="Times New Roman" w:hAnsi="Times New Roman" w:cs="Times New Roman"/>
          <w:i/>
          <w:iCs/>
          <w:sz w:val="24"/>
          <w:szCs w:val="24"/>
        </w:rPr>
        <w:t xml:space="preserve"> </w:t>
      </w:r>
      <w:r w:rsidR="00406033" w:rsidRPr="00F153F6">
        <w:rPr>
          <w:rFonts w:ascii="Times New Roman" w:hAnsi="Times New Roman" w:cs="Times New Roman"/>
          <w:i/>
          <w:iCs/>
          <w:sz w:val="24"/>
          <w:szCs w:val="24"/>
        </w:rPr>
        <w:t>label</w:t>
      </w:r>
      <w:r w:rsidRPr="00F153F6">
        <w:rPr>
          <w:rFonts w:ascii="Times New Roman" w:hAnsi="Times New Roman" w:cs="Times New Roman"/>
          <w:i/>
          <w:iCs/>
          <w:sz w:val="24"/>
          <w:szCs w:val="24"/>
        </w:rPr>
        <w:t xml:space="preserve"> like ‘Move’, and you don’t read it. It’s the matter, I think also, of your research is not only in the Information, but also getting the attention on the Information. This is the game that project managers or project leaders I think had to deal with. For example, on Slack, if you, if I mention you, I put the @, you might also receive an EMAIL </w:t>
      </w:r>
      <w:r w:rsidR="00406033" w:rsidRPr="00F153F6">
        <w:rPr>
          <w:rFonts w:ascii="Times New Roman" w:hAnsi="Times New Roman" w:cs="Times New Roman"/>
          <w:i/>
          <w:iCs/>
          <w:sz w:val="24"/>
          <w:szCs w:val="24"/>
        </w:rPr>
        <w:t>automatically</w:t>
      </w:r>
      <w:r w:rsidRPr="00F153F6">
        <w:rPr>
          <w:rFonts w:ascii="Times New Roman" w:hAnsi="Times New Roman" w:cs="Times New Roman"/>
          <w:i/>
          <w:iCs/>
          <w:sz w:val="24"/>
          <w:szCs w:val="24"/>
        </w:rPr>
        <w:t xml:space="preserve"> if you don’t react in 24 hours. </w:t>
      </w:r>
      <w:r w:rsidR="00406033" w:rsidRPr="00F153F6">
        <w:rPr>
          <w:rFonts w:ascii="Times New Roman" w:hAnsi="Times New Roman" w:cs="Times New Roman"/>
          <w:i/>
          <w:iCs/>
          <w:sz w:val="24"/>
          <w:szCs w:val="24"/>
        </w:rPr>
        <w:t>So,</w:t>
      </w:r>
      <w:r w:rsidRPr="00F153F6">
        <w:rPr>
          <w:rFonts w:ascii="Times New Roman" w:hAnsi="Times New Roman" w:cs="Times New Roman"/>
          <w:i/>
          <w:iCs/>
          <w:sz w:val="24"/>
          <w:szCs w:val="24"/>
        </w:rPr>
        <w:t xml:space="preserve"> Slack send you an EMAIL of my message, and then you will react as its more formal. I think Slack was really good for remote working.” (Project C3, Participant 2, Para. 17)</w:t>
      </w:r>
    </w:p>
    <w:p w14:paraId="55D43938" w14:textId="450747D3"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In the first instance, actors may continue working from widely spaced locations at the completed stage. However, face-to-face meetings seem to be also required at this stage, but this only takes place under the permission of national health policy. There are diverse tools in the market such as Skype, Google meet, or Zoom that can be selected for connecting actors, while the most significant requirement for the</w:t>
      </w:r>
      <w:r w:rsidR="00964DE8" w:rsidRPr="00F153F6">
        <w:rPr>
          <w:rFonts w:ascii="Times New Roman" w:hAnsi="Times New Roman" w:cs="Times New Roman"/>
          <w:sz w:val="24"/>
          <w:szCs w:val="24"/>
        </w:rPr>
        <w:t>se</w:t>
      </w:r>
      <w:r w:rsidRPr="00F153F6">
        <w:rPr>
          <w:rFonts w:ascii="Times New Roman" w:hAnsi="Times New Roman" w:cs="Times New Roman"/>
          <w:sz w:val="24"/>
          <w:szCs w:val="24"/>
        </w:rPr>
        <w:t xml:space="preserve"> </w:t>
      </w:r>
      <w:r w:rsidR="00964DE8" w:rsidRPr="00F153F6">
        <w:rPr>
          <w:rFonts w:ascii="Times New Roman" w:hAnsi="Times New Roman" w:cs="Times New Roman"/>
          <w:sz w:val="24"/>
          <w:szCs w:val="24"/>
        </w:rPr>
        <w:t>ICTs</w:t>
      </w:r>
      <w:r w:rsidRPr="00F153F6">
        <w:rPr>
          <w:rFonts w:ascii="Times New Roman" w:hAnsi="Times New Roman" w:cs="Times New Roman"/>
          <w:sz w:val="24"/>
          <w:szCs w:val="24"/>
        </w:rPr>
        <w:t xml:space="preserve"> is that they support video calling. This reflects that different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have similar fixed materiality, which may determine actors’ selection in the support of connecting activities. The second instance reveals that different actors may </w:t>
      </w:r>
      <w:r w:rsidRPr="00F153F6">
        <w:rPr>
          <w:rFonts w:ascii="Times New Roman" w:hAnsi="Times New Roman" w:cs="Times New Roman"/>
          <w:sz w:val="24"/>
          <w:szCs w:val="24"/>
        </w:rPr>
        <w:lastRenderedPageBreak/>
        <w:t xml:space="preserve">have different preferences in the selection of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for inter-connecting. However, at the ending stage, there is too much information to be exchanged, and thereby a tool that can facilitate organising this information is very much need. Compared to Email, Slack </w:t>
      </w:r>
      <w:r w:rsidR="006A6C81" w:rsidRPr="00F153F6">
        <w:rPr>
          <w:rFonts w:ascii="Times New Roman" w:hAnsi="Times New Roman" w:cs="Times New Roman"/>
          <w:sz w:val="24"/>
          <w:szCs w:val="24"/>
        </w:rPr>
        <w:t>affords</w:t>
      </w:r>
      <w:r w:rsidRPr="00F153F6">
        <w:rPr>
          <w:rFonts w:ascii="Times New Roman" w:hAnsi="Times New Roman" w:cs="Times New Roman"/>
          <w:sz w:val="24"/>
          <w:szCs w:val="24"/>
        </w:rPr>
        <w:t xml:space="preserve"> actors notifying ability through which actors can inform each other about specific information in a more effective way.</w:t>
      </w:r>
    </w:p>
    <w:p w14:paraId="49A3EE16" w14:textId="77777777" w:rsidR="0015201A" w:rsidRPr="00F153F6" w:rsidRDefault="0015201A" w:rsidP="004424B4">
      <w:pPr>
        <w:spacing w:line="360" w:lineRule="auto"/>
        <w:jc w:val="both"/>
        <w:rPr>
          <w:rFonts w:ascii="Times New Roman" w:hAnsi="Times New Roman" w:cs="Times New Roman"/>
          <w:sz w:val="24"/>
          <w:szCs w:val="24"/>
          <w:shd w:val="clear" w:color="auto" w:fill="FFFF00"/>
        </w:rPr>
      </w:pPr>
    </w:p>
    <w:p w14:paraId="30F1AC8B" w14:textId="5A04EBA4"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b/>
          <w:bCs/>
          <w:sz w:val="24"/>
          <w:szCs w:val="24"/>
        </w:rPr>
        <w:t>Socialising</w:t>
      </w:r>
    </w:p>
    <w:p w14:paraId="1FD565BB" w14:textId="0BA4DFE9"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Socialising refers to the activities in which actors communicate informally with a social purpose. They may discuss personal or social topics that are less about their project work.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seem</w:t>
      </w:r>
      <w:r w:rsidR="00964DE8" w:rsidRPr="00F153F6">
        <w:rPr>
          <w:rFonts w:ascii="Times New Roman" w:hAnsi="Times New Roman" w:cs="Times New Roman"/>
          <w:sz w:val="24"/>
          <w:szCs w:val="24"/>
        </w:rPr>
        <w:t>s</w:t>
      </w:r>
      <w:r w:rsidRPr="00F153F6">
        <w:rPr>
          <w:rFonts w:ascii="Times New Roman" w:hAnsi="Times New Roman" w:cs="Times New Roman"/>
          <w:sz w:val="24"/>
          <w:szCs w:val="24"/>
        </w:rPr>
        <w:t xml:space="preserve"> to constrain actors to explore enjoyable activities to develop their knowing how to cultivate their social relationships. As one interviewee notes:</w:t>
      </w:r>
    </w:p>
    <w:p w14:paraId="6E82D5E0" w14:textId="6F65B384"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“And we were sometimes having lunch together or going out together to get closer. So to have this close </w:t>
      </w:r>
      <w:r w:rsidR="00406033" w:rsidRPr="00F153F6">
        <w:rPr>
          <w:rFonts w:ascii="Times New Roman" w:hAnsi="Times New Roman" w:cs="Times New Roman"/>
          <w:i/>
          <w:iCs/>
          <w:sz w:val="24"/>
          <w:szCs w:val="24"/>
        </w:rPr>
        <w:t>interaction</w:t>
      </w:r>
      <w:r w:rsidRPr="00F153F6">
        <w:rPr>
          <w:rFonts w:ascii="Times New Roman" w:hAnsi="Times New Roman" w:cs="Times New Roman"/>
          <w:i/>
          <w:iCs/>
          <w:sz w:val="24"/>
          <w:szCs w:val="24"/>
        </w:rPr>
        <w:t>, I didn’t use tools, because we could do more interesting things face-to-face to release stress” (Project C3, Participant 3, Para. 80)</w:t>
      </w:r>
    </w:p>
    <w:p w14:paraId="2AC4B291" w14:textId="3AF85804"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the completed stage, actors may have more workplace stress, compared to other stages. This usually requires actors to develop some social activities with each other to release this stress. Usually, actors prefer to have face-to-face contacts in this which seems to provide more diverse activities for actors to enjoy social purposes. ICT </w:t>
      </w:r>
      <w:r w:rsidR="00964DE8" w:rsidRPr="00F153F6">
        <w:rPr>
          <w:rFonts w:ascii="Times New Roman" w:hAnsi="Times New Roman" w:cs="Times New Roman"/>
          <w:sz w:val="24"/>
          <w:szCs w:val="24"/>
        </w:rPr>
        <w:t>is</w:t>
      </w:r>
      <w:r w:rsidRPr="00F153F6">
        <w:rPr>
          <w:rFonts w:ascii="Times New Roman" w:hAnsi="Times New Roman" w:cs="Times New Roman"/>
          <w:sz w:val="24"/>
          <w:szCs w:val="24"/>
        </w:rPr>
        <w:t xml:space="preserve"> not used because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cannot </w:t>
      </w:r>
      <w:r w:rsidR="006A6C81" w:rsidRPr="00F153F6">
        <w:rPr>
          <w:rFonts w:ascii="Times New Roman" w:hAnsi="Times New Roman" w:cs="Times New Roman"/>
          <w:sz w:val="24"/>
          <w:szCs w:val="24"/>
        </w:rPr>
        <w:t>afford</w:t>
      </w:r>
      <w:r w:rsidRPr="00F153F6">
        <w:rPr>
          <w:rFonts w:ascii="Times New Roman" w:hAnsi="Times New Roman" w:cs="Times New Roman"/>
          <w:sz w:val="24"/>
          <w:szCs w:val="24"/>
        </w:rPr>
        <w:t xml:space="preserve"> enough enjoyable activities for actors to engage themselves in to develop social relationships. </w:t>
      </w:r>
    </w:p>
    <w:p w14:paraId="39A6DFFF" w14:textId="77777777" w:rsidR="000543CB" w:rsidRPr="00F153F6" w:rsidRDefault="000543CB" w:rsidP="004424B4">
      <w:pPr>
        <w:spacing w:line="360" w:lineRule="auto"/>
        <w:jc w:val="both"/>
        <w:rPr>
          <w:rFonts w:ascii="Times New Roman" w:hAnsi="Times New Roman" w:cs="Times New Roman"/>
          <w:sz w:val="24"/>
          <w:szCs w:val="24"/>
        </w:rPr>
      </w:pPr>
    </w:p>
    <w:p w14:paraId="30B91430" w14:textId="498C2395" w:rsidR="0015201A" w:rsidRPr="00F153F6" w:rsidRDefault="0015201A" w:rsidP="005A3DC1">
      <w:pPr>
        <w:pStyle w:val="Heading3"/>
        <w:spacing w:line="360" w:lineRule="auto"/>
        <w:ind w:firstLine="720"/>
        <w:jc w:val="both"/>
        <w:rPr>
          <w:rFonts w:ascii="Times New Roman" w:hAnsi="Times New Roman" w:cs="Times New Roman"/>
          <w:b/>
          <w:color w:val="auto"/>
          <w:sz w:val="28"/>
          <w:szCs w:val="28"/>
        </w:rPr>
      </w:pPr>
      <w:bookmarkStart w:id="616" w:name="_Toc118371143"/>
      <w:bookmarkStart w:id="617" w:name="_Toc133252169"/>
      <w:r w:rsidRPr="00F153F6">
        <w:rPr>
          <w:rFonts w:ascii="Times New Roman" w:hAnsi="Times New Roman" w:cs="Times New Roman"/>
          <w:b/>
          <w:color w:val="auto"/>
          <w:sz w:val="28"/>
          <w:szCs w:val="28"/>
        </w:rPr>
        <w:t xml:space="preserve">4.4.2 Insights Spreading and </w:t>
      </w:r>
      <w:r w:rsidR="00964DE8" w:rsidRPr="00F153F6">
        <w:rPr>
          <w:rFonts w:ascii="Times New Roman" w:hAnsi="Times New Roman" w:cs="Times New Roman"/>
          <w:b/>
          <w:color w:val="auto"/>
          <w:sz w:val="28"/>
          <w:szCs w:val="28"/>
        </w:rPr>
        <w:t>ICT</w:t>
      </w:r>
      <w:bookmarkEnd w:id="616"/>
      <w:bookmarkEnd w:id="617"/>
    </w:p>
    <w:p w14:paraId="474851E6" w14:textId="68BC75B3" w:rsidR="0015201A" w:rsidRPr="00F153F6" w:rsidRDefault="0015201A" w:rsidP="004424B4">
      <w:pPr>
        <w:spacing w:line="360" w:lineRule="auto"/>
        <w:jc w:val="both"/>
        <w:rPr>
          <w:rFonts w:ascii="Times New Roman" w:eastAsiaTheme="minorEastAsia" w:hAnsi="Times New Roman" w:cs="Times New Roman"/>
        </w:rPr>
      </w:pPr>
      <w:bookmarkStart w:id="618" w:name="OLE_LINK986"/>
      <w:bookmarkStart w:id="619" w:name="OLE_LINK987"/>
      <w:r w:rsidRPr="00F153F6">
        <w:rPr>
          <w:rFonts w:ascii="Times New Roman" w:hAnsi="Times New Roman" w:cs="Times New Roman"/>
          <w:sz w:val="24"/>
          <w:szCs w:val="24"/>
        </w:rPr>
        <w:t xml:space="preserve">Insights spreading </w:t>
      </w:r>
      <w:bookmarkEnd w:id="618"/>
      <w:bookmarkEnd w:id="619"/>
      <w:r w:rsidRPr="00F153F6">
        <w:rPr>
          <w:rFonts w:ascii="Times New Roman" w:hAnsi="Times New Roman" w:cs="Times New Roman"/>
          <w:sz w:val="24"/>
          <w:szCs w:val="24"/>
        </w:rPr>
        <w:t xml:space="preserve">is a knowledgeability enacted by actors who seek to spread their insights or expertise to others and through which they can develop an understanding of how to extend their insights’ impact. In project end stage, actors may have achieved many tasks which results in diverse insights and expertise. Actors engage in insights spreading since they may expect to leverage these insights to help others and extend the impact of these achievements into other contexts. Actors accomplish this through three primary activities: Publishing; Circulating; and </w:t>
      </w:r>
      <w:r w:rsidR="005A3DC1" w:rsidRPr="00F153F6">
        <w:rPr>
          <w:rFonts w:ascii="Times New Roman" w:hAnsi="Times New Roman" w:cs="Times New Roman"/>
          <w:sz w:val="24"/>
          <w:szCs w:val="24"/>
        </w:rPr>
        <w:t>Sharing</w:t>
      </w:r>
      <w:r w:rsidRPr="00F153F6">
        <w:rPr>
          <w:rFonts w:ascii="Times New Roman" w:hAnsi="Times New Roman" w:cs="Times New Roman"/>
          <w:sz w:val="24"/>
          <w:szCs w:val="24"/>
        </w:rPr>
        <w:t xml:space="preserve">.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 support such accomplishment by </w:t>
      </w:r>
      <w:r w:rsidR="006A6C81" w:rsidRPr="00F153F6">
        <w:rPr>
          <w:rFonts w:ascii="Times New Roman" w:hAnsi="Times New Roman" w:cs="Times New Roman"/>
          <w:sz w:val="24"/>
          <w:szCs w:val="24"/>
        </w:rPr>
        <w:t>affording</w:t>
      </w:r>
      <w:r w:rsidRPr="00F153F6">
        <w:rPr>
          <w:rFonts w:ascii="Times New Roman" w:hAnsi="Times New Roman" w:cs="Times New Roman"/>
          <w:sz w:val="24"/>
          <w:szCs w:val="24"/>
        </w:rPr>
        <w:t xml:space="preserve"> actors with visualising and flexibility tools whilst they may constrain an actors humanistic communicating ability. Table </w:t>
      </w:r>
      <w:r w:rsidRPr="00F153F6">
        <w:rPr>
          <w:rFonts w:ascii="Times New Roman" w:hAnsi="Times New Roman" w:cs="Times New Roman"/>
          <w:sz w:val="24"/>
          <w:szCs w:val="24"/>
        </w:rPr>
        <w:lastRenderedPageBreak/>
        <w:t xml:space="preserve">4.14 provide a summary of these activities and their explanations in </w:t>
      </w:r>
      <w:bookmarkStart w:id="620" w:name="OLE_LINK988"/>
      <w:bookmarkStart w:id="621" w:name="OLE_LINK989"/>
      <w:r w:rsidRPr="00F153F6">
        <w:rPr>
          <w:rFonts w:ascii="Times New Roman" w:hAnsi="Times New Roman" w:cs="Times New Roman"/>
          <w:sz w:val="24"/>
          <w:szCs w:val="24"/>
        </w:rPr>
        <w:t xml:space="preserve">insights spreading </w:t>
      </w:r>
      <w:bookmarkEnd w:id="620"/>
      <w:bookmarkEnd w:id="621"/>
      <w:r w:rsidRPr="00F153F6">
        <w:rPr>
          <w:rFonts w:ascii="Times New Roman" w:hAnsi="Times New Roman" w:cs="Times New Roman"/>
          <w:sz w:val="24"/>
          <w:szCs w:val="24"/>
        </w:rPr>
        <w:t>knowledgeability.</w:t>
      </w:r>
    </w:p>
    <w:p w14:paraId="3C7AC3F0" w14:textId="77777777" w:rsidR="0015201A" w:rsidRPr="00F153F6" w:rsidRDefault="0015201A" w:rsidP="004424B4">
      <w:pPr>
        <w:spacing w:line="360" w:lineRule="auto"/>
        <w:jc w:val="both"/>
        <w:rPr>
          <w:rFonts w:ascii="Times New Roman" w:hAnsi="Times New Roman" w:cs="Times New Roman"/>
        </w:rPr>
      </w:pPr>
    </w:p>
    <w:p w14:paraId="577A3715" w14:textId="77777777" w:rsidR="0015201A" w:rsidRPr="00F153F6" w:rsidRDefault="0015201A" w:rsidP="004424B4">
      <w:pPr>
        <w:spacing w:line="360" w:lineRule="auto"/>
        <w:jc w:val="both"/>
        <w:rPr>
          <w:rFonts w:ascii="Times New Roman" w:hAnsi="Times New Roman" w:cs="Times New Roman"/>
        </w:rPr>
      </w:pPr>
    </w:p>
    <w:p w14:paraId="7792568A" w14:textId="3D2AE558" w:rsidR="007148BA" w:rsidRPr="00F153F6" w:rsidRDefault="007148BA" w:rsidP="007148BA">
      <w:pPr>
        <w:pStyle w:val="Caption"/>
        <w:keepNext/>
        <w:rPr>
          <w:rFonts w:ascii="Times New Roman" w:hAnsi="Times New Roman" w:cs="Times New Roman"/>
          <w:i w:val="0"/>
          <w:iCs w:val="0"/>
          <w:color w:val="auto"/>
          <w:sz w:val="22"/>
          <w:szCs w:val="22"/>
        </w:rPr>
      </w:pPr>
      <w:bookmarkStart w:id="622" w:name="_Toc119448048"/>
      <w:r w:rsidRPr="00F153F6">
        <w:rPr>
          <w:rFonts w:ascii="Times New Roman" w:hAnsi="Times New Roman" w:cs="Times New Roman"/>
          <w:i w:val="0"/>
          <w:iCs w:val="0"/>
          <w:color w:val="auto"/>
          <w:sz w:val="22"/>
          <w:szCs w:val="22"/>
        </w:rPr>
        <w:t xml:space="preserve">Table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Table_4.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14</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Summary of activities and an explanation of insights spreading knowledgeability</w:t>
      </w:r>
      <w:bookmarkEnd w:id="622"/>
    </w:p>
    <w:tbl>
      <w:tblPr>
        <w:tblStyle w:val="PlainTable5"/>
        <w:tblW w:w="9067" w:type="dxa"/>
        <w:tblLook w:val="04A0" w:firstRow="1" w:lastRow="0" w:firstColumn="1" w:lastColumn="0" w:noHBand="0" w:noVBand="1"/>
      </w:tblPr>
      <w:tblGrid>
        <w:gridCol w:w="2552"/>
        <w:gridCol w:w="2263"/>
        <w:gridCol w:w="4252"/>
      </w:tblGrid>
      <w:tr w:rsidR="005549E4" w:rsidRPr="00F153F6" w14:paraId="48FA3B8A" w14:textId="77777777" w:rsidTr="007148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Borders>
              <w:top w:val="single" w:sz="4" w:space="0" w:color="auto"/>
              <w:left w:val="nil"/>
            </w:tcBorders>
            <w:shd w:val="clear" w:color="auto" w:fill="auto"/>
            <w:hideMark/>
          </w:tcPr>
          <w:p w14:paraId="06A00A95" w14:textId="77777777" w:rsidR="0015201A" w:rsidRPr="00F153F6" w:rsidRDefault="0015201A" w:rsidP="004424B4">
            <w:pPr>
              <w:spacing w:line="360" w:lineRule="auto"/>
              <w:jc w:val="both"/>
              <w:rPr>
                <w:rFonts w:ascii="Times New Roman" w:hAnsi="Times New Roman" w:cs="Times New Roman"/>
                <w:b/>
                <w:bCs/>
                <w:sz w:val="22"/>
              </w:rPr>
            </w:pPr>
            <w:r w:rsidRPr="00F153F6">
              <w:rPr>
                <w:rFonts w:ascii="Times New Roman" w:hAnsi="Times New Roman" w:cs="Times New Roman"/>
                <w:b/>
                <w:bCs/>
                <w:sz w:val="22"/>
              </w:rPr>
              <w:t>Knowledgeability</w:t>
            </w:r>
          </w:p>
        </w:tc>
        <w:tc>
          <w:tcPr>
            <w:tcW w:w="2263" w:type="dxa"/>
            <w:tcBorders>
              <w:top w:val="single" w:sz="4" w:space="0" w:color="auto"/>
              <w:left w:val="nil"/>
              <w:right w:val="nil"/>
            </w:tcBorders>
            <w:shd w:val="clear" w:color="auto" w:fill="auto"/>
            <w:hideMark/>
          </w:tcPr>
          <w:p w14:paraId="44C2A376"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Activities</w:t>
            </w:r>
          </w:p>
        </w:tc>
        <w:tc>
          <w:tcPr>
            <w:tcW w:w="4252" w:type="dxa"/>
            <w:tcBorders>
              <w:top w:val="single" w:sz="4" w:space="0" w:color="auto"/>
              <w:left w:val="nil"/>
              <w:right w:val="nil"/>
            </w:tcBorders>
            <w:shd w:val="clear" w:color="auto" w:fill="auto"/>
            <w:hideMark/>
          </w:tcPr>
          <w:p w14:paraId="7A05BB95"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Explanations</w:t>
            </w:r>
          </w:p>
        </w:tc>
      </w:tr>
      <w:tr w:rsidR="005549E4" w:rsidRPr="00F153F6" w14:paraId="10604848" w14:textId="77777777" w:rsidTr="004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nil"/>
              <w:left w:val="nil"/>
              <w:bottom w:val="nil"/>
            </w:tcBorders>
            <w:shd w:val="clear" w:color="auto" w:fill="auto"/>
            <w:hideMark/>
          </w:tcPr>
          <w:p w14:paraId="42CAF313" w14:textId="77777777" w:rsidR="0015201A" w:rsidRPr="00F153F6" w:rsidRDefault="0015201A" w:rsidP="004424B4">
            <w:pPr>
              <w:spacing w:line="360" w:lineRule="auto"/>
              <w:jc w:val="both"/>
              <w:rPr>
                <w:rFonts w:ascii="Times New Roman" w:hAnsi="Times New Roman" w:cs="Times New Roman"/>
                <w:i w:val="0"/>
                <w:iCs w:val="0"/>
                <w:sz w:val="22"/>
              </w:rPr>
            </w:pPr>
            <w:r w:rsidRPr="00F153F6">
              <w:rPr>
                <w:rFonts w:ascii="Times New Roman" w:hAnsi="Times New Roman" w:cs="Times New Roman"/>
                <w:sz w:val="22"/>
              </w:rPr>
              <w:t>Impact Spreading</w:t>
            </w:r>
          </w:p>
          <w:p w14:paraId="7EDC06DA" w14:textId="77777777" w:rsidR="0015201A" w:rsidRPr="00F153F6" w:rsidRDefault="0015201A" w:rsidP="004424B4">
            <w:pPr>
              <w:spacing w:line="360" w:lineRule="auto"/>
              <w:jc w:val="both"/>
              <w:rPr>
                <w:rFonts w:ascii="Times New Roman" w:hAnsi="Times New Roman" w:cs="Times New Roman"/>
                <w:i w:val="0"/>
                <w:iCs w:val="0"/>
                <w:sz w:val="22"/>
              </w:rPr>
            </w:pPr>
          </w:p>
          <w:p w14:paraId="59FFC910" w14:textId="0132AFD6" w:rsidR="0015201A" w:rsidRPr="00F153F6" w:rsidRDefault="0015201A" w:rsidP="004424B4">
            <w:pPr>
              <w:spacing w:line="360" w:lineRule="auto"/>
              <w:jc w:val="both"/>
              <w:rPr>
                <w:rFonts w:ascii="Times New Roman" w:hAnsi="Times New Roman" w:cs="Times New Roman"/>
                <w:sz w:val="22"/>
              </w:rPr>
            </w:pPr>
            <w:r w:rsidRPr="00F153F6">
              <w:rPr>
                <w:rFonts w:ascii="Times New Roman" w:hAnsi="Times New Roman" w:cs="Times New Roman"/>
                <w:sz w:val="22"/>
              </w:rPr>
              <w:t xml:space="preserve">Explanation: Knowing how to </w:t>
            </w:r>
            <w:r w:rsidR="0068434D" w:rsidRPr="00F153F6">
              <w:rPr>
                <w:rFonts w:ascii="Times New Roman" w:hAnsi="Times New Roman" w:cs="Times New Roman"/>
                <w:sz w:val="22"/>
              </w:rPr>
              <w:t>Disseminate Impact</w:t>
            </w:r>
          </w:p>
        </w:tc>
        <w:tc>
          <w:tcPr>
            <w:tcW w:w="2263" w:type="dxa"/>
            <w:shd w:val="clear" w:color="auto" w:fill="auto"/>
            <w:hideMark/>
          </w:tcPr>
          <w:p w14:paraId="44D14BFF"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Disseminating</w:t>
            </w:r>
          </w:p>
        </w:tc>
        <w:tc>
          <w:tcPr>
            <w:tcW w:w="4252" w:type="dxa"/>
            <w:shd w:val="clear" w:color="auto" w:fill="auto"/>
            <w:hideMark/>
          </w:tcPr>
          <w:p w14:paraId="2C5D3FAB"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Actors share their expertise or insights into a form that supports dissemination to the public and allow public to learn</w:t>
            </w:r>
            <w:r w:rsidRPr="00F153F6" w:rsidDel="00153F64">
              <w:rPr>
                <w:rFonts w:ascii="Times New Roman" w:hAnsi="Times New Roman" w:cs="Times New Roman"/>
              </w:rPr>
              <w:t xml:space="preserve"> </w:t>
            </w:r>
          </w:p>
        </w:tc>
      </w:tr>
      <w:tr w:rsidR="005549E4" w:rsidRPr="00F153F6" w14:paraId="48BEFBB1" w14:textId="77777777" w:rsidTr="007148BA">
        <w:trPr>
          <w:trHeight w:val="1435"/>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auto"/>
            </w:tcBorders>
            <w:shd w:val="clear" w:color="auto" w:fill="auto"/>
            <w:vAlign w:val="center"/>
            <w:hideMark/>
          </w:tcPr>
          <w:p w14:paraId="58C1BEBB" w14:textId="77777777" w:rsidR="0015201A" w:rsidRPr="00F153F6" w:rsidRDefault="0015201A" w:rsidP="004424B4">
            <w:pPr>
              <w:spacing w:line="360" w:lineRule="auto"/>
              <w:jc w:val="both"/>
              <w:rPr>
                <w:rFonts w:ascii="Times New Roman" w:hAnsi="Times New Roman" w:cs="Times New Roman"/>
                <w:i w:val="0"/>
                <w:iCs w:val="0"/>
                <w:sz w:val="22"/>
              </w:rPr>
            </w:pPr>
          </w:p>
        </w:tc>
        <w:tc>
          <w:tcPr>
            <w:tcW w:w="2263" w:type="dxa"/>
            <w:tcBorders>
              <w:bottom w:val="single" w:sz="4" w:space="0" w:color="auto"/>
            </w:tcBorders>
            <w:shd w:val="clear" w:color="auto" w:fill="auto"/>
            <w:hideMark/>
          </w:tcPr>
          <w:p w14:paraId="1BBEFE34"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Circulating</w:t>
            </w:r>
          </w:p>
        </w:tc>
        <w:tc>
          <w:tcPr>
            <w:tcW w:w="4252" w:type="dxa"/>
            <w:tcBorders>
              <w:bottom w:val="single" w:sz="4" w:space="0" w:color="auto"/>
            </w:tcBorders>
            <w:shd w:val="clear" w:color="auto" w:fill="auto"/>
            <w:hideMark/>
          </w:tcPr>
          <w:p w14:paraId="092AC472"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 xml:space="preserve">Actors engage in </w:t>
            </w:r>
            <w:bookmarkStart w:id="623" w:name="OLE_LINK1004"/>
            <w:bookmarkStart w:id="624" w:name="OLE_LINK1005"/>
            <w:r w:rsidRPr="00F153F6">
              <w:rPr>
                <w:rFonts w:ascii="Times New Roman" w:hAnsi="Times New Roman" w:cs="Times New Roman"/>
              </w:rPr>
              <w:t xml:space="preserve">circulating </w:t>
            </w:r>
            <w:bookmarkEnd w:id="623"/>
            <w:bookmarkEnd w:id="624"/>
            <w:r w:rsidRPr="00F153F6">
              <w:rPr>
                <w:rFonts w:ascii="Times New Roman" w:hAnsi="Times New Roman" w:cs="Times New Roman"/>
              </w:rPr>
              <w:t>insights or information among multiple audiences to enable a collective learning process</w:t>
            </w:r>
          </w:p>
        </w:tc>
      </w:tr>
    </w:tbl>
    <w:p w14:paraId="61CA8A91" w14:textId="77777777" w:rsidR="0015201A" w:rsidRPr="00F153F6" w:rsidRDefault="0015201A" w:rsidP="004424B4">
      <w:pPr>
        <w:spacing w:line="360" w:lineRule="auto"/>
        <w:jc w:val="both"/>
        <w:rPr>
          <w:rFonts w:ascii="Times New Roman" w:hAnsi="Times New Roman" w:cs="Times New Roman"/>
        </w:rPr>
      </w:pPr>
    </w:p>
    <w:p w14:paraId="3232D1A4" w14:textId="77777777"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Disseminating</w:t>
      </w:r>
    </w:p>
    <w:p w14:paraId="60730AEF" w14:textId="65B35E6D"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Disseminating refers to an activity through which actors share their expertise or insights into a form that supports dissemination to the public and allows the public to learn about the project. At the completed stage, as the project is going to end, actors have delivered most of their achievements in the results of the project. Therefore, actors in Living Lab project seem to expect their achievements to be published outwards so that their project can generate wider influence in a wider context.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allow</w:t>
      </w:r>
      <w:r w:rsidR="00964DE8" w:rsidRPr="00F153F6">
        <w:rPr>
          <w:rFonts w:ascii="Times New Roman" w:hAnsi="Times New Roman" w:cs="Times New Roman"/>
          <w:sz w:val="24"/>
          <w:szCs w:val="24"/>
        </w:rPr>
        <w:t>s</w:t>
      </w:r>
      <w:r w:rsidRPr="00F153F6">
        <w:rPr>
          <w:rFonts w:ascii="Times New Roman" w:hAnsi="Times New Roman" w:cs="Times New Roman"/>
          <w:sz w:val="24"/>
          <w:szCs w:val="24"/>
        </w:rPr>
        <w:t xml:space="preserve"> actors visualising tools so that allows them to explain their insights to the public in a clear way. As one interviewee notes:</w:t>
      </w:r>
    </w:p>
    <w:p w14:paraId="551AF80A" w14:textId="1630B127"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“We plan to have a final conference or a big event with many hosts. We switched them to a little booklet that was a special part of the magazine, the local magazine.</w:t>
      </w:r>
      <w:r w:rsidR="00B52CE7" w:rsidRPr="00F153F6">
        <w:rPr>
          <w:rFonts w:ascii="Times New Roman" w:hAnsi="Times New Roman" w:cs="Times New Roman"/>
          <w:i/>
          <w:iCs/>
          <w:sz w:val="24"/>
          <w:szCs w:val="24"/>
        </w:rPr>
        <w:t xml:space="preserve"> We use pictures and diagrams inside to show the results.</w:t>
      </w:r>
      <w:r w:rsidRPr="00F153F6">
        <w:rPr>
          <w:rFonts w:ascii="Times New Roman" w:hAnsi="Times New Roman" w:cs="Times New Roman"/>
          <w:i/>
          <w:iCs/>
          <w:sz w:val="24"/>
          <w:szCs w:val="24"/>
        </w:rPr>
        <w:t xml:space="preserve"> So everybody can have a general view of the results of the projects. And so we have to change all these strategies, just the last month of the project, but before covid, everything was going as planned, quite good and without difficulties.” (Project C3, Participant 3, Para. 56)</w:t>
      </w:r>
    </w:p>
    <w:p w14:paraId="06AA7958" w14:textId="60F02891"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Due to the Covid-19 pandemic, actors were not allowed to organise/attend face-to-face conferences and publish their results. As an alternative, actors used booklets as a means to </w:t>
      </w:r>
      <w:r w:rsidRPr="00F153F6">
        <w:rPr>
          <w:rFonts w:ascii="Times New Roman" w:hAnsi="Times New Roman" w:cs="Times New Roman"/>
          <w:sz w:val="24"/>
          <w:szCs w:val="24"/>
        </w:rPr>
        <w:lastRenderedPageBreak/>
        <w:t xml:space="preserve">publish their results. Booklets </w:t>
      </w:r>
      <w:r w:rsidR="00B52CE7" w:rsidRPr="00F153F6">
        <w:rPr>
          <w:rFonts w:ascii="Times New Roman" w:hAnsi="Times New Roman" w:cs="Times New Roman"/>
          <w:sz w:val="24"/>
          <w:szCs w:val="24"/>
        </w:rPr>
        <w:t xml:space="preserve">with its picture or diagrams inside </w:t>
      </w:r>
      <w:r w:rsidR="006A6C81" w:rsidRPr="00F153F6">
        <w:rPr>
          <w:rFonts w:ascii="Times New Roman" w:hAnsi="Times New Roman" w:cs="Times New Roman"/>
          <w:sz w:val="24"/>
          <w:szCs w:val="24"/>
        </w:rPr>
        <w:t>afford</w:t>
      </w:r>
      <w:r w:rsidRPr="00F153F6">
        <w:rPr>
          <w:rFonts w:ascii="Times New Roman" w:hAnsi="Times New Roman" w:cs="Times New Roman"/>
          <w:sz w:val="24"/>
          <w:szCs w:val="24"/>
        </w:rPr>
        <w:t xml:space="preserve"> actors visualising </w:t>
      </w:r>
      <w:r w:rsidR="006A6C81" w:rsidRPr="00F153F6">
        <w:rPr>
          <w:rFonts w:ascii="Times New Roman" w:hAnsi="Times New Roman" w:cs="Times New Roman"/>
          <w:sz w:val="24"/>
          <w:szCs w:val="24"/>
        </w:rPr>
        <w:t>ability</w:t>
      </w:r>
      <w:r w:rsidRPr="00F153F6">
        <w:rPr>
          <w:rFonts w:ascii="Times New Roman" w:hAnsi="Times New Roman" w:cs="Times New Roman"/>
          <w:sz w:val="24"/>
          <w:szCs w:val="24"/>
        </w:rPr>
        <w:t xml:space="preserve"> so that they can share their insights publicly. By doing so, actors are able to develop their know</w:t>
      </w:r>
      <w:r w:rsidR="00D125F7" w:rsidRPr="00F153F6">
        <w:rPr>
          <w:rFonts w:ascii="Times New Roman" w:hAnsi="Times New Roman" w:cs="Times New Roman"/>
          <w:sz w:val="24"/>
          <w:szCs w:val="24"/>
        </w:rPr>
        <w:t>ing</w:t>
      </w:r>
      <w:r w:rsidRPr="00F153F6">
        <w:rPr>
          <w:rFonts w:ascii="Times New Roman" w:hAnsi="Times New Roman" w:cs="Times New Roman"/>
          <w:sz w:val="24"/>
          <w:szCs w:val="24"/>
        </w:rPr>
        <w:t xml:space="preserve"> how to extend the impact of their insights to a wider audience.</w:t>
      </w:r>
    </w:p>
    <w:p w14:paraId="54FDD30C" w14:textId="77777777" w:rsidR="0015201A" w:rsidRPr="00F153F6" w:rsidRDefault="0015201A" w:rsidP="004424B4">
      <w:pPr>
        <w:spacing w:line="360" w:lineRule="auto"/>
        <w:jc w:val="both"/>
        <w:rPr>
          <w:rFonts w:ascii="Times New Roman" w:hAnsi="Times New Roman" w:cs="Times New Roman"/>
          <w:sz w:val="24"/>
          <w:szCs w:val="24"/>
        </w:rPr>
      </w:pPr>
    </w:p>
    <w:p w14:paraId="28966866" w14:textId="77777777"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Circulating</w:t>
      </w:r>
    </w:p>
    <w:p w14:paraId="20BAF73B" w14:textId="33E67010"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Circulating refers to an activity through which </w:t>
      </w:r>
      <w:bookmarkStart w:id="625" w:name="OLE_LINK1002"/>
      <w:bookmarkStart w:id="626" w:name="OLE_LINK1003"/>
      <w:r w:rsidRPr="00F153F6">
        <w:rPr>
          <w:rFonts w:ascii="Times New Roman" w:hAnsi="Times New Roman" w:cs="Times New Roman"/>
          <w:sz w:val="24"/>
          <w:szCs w:val="24"/>
        </w:rPr>
        <w:t>actors engage in the circulation of insights or information among multiple audience to enable a collective learning process</w:t>
      </w:r>
      <w:bookmarkEnd w:id="625"/>
      <w:bookmarkEnd w:id="626"/>
      <w:r w:rsidRPr="00F153F6">
        <w:rPr>
          <w:rFonts w:ascii="Times New Roman" w:hAnsi="Times New Roman" w:cs="Times New Roman"/>
          <w:sz w:val="24"/>
          <w:szCs w:val="24"/>
        </w:rPr>
        <w:t xml:space="preserve">. Typical circulation approaches include messaging, emailing, or document posting. As actors actively learn in circulating activities, they are able to enact their impact spreading knowledgeability and develop understanding of how to extend the impact of their insights to a large audience.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be useful to support such accomplishments by providing actors flexibility to deal with diverse information as they circulate. As two interviewees note:</w:t>
      </w:r>
    </w:p>
    <w:p w14:paraId="3FAB4F33" w14:textId="77777777" w:rsidR="0015201A" w:rsidRPr="00F153F6" w:rsidRDefault="0015201A" w:rsidP="004424B4">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“At the end stage, a lot of messages were exchanged. We need the contribution into that package and with the contribution into that deliverable. Please send us the information by that day, etc… For the ending [completed] stage as I said it was mostly quick package messages about required things to be done in the specific deliverable in completing the tasks and organizing the final project, the workshop etc.” (Project C1, Participant 1, Para. 68)</w:t>
      </w:r>
    </w:p>
    <w:p w14:paraId="2A0A3D48" w14:textId="77777777" w:rsidR="0015201A" w:rsidRPr="00F153F6" w:rsidRDefault="0015201A" w:rsidP="004424B4">
      <w:pPr>
        <w:spacing w:line="360" w:lineRule="auto"/>
        <w:jc w:val="both"/>
        <w:rPr>
          <w:rFonts w:ascii="Times New Roman" w:hAnsi="Times New Roman" w:cs="Times New Roman"/>
          <w:sz w:val="24"/>
          <w:szCs w:val="24"/>
        </w:rPr>
      </w:pPr>
    </w:p>
    <w:p w14:paraId="07257A4C" w14:textId="2A65EAC8"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“Slack is a chat system where you can create, where you can have different teams, and you can have different channels. So we had like the communication channel. And so you can be just in that channel and not in others, but you can still be informed. The big issue in doing this project is that information has to circulate, and everyone has to be informed. Probably then the problem is that at the ending stage people are overwhelmed by emails, messages, whatever it is. That’s why Slack work a little bit better, because you can be able to have access, just in a few channels, but still have access to the others if you want to be informed.” </w:t>
      </w:r>
      <w:bookmarkStart w:id="627" w:name="OLE_LINK998"/>
      <w:bookmarkStart w:id="628" w:name="OLE_LINK999"/>
      <w:r w:rsidRPr="00F153F6">
        <w:rPr>
          <w:rFonts w:ascii="Times New Roman" w:hAnsi="Times New Roman" w:cs="Times New Roman"/>
          <w:i/>
          <w:iCs/>
          <w:sz w:val="24"/>
          <w:szCs w:val="24"/>
        </w:rPr>
        <w:t>(Project C3, Participant 2, Para. 35)</w:t>
      </w:r>
      <w:bookmarkEnd w:id="627"/>
      <w:bookmarkEnd w:id="628"/>
    </w:p>
    <w:p w14:paraId="43D172AD" w14:textId="77777777"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At the completed stage, there is too much information to be circulated around actors. Therefore, Slack is used as a means to circulate information that allows actors flexibility to deal with the </w:t>
      </w:r>
      <w:r w:rsidRPr="00F153F6">
        <w:rPr>
          <w:rFonts w:ascii="Times New Roman" w:hAnsi="Times New Roman" w:cs="Times New Roman"/>
          <w:sz w:val="24"/>
          <w:szCs w:val="24"/>
        </w:rPr>
        <w:lastRenderedPageBreak/>
        <w:t xml:space="preserve">most important information while at the same time preventing them from becoming overwhelmed by unexpected information. </w:t>
      </w:r>
    </w:p>
    <w:p w14:paraId="5529321C" w14:textId="77777777" w:rsidR="0015201A" w:rsidRPr="00F153F6" w:rsidRDefault="0015201A" w:rsidP="004424B4">
      <w:pPr>
        <w:spacing w:line="360" w:lineRule="auto"/>
        <w:jc w:val="both"/>
        <w:rPr>
          <w:rFonts w:ascii="Times New Roman" w:hAnsi="Times New Roman" w:cs="Times New Roman"/>
        </w:rPr>
      </w:pPr>
    </w:p>
    <w:p w14:paraId="0EA792FD" w14:textId="22ECD3C0" w:rsidR="0015201A" w:rsidRPr="00F153F6" w:rsidRDefault="0015201A" w:rsidP="005A3DC1">
      <w:pPr>
        <w:pStyle w:val="Heading3"/>
        <w:spacing w:line="360" w:lineRule="auto"/>
        <w:ind w:firstLine="720"/>
        <w:jc w:val="both"/>
        <w:rPr>
          <w:rFonts w:ascii="Times New Roman" w:hAnsi="Times New Roman" w:cs="Times New Roman"/>
          <w:b/>
          <w:color w:val="auto"/>
          <w:sz w:val="28"/>
          <w:szCs w:val="28"/>
        </w:rPr>
      </w:pPr>
      <w:bookmarkStart w:id="629" w:name="_Toc118371144"/>
      <w:bookmarkStart w:id="630" w:name="_Toc133252170"/>
      <w:r w:rsidRPr="00F153F6">
        <w:rPr>
          <w:rFonts w:ascii="Times New Roman" w:hAnsi="Times New Roman" w:cs="Times New Roman"/>
          <w:b/>
          <w:color w:val="auto"/>
          <w:sz w:val="28"/>
          <w:szCs w:val="28"/>
        </w:rPr>
        <w:t xml:space="preserve">4.4.3. Co-constructing and </w:t>
      </w:r>
      <w:r w:rsidR="00964DE8" w:rsidRPr="00F153F6">
        <w:rPr>
          <w:rFonts w:ascii="Times New Roman" w:hAnsi="Times New Roman" w:cs="Times New Roman"/>
          <w:b/>
          <w:color w:val="auto"/>
          <w:sz w:val="28"/>
          <w:szCs w:val="28"/>
        </w:rPr>
        <w:t>ICT</w:t>
      </w:r>
      <w:bookmarkEnd w:id="629"/>
      <w:bookmarkEnd w:id="630"/>
    </w:p>
    <w:p w14:paraId="4DBEA2E4" w14:textId="12391E73"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Co-constructing refers to a knowledgeability by which actors work together to produce new insights based on each other’s ideas. At the completed stage, the enactment of co-constructing knowledgeability entails a more intensive and mature innovation stimulation process based on the combination of diverse </w:t>
      </w:r>
      <w:r w:rsidR="00B52CE7" w:rsidRPr="00F153F6">
        <w:rPr>
          <w:rFonts w:ascii="Times New Roman" w:hAnsi="Times New Roman" w:cs="Times New Roman"/>
          <w:sz w:val="24"/>
          <w:szCs w:val="24"/>
        </w:rPr>
        <w:t>expertise</w:t>
      </w:r>
      <w:r w:rsidRPr="00F153F6">
        <w:rPr>
          <w:rFonts w:ascii="Times New Roman" w:hAnsi="Times New Roman" w:cs="Times New Roman"/>
          <w:sz w:val="24"/>
          <w:szCs w:val="24"/>
        </w:rPr>
        <w:t xml:space="preserve">, in which actors are developing their knowledge on how to integrate the diverse efforts of other actors. There are two primary activities that </w:t>
      </w:r>
      <w:r w:rsidR="00D125F7" w:rsidRPr="00F153F6">
        <w:rPr>
          <w:rFonts w:ascii="Times New Roman" w:hAnsi="Times New Roman" w:cs="Times New Roman"/>
          <w:sz w:val="24"/>
          <w:szCs w:val="24"/>
        </w:rPr>
        <w:t>allow actors to enact</w:t>
      </w:r>
      <w:r w:rsidRPr="00F153F6">
        <w:rPr>
          <w:rFonts w:ascii="Times New Roman" w:hAnsi="Times New Roman" w:cs="Times New Roman"/>
          <w:sz w:val="24"/>
          <w:szCs w:val="24"/>
        </w:rPr>
        <w:t xml:space="preserve"> co-constructing knowledgeability: consolidating, and collective reflecting. Table 4.15 provide a summary of knowing in practice, relevant activities and their explanations in co-constructing knowledgeability.</w:t>
      </w:r>
    </w:p>
    <w:p w14:paraId="257BDA66" w14:textId="77777777" w:rsidR="0015201A" w:rsidRPr="00F153F6" w:rsidRDefault="0015201A" w:rsidP="004424B4">
      <w:pPr>
        <w:spacing w:line="360" w:lineRule="auto"/>
        <w:jc w:val="both"/>
        <w:rPr>
          <w:rFonts w:ascii="Times New Roman" w:hAnsi="Times New Roman" w:cs="Times New Roman"/>
        </w:rPr>
      </w:pPr>
    </w:p>
    <w:p w14:paraId="4F27F5A1" w14:textId="1C66553C" w:rsidR="007148BA" w:rsidRPr="00F153F6" w:rsidRDefault="007148BA" w:rsidP="007148BA">
      <w:pPr>
        <w:pStyle w:val="Caption"/>
        <w:keepNext/>
        <w:rPr>
          <w:rFonts w:ascii="Times New Roman" w:hAnsi="Times New Roman" w:cs="Times New Roman"/>
          <w:i w:val="0"/>
          <w:iCs w:val="0"/>
          <w:color w:val="auto"/>
          <w:sz w:val="22"/>
          <w:szCs w:val="22"/>
        </w:rPr>
      </w:pPr>
      <w:bookmarkStart w:id="631" w:name="_Toc119448049"/>
      <w:r w:rsidRPr="00F153F6">
        <w:rPr>
          <w:rFonts w:ascii="Times New Roman" w:hAnsi="Times New Roman" w:cs="Times New Roman"/>
          <w:i w:val="0"/>
          <w:iCs w:val="0"/>
          <w:color w:val="auto"/>
          <w:sz w:val="22"/>
          <w:szCs w:val="22"/>
        </w:rPr>
        <w:t xml:space="preserve">Table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Table_4.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15</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Summary of the co-constructing knowledgeability and its relevant elements</w:t>
      </w:r>
      <w:bookmarkEnd w:id="631"/>
    </w:p>
    <w:tbl>
      <w:tblPr>
        <w:tblStyle w:val="PlainTable5"/>
        <w:tblW w:w="9067" w:type="dxa"/>
        <w:tblLook w:val="04A0" w:firstRow="1" w:lastRow="0" w:firstColumn="1" w:lastColumn="0" w:noHBand="0" w:noVBand="1"/>
      </w:tblPr>
      <w:tblGrid>
        <w:gridCol w:w="2552"/>
        <w:gridCol w:w="2263"/>
        <w:gridCol w:w="4252"/>
      </w:tblGrid>
      <w:tr w:rsidR="005549E4" w:rsidRPr="00F153F6" w14:paraId="050EEE25" w14:textId="77777777" w:rsidTr="007148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Borders>
              <w:top w:val="single" w:sz="4" w:space="0" w:color="auto"/>
            </w:tcBorders>
            <w:shd w:val="clear" w:color="auto" w:fill="auto"/>
          </w:tcPr>
          <w:p w14:paraId="26815162" w14:textId="77777777" w:rsidR="0015201A" w:rsidRPr="00F153F6" w:rsidRDefault="0015201A" w:rsidP="004424B4">
            <w:pPr>
              <w:spacing w:line="360" w:lineRule="auto"/>
              <w:jc w:val="both"/>
              <w:rPr>
                <w:rFonts w:ascii="Times New Roman" w:hAnsi="Times New Roman" w:cs="Times New Roman"/>
                <w:b/>
                <w:bCs/>
                <w:sz w:val="22"/>
              </w:rPr>
            </w:pPr>
            <w:r w:rsidRPr="00F153F6">
              <w:rPr>
                <w:rFonts w:ascii="Times New Roman" w:hAnsi="Times New Roman" w:cs="Times New Roman"/>
                <w:b/>
                <w:bCs/>
                <w:sz w:val="22"/>
              </w:rPr>
              <w:t>Knowledgeability</w:t>
            </w:r>
          </w:p>
        </w:tc>
        <w:tc>
          <w:tcPr>
            <w:tcW w:w="2263" w:type="dxa"/>
            <w:tcBorders>
              <w:top w:val="single" w:sz="4" w:space="0" w:color="auto"/>
            </w:tcBorders>
            <w:shd w:val="clear" w:color="auto" w:fill="auto"/>
          </w:tcPr>
          <w:p w14:paraId="4A1BF145"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Activities</w:t>
            </w:r>
          </w:p>
        </w:tc>
        <w:tc>
          <w:tcPr>
            <w:tcW w:w="4252" w:type="dxa"/>
            <w:tcBorders>
              <w:top w:val="single" w:sz="4" w:space="0" w:color="auto"/>
            </w:tcBorders>
            <w:shd w:val="clear" w:color="auto" w:fill="auto"/>
          </w:tcPr>
          <w:p w14:paraId="2D03C7A6"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F153F6">
              <w:rPr>
                <w:rFonts w:ascii="Times New Roman" w:hAnsi="Times New Roman" w:cs="Times New Roman"/>
                <w:b/>
                <w:bCs/>
                <w:sz w:val="22"/>
              </w:rPr>
              <w:t>Explanations</w:t>
            </w:r>
          </w:p>
        </w:tc>
      </w:tr>
      <w:tr w:rsidR="005549E4" w:rsidRPr="00F153F6" w14:paraId="6CCF2970" w14:textId="77777777" w:rsidTr="004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shd w:val="clear" w:color="auto" w:fill="auto"/>
          </w:tcPr>
          <w:p w14:paraId="28D2B5D1" w14:textId="77777777" w:rsidR="0015201A" w:rsidRPr="00F153F6" w:rsidRDefault="0015201A" w:rsidP="004424B4">
            <w:pPr>
              <w:spacing w:line="360" w:lineRule="auto"/>
              <w:jc w:val="both"/>
              <w:rPr>
                <w:rFonts w:ascii="Times New Roman" w:hAnsi="Times New Roman" w:cs="Times New Roman"/>
                <w:i w:val="0"/>
                <w:iCs w:val="0"/>
                <w:sz w:val="22"/>
              </w:rPr>
            </w:pPr>
            <w:r w:rsidRPr="00F153F6">
              <w:rPr>
                <w:rFonts w:ascii="Times New Roman" w:hAnsi="Times New Roman" w:cs="Times New Roman"/>
                <w:sz w:val="22"/>
              </w:rPr>
              <w:t xml:space="preserve">Co-constructing </w:t>
            </w:r>
          </w:p>
          <w:p w14:paraId="3695EB7E" w14:textId="77777777" w:rsidR="0015201A" w:rsidRPr="00F153F6" w:rsidRDefault="0015201A" w:rsidP="004424B4">
            <w:pPr>
              <w:spacing w:line="360" w:lineRule="auto"/>
              <w:jc w:val="both"/>
              <w:rPr>
                <w:rFonts w:ascii="Times New Roman" w:hAnsi="Times New Roman" w:cs="Times New Roman"/>
                <w:i w:val="0"/>
                <w:iCs w:val="0"/>
                <w:sz w:val="22"/>
              </w:rPr>
            </w:pPr>
          </w:p>
          <w:p w14:paraId="30780F13" w14:textId="77777777" w:rsidR="0015201A" w:rsidRPr="00F153F6" w:rsidRDefault="0015201A" w:rsidP="004424B4">
            <w:pPr>
              <w:spacing w:line="360" w:lineRule="auto"/>
              <w:jc w:val="both"/>
              <w:rPr>
                <w:rFonts w:ascii="Times New Roman" w:hAnsi="Times New Roman" w:cs="Times New Roman"/>
                <w:sz w:val="22"/>
              </w:rPr>
            </w:pPr>
            <w:r w:rsidRPr="00F153F6">
              <w:rPr>
                <w:rFonts w:ascii="Times New Roman" w:hAnsi="Times New Roman" w:cs="Times New Roman"/>
                <w:sz w:val="22"/>
              </w:rPr>
              <w:t>Explanation: Knowing how to integrate efforts</w:t>
            </w:r>
          </w:p>
        </w:tc>
        <w:tc>
          <w:tcPr>
            <w:tcW w:w="2263" w:type="dxa"/>
            <w:shd w:val="clear" w:color="auto" w:fill="auto"/>
          </w:tcPr>
          <w:p w14:paraId="08E71EA0"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Consolidating</w:t>
            </w:r>
          </w:p>
        </w:tc>
        <w:tc>
          <w:tcPr>
            <w:tcW w:w="4252" w:type="dxa"/>
            <w:shd w:val="clear" w:color="auto" w:fill="auto"/>
          </w:tcPr>
          <w:p w14:paraId="258EA7FC"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Actors combine diverse insights into a more solid form</w:t>
            </w:r>
          </w:p>
        </w:tc>
      </w:tr>
      <w:tr w:rsidR="005549E4" w:rsidRPr="00F153F6" w14:paraId="1E593305" w14:textId="77777777" w:rsidTr="007148BA">
        <w:tc>
          <w:tcPr>
            <w:cnfStyle w:val="001000000000" w:firstRow="0" w:lastRow="0" w:firstColumn="1" w:lastColumn="0" w:oddVBand="0" w:evenVBand="0" w:oddHBand="0" w:evenHBand="0" w:firstRowFirstColumn="0" w:firstRowLastColumn="0" w:lastRowFirstColumn="0" w:lastRowLastColumn="0"/>
            <w:tcW w:w="2552" w:type="dxa"/>
            <w:vMerge/>
            <w:tcBorders>
              <w:bottom w:val="single" w:sz="4" w:space="0" w:color="auto"/>
            </w:tcBorders>
            <w:shd w:val="clear" w:color="auto" w:fill="auto"/>
          </w:tcPr>
          <w:p w14:paraId="6275A50C" w14:textId="77777777" w:rsidR="0015201A" w:rsidRPr="00F153F6" w:rsidRDefault="0015201A" w:rsidP="004424B4">
            <w:pPr>
              <w:spacing w:line="360" w:lineRule="auto"/>
              <w:jc w:val="both"/>
              <w:rPr>
                <w:rFonts w:ascii="Times New Roman" w:hAnsi="Times New Roman" w:cs="Times New Roman"/>
                <w:sz w:val="22"/>
              </w:rPr>
            </w:pPr>
          </w:p>
        </w:tc>
        <w:tc>
          <w:tcPr>
            <w:tcW w:w="2263" w:type="dxa"/>
            <w:tcBorders>
              <w:bottom w:val="single" w:sz="4" w:space="0" w:color="auto"/>
            </w:tcBorders>
            <w:shd w:val="clear" w:color="auto" w:fill="auto"/>
          </w:tcPr>
          <w:p w14:paraId="5649A4D6"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Collective Reflecting</w:t>
            </w:r>
          </w:p>
        </w:tc>
        <w:tc>
          <w:tcPr>
            <w:tcW w:w="4252" w:type="dxa"/>
            <w:tcBorders>
              <w:bottom w:val="single" w:sz="4" w:space="0" w:color="auto"/>
            </w:tcBorders>
            <w:shd w:val="clear" w:color="auto" w:fill="auto"/>
          </w:tcPr>
          <w:p w14:paraId="624579A9"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Actors stay together to reflect new insights from what they have learnt</w:t>
            </w:r>
          </w:p>
        </w:tc>
      </w:tr>
    </w:tbl>
    <w:p w14:paraId="5F070C80" w14:textId="77777777" w:rsidR="0015201A" w:rsidRPr="00F153F6" w:rsidRDefault="0015201A" w:rsidP="004424B4">
      <w:pPr>
        <w:spacing w:line="360" w:lineRule="auto"/>
        <w:jc w:val="both"/>
        <w:rPr>
          <w:rFonts w:ascii="Times New Roman" w:hAnsi="Times New Roman" w:cs="Times New Roman"/>
        </w:rPr>
      </w:pPr>
    </w:p>
    <w:p w14:paraId="2C77617E" w14:textId="5EC343B8"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Consolidating</w:t>
      </w:r>
    </w:p>
    <w:p w14:paraId="161BD857" w14:textId="599A4E9E"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Consolidating refers to the activities in which actors combine diverse insights into a more solid form through which they then develop </w:t>
      </w:r>
      <w:r w:rsidR="00B52CE7" w:rsidRPr="00F153F6">
        <w:rPr>
          <w:rFonts w:ascii="Times New Roman" w:hAnsi="Times New Roman" w:cs="Times New Roman"/>
          <w:sz w:val="24"/>
          <w:szCs w:val="24"/>
        </w:rPr>
        <w:t>a</w:t>
      </w:r>
      <w:r w:rsidRPr="00F153F6">
        <w:rPr>
          <w:rFonts w:ascii="Times New Roman" w:hAnsi="Times New Roman" w:cs="Times New Roman"/>
          <w:sz w:val="24"/>
          <w:szCs w:val="24"/>
        </w:rPr>
        <w:t xml:space="preserve"> better understanding of how to integrate the diverse efforts of actors. At the completed stage, different actors may have delivered different outputs which are sometimes required to be consolidated together into a more insightful and coherent whole.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allows actors to interact timely with each other by </w:t>
      </w:r>
      <w:r w:rsidR="00D125F7" w:rsidRPr="00F153F6">
        <w:rPr>
          <w:rFonts w:ascii="Times New Roman" w:hAnsi="Times New Roman" w:cs="Times New Roman"/>
          <w:sz w:val="24"/>
          <w:szCs w:val="24"/>
        </w:rPr>
        <w:t>affording</w:t>
      </w:r>
      <w:r w:rsidRPr="00F153F6">
        <w:rPr>
          <w:rFonts w:ascii="Times New Roman" w:hAnsi="Times New Roman" w:cs="Times New Roman"/>
          <w:sz w:val="24"/>
          <w:szCs w:val="24"/>
        </w:rPr>
        <w:t xml:space="preserve"> them instant workaround </w:t>
      </w:r>
      <w:r w:rsidR="00D125F7" w:rsidRPr="00F153F6">
        <w:rPr>
          <w:rFonts w:ascii="Times New Roman" w:hAnsi="Times New Roman" w:cs="Times New Roman"/>
          <w:sz w:val="24"/>
          <w:szCs w:val="24"/>
        </w:rPr>
        <w:t>ability</w:t>
      </w:r>
      <w:r w:rsidRPr="00F153F6">
        <w:rPr>
          <w:rFonts w:ascii="Times New Roman" w:hAnsi="Times New Roman" w:cs="Times New Roman"/>
          <w:sz w:val="24"/>
          <w:szCs w:val="24"/>
        </w:rPr>
        <w:t xml:space="preserve"> so that they can </w:t>
      </w:r>
      <w:r w:rsidR="00D125F7" w:rsidRPr="00F153F6">
        <w:rPr>
          <w:rFonts w:ascii="Times New Roman" w:hAnsi="Times New Roman" w:cs="Times New Roman"/>
          <w:sz w:val="24"/>
          <w:szCs w:val="24"/>
        </w:rPr>
        <w:t xml:space="preserve">overcome problems timely and </w:t>
      </w:r>
      <w:r w:rsidRPr="00F153F6">
        <w:rPr>
          <w:rFonts w:ascii="Times New Roman" w:hAnsi="Times New Roman" w:cs="Times New Roman"/>
          <w:sz w:val="24"/>
          <w:szCs w:val="24"/>
        </w:rPr>
        <w:t>improve their co-constructed work effectively. As one interviewee note:</w:t>
      </w:r>
    </w:p>
    <w:p w14:paraId="59AF2293" w14:textId="660F7E02"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lastRenderedPageBreak/>
        <w:t>“Also, the writing of the documents that we led, again, was on Google Docs. Even if then we made the final editing, I think it was in design or whatever. But all the contents were on a shared Google Doc where everyone was aware, informed and could add changes in any way making comments in order to produce a better version.” (Project C3, Participant 3, Para. 20)</w:t>
      </w:r>
    </w:p>
    <w:p w14:paraId="2ECE38FF" w14:textId="63D60FCD"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the above example, actors use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to collaborate on writing the project documents. At the completion stage, actors still need to iteratively make sense of their work, interact with each other, and give feedback on each other’s drafts in order to produce a better final version. This is to enable further innovations and reflects a co-construction process among partners. That everyone is able to contribute to the shared Google document entails a consolidation process through which actors combine different contributions, allowing them to develop a better understanding of how to integrate efforts among multiple collaborators. </w:t>
      </w:r>
    </w:p>
    <w:p w14:paraId="386D4F13" w14:textId="77777777" w:rsidR="0015201A" w:rsidRPr="00F153F6" w:rsidRDefault="0015201A" w:rsidP="004424B4">
      <w:pPr>
        <w:spacing w:line="360" w:lineRule="auto"/>
        <w:jc w:val="both"/>
        <w:rPr>
          <w:rFonts w:ascii="Times New Roman" w:hAnsi="Times New Roman" w:cs="Times New Roman"/>
          <w:sz w:val="24"/>
          <w:szCs w:val="24"/>
        </w:rPr>
      </w:pPr>
    </w:p>
    <w:p w14:paraId="37A56DBB" w14:textId="4FD629D4"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However,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also inhibit the co-construction of insights in consolidating activities by constraining an actor’s integrating ability. This take place especially when a large number of insights are documented into too distributed locations. As one interviewee notes:</w:t>
      </w:r>
    </w:p>
    <w:p w14:paraId="2BF27E36" w14:textId="74AF70AC" w:rsidR="0015201A" w:rsidRPr="00F153F6" w:rsidRDefault="0015201A" w:rsidP="007148BA">
      <w:pPr>
        <w:spacing w:line="360" w:lineRule="auto"/>
        <w:ind w:left="720"/>
        <w:jc w:val="both"/>
        <w:rPr>
          <w:rFonts w:ascii="Times New Roman" w:hAnsi="Times New Roman" w:cs="Times New Roman"/>
          <w:sz w:val="24"/>
          <w:szCs w:val="24"/>
        </w:rPr>
      </w:pPr>
      <w:r w:rsidRPr="00F153F6">
        <w:rPr>
          <w:rFonts w:ascii="Times New Roman" w:hAnsi="Times New Roman" w:cs="Times New Roman"/>
          <w:i/>
          <w:iCs/>
          <w:sz w:val="24"/>
          <w:szCs w:val="24"/>
        </w:rPr>
        <w:t>“For Trello, we had tons of boards that were really filled with contents, but we cannot integrate them together. And so at the end’ we just didn’t use it anymore. We still use it for our internal purposes, but not with the consortium.” (Project C3, Participant 2, Para. 37)</w:t>
      </w:r>
    </w:p>
    <w:p w14:paraId="10E0ACAB" w14:textId="77777777"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hAnsi="Times New Roman" w:cs="Times New Roman"/>
          <w:sz w:val="24"/>
          <w:szCs w:val="24"/>
        </w:rPr>
        <w:t>In the above example, as the project is nearing completion, there are many ideas being delivered and visualised on Trello boards. However, the use of Trello does not allow actors to combine these distributed ideas together. Although such a tool is still used within the intra-organisational context, its inherent constraints inhibit actors from integrating insights, and emphasising the enactment of co-constructing knowledgeability, resulting in the discontinuation of its use in inter-organisational context.</w:t>
      </w:r>
    </w:p>
    <w:p w14:paraId="164CE7CD" w14:textId="77777777" w:rsidR="0015201A" w:rsidRPr="00F153F6" w:rsidRDefault="0015201A" w:rsidP="004424B4">
      <w:pPr>
        <w:spacing w:line="360" w:lineRule="auto"/>
        <w:jc w:val="both"/>
        <w:rPr>
          <w:rFonts w:ascii="Times New Roman" w:hAnsi="Times New Roman" w:cs="Times New Roman"/>
          <w:sz w:val="24"/>
          <w:szCs w:val="24"/>
        </w:rPr>
      </w:pPr>
    </w:p>
    <w:p w14:paraId="1F65687C" w14:textId="0409C8C8"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Collective Reflecting</w:t>
      </w:r>
    </w:p>
    <w:p w14:paraId="38410315" w14:textId="64D654E0"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Collective reflecting refers to the activities in which actors stay together to reflect on new insights what they have learnt. Actors in such an activity engage in an insights co-construction </w:t>
      </w:r>
      <w:r w:rsidRPr="00F153F6">
        <w:rPr>
          <w:rFonts w:ascii="Times New Roman" w:hAnsi="Times New Roman" w:cs="Times New Roman"/>
          <w:sz w:val="24"/>
          <w:szCs w:val="24"/>
        </w:rPr>
        <w:lastRenderedPageBreak/>
        <w:t xml:space="preserve">process by stimulating each other’s thoughts and inspiring new ideas. Through collective reflecting, actors recurrently accomplish their co-constructing knowledgeability, and develop a better understanding of how to integrate each other’s ideas towards more coherent insightful outputs for the project. The use of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 provide actors with reviewing tools which allows them to review their previous experience upon which they can then develop their collective reflection. As one interviewee notes:</w:t>
      </w:r>
    </w:p>
    <w:p w14:paraId="36F0EC6E" w14:textId="4D4D47F4"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“We were all there together. </w:t>
      </w:r>
      <w:r w:rsidR="00B52CE7" w:rsidRPr="00F153F6">
        <w:rPr>
          <w:rFonts w:ascii="Times New Roman" w:hAnsi="Times New Roman" w:cs="Times New Roman"/>
          <w:i/>
          <w:iCs/>
          <w:sz w:val="24"/>
          <w:szCs w:val="24"/>
        </w:rPr>
        <w:t>So,</w:t>
      </w:r>
      <w:r w:rsidRPr="00F153F6">
        <w:rPr>
          <w:rFonts w:ascii="Times New Roman" w:hAnsi="Times New Roman" w:cs="Times New Roman"/>
          <w:i/>
          <w:iCs/>
          <w:sz w:val="24"/>
          <w:szCs w:val="24"/>
        </w:rPr>
        <w:t xml:space="preserve"> in the end, exactly, we were all there together, exactly. We were working together on it. What we did was at the end of the project, what we really took a lot of effort in doing not just to discuss the results, but then also to discuss the methodology by which we had </w:t>
      </w:r>
      <w:r w:rsidR="00B52CE7" w:rsidRPr="00F153F6">
        <w:rPr>
          <w:rFonts w:ascii="Times New Roman" w:hAnsi="Times New Roman" w:cs="Times New Roman"/>
          <w:i/>
          <w:iCs/>
          <w:sz w:val="24"/>
          <w:szCs w:val="24"/>
        </w:rPr>
        <w:t>obtained</w:t>
      </w:r>
      <w:r w:rsidRPr="00F153F6">
        <w:rPr>
          <w:rFonts w:ascii="Times New Roman" w:hAnsi="Times New Roman" w:cs="Times New Roman"/>
          <w:i/>
          <w:iCs/>
          <w:sz w:val="24"/>
          <w:szCs w:val="24"/>
        </w:rPr>
        <w:t xml:space="preserve"> results... </w:t>
      </w:r>
      <w:r w:rsidR="00B52CE7" w:rsidRPr="00F153F6">
        <w:rPr>
          <w:rFonts w:ascii="Times New Roman" w:hAnsi="Times New Roman" w:cs="Times New Roman"/>
          <w:i/>
          <w:iCs/>
          <w:sz w:val="24"/>
          <w:szCs w:val="24"/>
        </w:rPr>
        <w:t>So,</w:t>
      </w:r>
      <w:r w:rsidRPr="00F153F6">
        <w:rPr>
          <w:rFonts w:ascii="Times New Roman" w:hAnsi="Times New Roman" w:cs="Times New Roman"/>
          <w:i/>
          <w:iCs/>
          <w:sz w:val="24"/>
          <w:szCs w:val="24"/>
        </w:rPr>
        <w:t xml:space="preserve"> we always had a video that is still not published, but we have a short video about our experience. This is where specific communication outcomes of the project come out and is the basis that we could review together for our reflection.” (Project C2, Participant 1, Para. 60)</w:t>
      </w:r>
    </w:p>
    <w:p w14:paraId="53AB1013" w14:textId="77777777"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above instance shows that actors at the project completed stage not only develop reflections on the project results, but also the trajectory that they to reach such results. Actors always work together throughout the project collaboration, which indicates the collaborative and co-creation nature of Living Lab project. The use of videos allows actors to review their experience upon which they are able to discuss together and create new insights collaboratively. </w:t>
      </w:r>
    </w:p>
    <w:p w14:paraId="64949A1E" w14:textId="77777777" w:rsidR="0015201A" w:rsidRPr="00F153F6" w:rsidRDefault="0015201A" w:rsidP="004424B4">
      <w:pPr>
        <w:spacing w:line="360" w:lineRule="auto"/>
        <w:jc w:val="both"/>
        <w:rPr>
          <w:rFonts w:ascii="Times New Roman" w:hAnsi="Times New Roman" w:cs="Times New Roman"/>
        </w:rPr>
      </w:pPr>
    </w:p>
    <w:p w14:paraId="1A8887F1" w14:textId="3EB9DF96" w:rsidR="0015201A" w:rsidRPr="00F153F6" w:rsidRDefault="0015201A" w:rsidP="005A3DC1">
      <w:pPr>
        <w:pStyle w:val="Heading3"/>
        <w:spacing w:line="360" w:lineRule="auto"/>
        <w:ind w:firstLine="720"/>
        <w:jc w:val="both"/>
        <w:rPr>
          <w:rFonts w:ascii="Times New Roman" w:hAnsi="Times New Roman" w:cs="Times New Roman"/>
          <w:b/>
          <w:color w:val="auto"/>
          <w:sz w:val="28"/>
          <w:szCs w:val="28"/>
        </w:rPr>
      </w:pPr>
      <w:bookmarkStart w:id="632" w:name="_Toc118371145"/>
      <w:bookmarkStart w:id="633" w:name="_Toc133252171"/>
      <w:r w:rsidRPr="00F153F6">
        <w:rPr>
          <w:rFonts w:ascii="Times New Roman" w:hAnsi="Times New Roman" w:cs="Times New Roman"/>
          <w:b/>
          <w:color w:val="auto"/>
          <w:sz w:val="28"/>
          <w:szCs w:val="28"/>
        </w:rPr>
        <w:t>4.</w:t>
      </w:r>
      <w:r w:rsidR="009446DC" w:rsidRPr="00F153F6">
        <w:rPr>
          <w:rFonts w:ascii="Times New Roman" w:hAnsi="Times New Roman" w:cs="Times New Roman"/>
          <w:b/>
          <w:color w:val="auto"/>
          <w:sz w:val="28"/>
          <w:szCs w:val="28"/>
        </w:rPr>
        <w:t>4</w:t>
      </w:r>
      <w:r w:rsidRPr="00F153F6">
        <w:rPr>
          <w:rFonts w:ascii="Times New Roman" w:hAnsi="Times New Roman" w:cs="Times New Roman"/>
          <w:b/>
          <w:color w:val="auto"/>
          <w:sz w:val="28"/>
          <w:szCs w:val="28"/>
        </w:rPr>
        <w:t xml:space="preserve">.4. Co-ordinating and </w:t>
      </w:r>
      <w:r w:rsidR="00964DE8" w:rsidRPr="00F153F6">
        <w:rPr>
          <w:rFonts w:ascii="Times New Roman" w:hAnsi="Times New Roman" w:cs="Times New Roman"/>
          <w:b/>
          <w:color w:val="auto"/>
          <w:sz w:val="28"/>
          <w:szCs w:val="28"/>
        </w:rPr>
        <w:t>ICT</w:t>
      </w:r>
      <w:bookmarkEnd w:id="632"/>
      <w:bookmarkEnd w:id="633"/>
    </w:p>
    <w:p w14:paraId="02D3F894" w14:textId="6E4D43CF"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Co-ordinating refers to a knowledgeability enacted by actors who generate reactions to the outputs of others’ work, or themselves, in order to move their work forward. At the completed stage, co-ordinating entails that actor’s co-ordinate project activities with a focus on project closure and its sustainability. There are three types of activities that comprise co-ordinating: Controlling; Monitoring; and </w:t>
      </w:r>
      <w:r w:rsidR="00B52CE7" w:rsidRPr="00F153F6">
        <w:rPr>
          <w:rFonts w:ascii="Times New Roman" w:hAnsi="Times New Roman" w:cs="Times New Roman"/>
          <w:sz w:val="24"/>
          <w:szCs w:val="24"/>
        </w:rPr>
        <w:t>Sustaining</w:t>
      </w:r>
      <w:r w:rsidRPr="00F153F6">
        <w:rPr>
          <w:rFonts w:ascii="Times New Roman" w:hAnsi="Times New Roman" w:cs="Times New Roman"/>
          <w:sz w:val="24"/>
          <w:szCs w:val="24"/>
        </w:rPr>
        <w:t xml:space="preserve">. ICT </w:t>
      </w:r>
      <w:r w:rsidR="00D125F7" w:rsidRPr="00F153F6">
        <w:rPr>
          <w:rFonts w:ascii="Times New Roman" w:hAnsi="Times New Roman" w:cs="Times New Roman"/>
          <w:sz w:val="24"/>
          <w:szCs w:val="24"/>
        </w:rPr>
        <w:t>affords</w:t>
      </w:r>
      <w:r w:rsidRPr="00F153F6">
        <w:rPr>
          <w:rFonts w:ascii="Times New Roman" w:hAnsi="Times New Roman" w:cs="Times New Roman"/>
          <w:sz w:val="24"/>
          <w:szCs w:val="24"/>
        </w:rPr>
        <w:t xml:space="preserve"> actor</w:t>
      </w:r>
      <w:r w:rsidR="00D125F7" w:rsidRPr="00F153F6">
        <w:rPr>
          <w:rFonts w:ascii="Times New Roman" w:hAnsi="Times New Roman" w:cs="Times New Roman"/>
          <w:sz w:val="24"/>
          <w:szCs w:val="24"/>
        </w:rPr>
        <w:t>s</w:t>
      </w:r>
      <w:r w:rsidRPr="00F153F6">
        <w:rPr>
          <w:rFonts w:ascii="Times New Roman" w:hAnsi="Times New Roman" w:cs="Times New Roman"/>
          <w:sz w:val="24"/>
          <w:szCs w:val="24"/>
        </w:rPr>
        <w:t xml:space="preserve"> tracking and documenting </w:t>
      </w:r>
      <w:r w:rsidR="00D125F7" w:rsidRPr="00F153F6">
        <w:rPr>
          <w:rFonts w:ascii="Times New Roman" w:hAnsi="Times New Roman" w:cs="Times New Roman"/>
          <w:sz w:val="24"/>
          <w:szCs w:val="24"/>
        </w:rPr>
        <w:t>ability</w:t>
      </w:r>
      <w:r w:rsidRPr="00F153F6">
        <w:rPr>
          <w:rFonts w:ascii="Times New Roman" w:hAnsi="Times New Roman" w:cs="Times New Roman"/>
          <w:sz w:val="24"/>
          <w:szCs w:val="24"/>
        </w:rPr>
        <w:t xml:space="preserve"> which increase their understanding of how to direct their work performance as the project is moving to the end.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also inhibit such knowledgeability by constraining actors’ ability to locate important materials and so on. Table 4.16 provides a summary of knowing in practice, relevant activities and their explanations in co-ordinating knowledgeability.</w:t>
      </w:r>
    </w:p>
    <w:p w14:paraId="18F3F8F2" w14:textId="77777777" w:rsidR="0015201A" w:rsidRPr="00F153F6" w:rsidRDefault="0015201A" w:rsidP="004424B4">
      <w:pPr>
        <w:spacing w:line="360" w:lineRule="auto"/>
        <w:jc w:val="both"/>
        <w:rPr>
          <w:rFonts w:ascii="Times New Roman" w:hAnsi="Times New Roman" w:cs="Times New Roman"/>
        </w:rPr>
      </w:pPr>
    </w:p>
    <w:p w14:paraId="64D346C5" w14:textId="23625072" w:rsidR="007148BA" w:rsidRPr="00F153F6" w:rsidRDefault="007148BA" w:rsidP="007148BA">
      <w:pPr>
        <w:pStyle w:val="Caption"/>
        <w:keepNext/>
        <w:rPr>
          <w:rFonts w:ascii="Times New Roman" w:hAnsi="Times New Roman" w:cs="Times New Roman"/>
          <w:i w:val="0"/>
          <w:iCs w:val="0"/>
          <w:color w:val="auto"/>
          <w:sz w:val="22"/>
          <w:szCs w:val="22"/>
        </w:rPr>
      </w:pPr>
      <w:bookmarkStart w:id="634" w:name="_Toc119448050"/>
      <w:r w:rsidRPr="00F153F6">
        <w:rPr>
          <w:rFonts w:ascii="Times New Roman" w:hAnsi="Times New Roman" w:cs="Times New Roman"/>
          <w:i w:val="0"/>
          <w:iCs w:val="0"/>
          <w:color w:val="auto"/>
          <w:sz w:val="22"/>
          <w:szCs w:val="22"/>
        </w:rPr>
        <w:lastRenderedPageBreak/>
        <w:t xml:space="preserve">Table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Table_4.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16</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Summary of the co-ordinating knowledgeability and its relevant elements</w:t>
      </w:r>
      <w:bookmarkEnd w:id="634"/>
    </w:p>
    <w:tbl>
      <w:tblPr>
        <w:tblStyle w:val="PlainTable5"/>
        <w:tblW w:w="9067" w:type="dxa"/>
        <w:tblLook w:val="04A0" w:firstRow="1" w:lastRow="0" w:firstColumn="1" w:lastColumn="0" w:noHBand="0" w:noVBand="1"/>
      </w:tblPr>
      <w:tblGrid>
        <w:gridCol w:w="2552"/>
        <w:gridCol w:w="2263"/>
        <w:gridCol w:w="4252"/>
      </w:tblGrid>
      <w:tr w:rsidR="005549E4" w:rsidRPr="00F153F6" w14:paraId="1B553DE6" w14:textId="77777777" w:rsidTr="007148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Borders>
              <w:top w:val="single" w:sz="4" w:space="0" w:color="auto"/>
            </w:tcBorders>
            <w:shd w:val="clear" w:color="auto" w:fill="auto"/>
          </w:tcPr>
          <w:p w14:paraId="7E8E73FE" w14:textId="77777777" w:rsidR="0015201A" w:rsidRPr="00F153F6" w:rsidRDefault="0015201A" w:rsidP="004424B4">
            <w:pPr>
              <w:spacing w:line="360" w:lineRule="auto"/>
              <w:jc w:val="both"/>
              <w:rPr>
                <w:rFonts w:ascii="Times New Roman" w:hAnsi="Times New Roman" w:cs="Times New Roman"/>
                <w:b/>
                <w:bCs/>
                <w:i w:val="0"/>
                <w:iCs w:val="0"/>
                <w:sz w:val="22"/>
              </w:rPr>
            </w:pPr>
            <w:r w:rsidRPr="00F153F6">
              <w:rPr>
                <w:rFonts w:ascii="Times New Roman" w:hAnsi="Times New Roman" w:cs="Times New Roman"/>
                <w:b/>
                <w:bCs/>
                <w:i w:val="0"/>
                <w:iCs w:val="0"/>
                <w:sz w:val="22"/>
              </w:rPr>
              <w:t>Knowledgeability</w:t>
            </w:r>
          </w:p>
        </w:tc>
        <w:tc>
          <w:tcPr>
            <w:tcW w:w="2263" w:type="dxa"/>
            <w:tcBorders>
              <w:top w:val="single" w:sz="4" w:space="0" w:color="auto"/>
            </w:tcBorders>
            <w:shd w:val="clear" w:color="auto" w:fill="auto"/>
          </w:tcPr>
          <w:p w14:paraId="3A04C14C"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2"/>
              </w:rPr>
            </w:pPr>
            <w:r w:rsidRPr="00F153F6">
              <w:rPr>
                <w:rFonts w:ascii="Times New Roman" w:hAnsi="Times New Roman" w:cs="Times New Roman"/>
                <w:b/>
                <w:bCs/>
                <w:i w:val="0"/>
                <w:iCs w:val="0"/>
                <w:sz w:val="22"/>
              </w:rPr>
              <w:t>Activities</w:t>
            </w:r>
          </w:p>
        </w:tc>
        <w:tc>
          <w:tcPr>
            <w:tcW w:w="4252" w:type="dxa"/>
            <w:tcBorders>
              <w:top w:val="single" w:sz="4" w:space="0" w:color="auto"/>
            </w:tcBorders>
            <w:shd w:val="clear" w:color="auto" w:fill="auto"/>
          </w:tcPr>
          <w:p w14:paraId="63785B58" w14:textId="77777777" w:rsidR="0015201A" w:rsidRPr="00F153F6" w:rsidRDefault="0015201A" w:rsidP="004424B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2"/>
              </w:rPr>
            </w:pPr>
            <w:r w:rsidRPr="00F153F6">
              <w:rPr>
                <w:rFonts w:ascii="Times New Roman" w:hAnsi="Times New Roman" w:cs="Times New Roman"/>
                <w:b/>
                <w:bCs/>
                <w:i w:val="0"/>
                <w:iCs w:val="0"/>
                <w:sz w:val="22"/>
              </w:rPr>
              <w:t>Explanations</w:t>
            </w:r>
          </w:p>
        </w:tc>
      </w:tr>
      <w:tr w:rsidR="005549E4" w:rsidRPr="00F153F6" w14:paraId="4FF530EB" w14:textId="77777777" w:rsidTr="0043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30346EDB" w14:textId="77777777" w:rsidR="0015201A" w:rsidRPr="00F153F6" w:rsidRDefault="0015201A" w:rsidP="004424B4">
            <w:pPr>
              <w:spacing w:line="360" w:lineRule="auto"/>
              <w:jc w:val="both"/>
              <w:rPr>
                <w:rFonts w:ascii="Times New Roman" w:hAnsi="Times New Roman" w:cs="Times New Roman"/>
                <w:sz w:val="22"/>
              </w:rPr>
            </w:pPr>
            <w:r w:rsidRPr="00F153F6">
              <w:rPr>
                <w:rFonts w:ascii="Times New Roman" w:hAnsi="Times New Roman" w:cs="Times New Roman"/>
                <w:i w:val="0"/>
                <w:iCs w:val="0"/>
                <w:sz w:val="22"/>
              </w:rPr>
              <w:t>Co-ordinating</w:t>
            </w:r>
          </w:p>
          <w:p w14:paraId="668D9A47" w14:textId="77777777" w:rsidR="0015201A" w:rsidRPr="00F153F6" w:rsidRDefault="0015201A" w:rsidP="004424B4">
            <w:pPr>
              <w:spacing w:line="360" w:lineRule="auto"/>
              <w:jc w:val="both"/>
              <w:rPr>
                <w:rFonts w:ascii="Times New Roman" w:hAnsi="Times New Roman" w:cs="Times New Roman"/>
                <w:sz w:val="22"/>
              </w:rPr>
            </w:pPr>
          </w:p>
          <w:p w14:paraId="61648403" w14:textId="77777777" w:rsidR="0015201A" w:rsidRPr="00F153F6" w:rsidRDefault="0015201A" w:rsidP="004424B4">
            <w:pPr>
              <w:spacing w:line="360" w:lineRule="auto"/>
              <w:jc w:val="both"/>
              <w:rPr>
                <w:rFonts w:ascii="Times New Roman" w:hAnsi="Times New Roman" w:cs="Times New Roman"/>
                <w:i w:val="0"/>
                <w:iCs w:val="0"/>
                <w:sz w:val="22"/>
              </w:rPr>
            </w:pPr>
            <w:r w:rsidRPr="00F153F6">
              <w:rPr>
                <w:rFonts w:ascii="Times New Roman" w:hAnsi="Times New Roman" w:cs="Times New Roman"/>
                <w:sz w:val="22"/>
              </w:rPr>
              <w:t>Explanation:</w:t>
            </w:r>
            <w:r w:rsidRPr="00F153F6">
              <w:rPr>
                <w:rFonts w:ascii="Times New Roman" w:hAnsi="Times New Roman" w:cs="Times New Roman"/>
                <w:i w:val="0"/>
                <w:iCs w:val="0"/>
                <w:sz w:val="22"/>
              </w:rPr>
              <w:t xml:space="preserve"> Knowing how to direct performance</w:t>
            </w:r>
          </w:p>
        </w:tc>
        <w:tc>
          <w:tcPr>
            <w:tcW w:w="2263" w:type="dxa"/>
            <w:shd w:val="clear" w:color="auto" w:fill="auto"/>
          </w:tcPr>
          <w:p w14:paraId="68294858"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Controlling</w:t>
            </w:r>
          </w:p>
        </w:tc>
        <w:tc>
          <w:tcPr>
            <w:tcW w:w="4252" w:type="dxa"/>
            <w:shd w:val="clear" w:color="auto" w:fill="auto"/>
          </w:tcPr>
          <w:p w14:paraId="12C94F55"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Actors evaluate each other’s performance in order to control the quality of project performance and control the direction of the project</w:t>
            </w:r>
          </w:p>
        </w:tc>
      </w:tr>
      <w:tr w:rsidR="005549E4" w:rsidRPr="00F153F6" w14:paraId="3C6BD251" w14:textId="77777777" w:rsidTr="004314D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0C627453" w14:textId="77777777" w:rsidR="0015201A" w:rsidRPr="00F153F6" w:rsidRDefault="0015201A" w:rsidP="004424B4">
            <w:pPr>
              <w:spacing w:line="360" w:lineRule="auto"/>
              <w:jc w:val="both"/>
              <w:rPr>
                <w:rFonts w:ascii="Times New Roman" w:hAnsi="Times New Roman" w:cs="Times New Roman"/>
                <w:i w:val="0"/>
                <w:iCs w:val="0"/>
                <w:sz w:val="22"/>
              </w:rPr>
            </w:pPr>
          </w:p>
        </w:tc>
        <w:tc>
          <w:tcPr>
            <w:tcW w:w="2263" w:type="dxa"/>
            <w:shd w:val="clear" w:color="auto" w:fill="auto"/>
          </w:tcPr>
          <w:p w14:paraId="38155C89"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Monitoring</w:t>
            </w:r>
          </w:p>
        </w:tc>
        <w:tc>
          <w:tcPr>
            <w:tcW w:w="4252" w:type="dxa"/>
            <w:shd w:val="clear" w:color="auto" w:fill="auto"/>
          </w:tcPr>
          <w:p w14:paraId="268BB915"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Actors change their behaviours from existing organising practices in order to make them suitable for new situations</w:t>
            </w:r>
          </w:p>
          <w:p w14:paraId="59480EC7" w14:textId="77777777" w:rsidR="0015201A" w:rsidRPr="00F153F6" w:rsidRDefault="0015201A" w:rsidP="004424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49E4" w:rsidRPr="00F153F6" w14:paraId="6C5F3228" w14:textId="77777777" w:rsidTr="00714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shd w:val="clear" w:color="auto" w:fill="auto"/>
          </w:tcPr>
          <w:p w14:paraId="0F704818" w14:textId="77777777" w:rsidR="0015201A" w:rsidRPr="00F153F6" w:rsidRDefault="0015201A" w:rsidP="004424B4">
            <w:pPr>
              <w:spacing w:line="360" w:lineRule="auto"/>
              <w:jc w:val="both"/>
              <w:rPr>
                <w:rFonts w:ascii="Times New Roman" w:hAnsi="Times New Roman" w:cs="Times New Roman"/>
                <w:i w:val="0"/>
                <w:iCs w:val="0"/>
                <w:sz w:val="22"/>
              </w:rPr>
            </w:pPr>
          </w:p>
        </w:tc>
        <w:tc>
          <w:tcPr>
            <w:tcW w:w="2263" w:type="dxa"/>
            <w:tcBorders>
              <w:bottom w:val="single" w:sz="4" w:space="0" w:color="auto"/>
            </w:tcBorders>
            <w:shd w:val="clear" w:color="auto" w:fill="auto"/>
          </w:tcPr>
          <w:p w14:paraId="618A6BF3"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Sustaining</w:t>
            </w:r>
          </w:p>
        </w:tc>
        <w:tc>
          <w:tcPr>
            <w:tcW w:w="4252" w:type="dxa"/>
            <w:tcBorders>
              <w:bottom w:val="single" w:sz="4" w:space="0" w:color="auto"/>
            </w:tcBorders>
            <w:shd w:val="clear" w:color="auto" w:fill="auto"/>
          </w:tcPr>
          <w:p w14:paraId="165C4211" w14:textId="77777777" w:rsidR="0015201A" w:rsidRPr="00F153F6" w:rsidRDefault="0015201A" w:rsidP="004424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153F6">
              <w:rPr>
                <w:rFonts w:ascii="Times New Roman" w:hAnsi="Times New Roman" w:cs="Times New Roman"/>
              </w:rPr>
              <w:t>Actors engage in developing project values continually when the project is nearly or fully completed</w:t>
            </w:r>
          </w:p>
        </w:tc>
      </w:tr>
    </w:tbl>
    <w:p w14:paraId="1B141A46" w14:textId="77777777" w:rsidR="0015201A" w:rsidRPr="00F153F6" w:rsidRDefault="0015201A" w:rsidP="004424B4">
      <w:pPr>
        <w:spacing w:line="360" w:lineRule="auto"/>
        <w:jc w:val="both"/>
        <w:rPr>
          <w:rFonts w:ascii="Times New Roman" w:hAnsi="Times New Roman" w:cs="Times New Roman"/>
        </w:rPr>
      </w:pPr>
    </w:p>
    <w:p w14:paraId="6D40BF13" w14:textId="77777777" w:rsidR="0015201A" w:rsidRPr="00F153F6" w:rsidRDefault="0015201A" w:rsidP="004424B4">
      <w:pPr>
        <w:spacing w:line="360" w:lineRule="auto"/>
        <w:jc w:val="both"/>
        <w:rPr>
          <w:rFonts w:ascii="Times New Roman" w:hAnsi="Times New Roman" w:cs="Times New Roman"/>
        </w:rPr>
      </w:pPr>
    </w:p>
    <w:p w14:paraId="67EF3F53" w14:textId="29BC29C6"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Controlling</w:t>
      </w:r>
    </w:p>
    <w:p w14:paraId="7509361C" w14:textId="537B3514"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Controlling refers to activities in which actors evaluate each other’s performance in order to control the quality of the projects performance and control the direction of the project. At the completed stage, controlling activity entails that actors are focus on the control of overall project performance to achieve the projects overall goals.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 facilitate controlling by providing actors with documenting tools while they may also inhibit controlling by constraining </w:t>
      </w:r>
      <w:r w:rsidR="00B52CE7" w:rsidRPr="00F153F6">
        <w:rPr>
          <w:rFonts w:ascii="Times New Roman" w:hAnsi="Times New Roman" w:cs="Times New Roman"/>
          <w:sz w:val="24"/>
          <w:szCs w:val="24"/>
        </w:rPr>
        <w:t>actors’</w:t>
      </w:r>
      <w:r w:rsidRPr="00F153F6">
        <w:rPr>
          <w:rFonts w:ascii="Times New Roman" w:hAnsi="Times New Roman" w:cs="Times New Roman"/>
          <w:sz w:val="24"/>
          <w:szCs w:val="24"/>
        </w:rPr>
        <w:t xml:space="preserve"> ability to locate important project related materials. As one interviewee notes:</w:t>
      </w:r>
    </w:p>
    <w:p w14:paraId="78500B16" w14:textId="7DED930D"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“We use software to document all activities, experiences, plus the deliverables that we have produced, the times of the different tasks in the black packages, messages, etc. So everything was there that was a sort of project management, and the software we used specifically and this thing was called Teamwork… This platform is used during the whole duration of the </w:t>
      </w:r>
      <w:r w:rsidR="005A3DC1" w:rsidRPr="00F153F6">
        <w:rPr>
          <w:rFonts w:ascii="Times New Roman" w:hAnsi="Times New Roman" w:cs="Times New Roman"/>
          <w:i/>
          <w:iCs/>
          <w:sz w:val="24"/>
          <w:szCs w:val="24"/>
        </w:rPr>
        <w:t>project</w:t>
      </w:r>
      <w:r w:rsidRPr="00F153F6">
        <w:rPr>
          <w:rFonts w:ascii="Times New Roman" w:hAnsi="Times New Roman" w:cs="Times New Roman"/>
          <w:i/>
          <w:iCs/>
          <w:sz w:val="24"/>
          <w:szCs w:val="24"/>
        </w:rPr>
        <w:t xml:space="preserve"> because it’s just for </w:t>
      </w:r>
      <w:r w:rsidR="005A3DC1" w:rsidRPr="00F153F6">
        <w:rPr>
          <w:rFonts w:ascii="Times New Roman" w:hAnsi="Times New Roman" w:cs="Times New Roman"/>
          <w:i/>
          <w:iCs/>
          <w:sz w:val="24"/>
          <w:szCs w:val="24"/>
        </w:rPr>
        <w:t>project</w:t>
      </w:r>
      <w:r w:rsidRPr="00F153F6">
        <w:rPr>
          <w:rFonts w:ascii="Times New Roman" w:hAnsi="Times New Roman" w:cs="Times New Roman"/>
          <w:i/>
          <w:iCs/>
          <w:sz w:val="24"/>
          <w:szCs w:val="24"/>
        </w:rPr>
        <w:t xml:space="preserve"> management. It’s useless now because now the project is completed, you can only download the documents, but </w:t>
      </w:r>
      <w:r w:rsidRPr="00F153F6">
        <w:rPr>
          <w:rFonts w:ascii="Times New Roman" w:hAnsi="Times New Roman" w:cs="Times New Roman"/>
          <w:i/>
          <w:iCs/>
          <w:sz w:val="24"/>
          <w:szCs w:val="24"/>
        </w:rPr>
        <w:lastRenderedPageBreak/>
        <w:t>nothing else. During the particular time, you can exploit its effectiveness, for example it allows you to send messages, to control the activities, to call for a project and teleconference.” (Project C1, Participant 1, Para’ 58-62)</w:t>
      </w:r>
    </w:p>
    <w:p w14:paraId="1C9EED2D" w14:textId="6E574749"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“Why I’m unhappy is because if you mix too many projects at the same platform, there will be many different </w:t>
      </w:r>
      <w:r w:rsidR="005A3DC1" w:rsidRPr="00F153F6">
        <w:rPr>
          <w:rFonts w:ascii="Times New Roman" w:hAnsi="Times New Roman" w:cs="Times New Roman"/>
          <w:i/>
          <w:iCs/>
          <w:sz w:val="24"/>
          <w:szCs w:val="24"/>
        </w:rPr>
        <w:t>log-</w:t>
      </w:r>
      <w:r w:rsidRPr="00F153F6">
        <w:rPr>
          <w:rFonts w:ascii="Times New Roman" w:hAnsi="Times New Roman" w:cs="Times New Roman"/>
          <w:i/>
          <w:iCs/>
          <w:sz w:val="24"/>
          <w:szCs w:val="24"/>
        </w:rPr>
        <w:t>in, and they might mix up, and my account get mixed up. And occasionally I find myself not being able to locate the document” (Project C1, participant 1, Para. 86)</w:t>
      </w:r>
    </w:p>
    <w:p w14:paraId="17FD9697" w14:textId="1BA0D13A"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the first instance, actors use Teamwork as a means to control the project activities by documenting all relevant activities and experiences throughout all stage of the project. At the completed stage, this tool is perceived useless but still available to use with the purpose of some possible downloads. This indicates that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have sustainable values in the support of future project related works. In the second instance, actors may try to organise too many projects on the platform which leads to problems locating specific documents. There are multiple actors in the Living Lab project, which serves to increases the level of complexity when managing multiple projects and locating specific documents.</w:t>
      </w:r>
    </w:p>
    <w:p w14:paraId="7686DE04" w14:textId="77777777" w:rsidR="0015201A" w:rsidRPr="00F153F6" w:rsidRDefault="0015201A" w:rsidP="004424B4">
      <w:pPr>
        <w:spacing w:line="360" w:lineRule="auto"/>
        <w:jc w:val="both"/>
        <w:rPr>
          <w:rFonts w:ascii="Times New Roman" w:hAnsi="Times New Roman" w:cs="Times New Roman"/>
          <w:sz w:val="24"/>
          <w:szCs w:val="24"/>
        </w:rPr>
      </w:pPr>
    </w:p>
    <w:p w14:paraId="2F004461" w14:textId="329B55C1"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Monitoring</w:t>
      </w:r>
    </w:p>
    <w:p w14:paraId="55B75EA2" w14:textId="21B45627"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Monitoring refers to activities in which actors keep checking the project’s performance and progress closely, in order to see how it develops such that actors can make any necessary changes. At the project completed stage, as more project activities are completed and more outputs are delivered, actors need to closely monitor how these outputs are delivered to ensure that project tasks are achieved. This provides information to actors on how to direct the project’s overall performance and complete the overall project goals. ICT</w:t>
      </w:r>
      <w:r w:rsidR="00964DE8" w:rsidRPr="00F153F6">
        <w:rPr>
          <w:rFonts w:ascii="Times New Roman" w:hAnsi="Times New Roman" w:cs="Times New Roman"/>
          <w:sz w:val="24"/>
          <w:szCs w:val="24"/>
        </w:rPr>
        <w:t xml:space="preserve"> is</w:t>
      </w:r>
      <w:r w:rsidRPr="00F153F6">
        <w:rPr>
          <w:rFonts w:ascii="Times New Roman" w:hAnsi="Times New Roman" w:cs="Times New Roman"/>
          <w:sz w:val="24"/>
          <w:szCs w:val="24"/>
        </w:rPr>
        <w:t xml:space="preserve"> used here to </w:t>
      </w:r>
      <w:r w:rsidR="00D125F7" w:rsidRPr="00F153F6">
        <w:rPr>
          <w:rFonts w:ascii="Times New Roman" w:hAnsi="Times New Roman" w:cs="Times New Roman"/>
          <w:sz w:val="24"/>
          <w:szCs w:val="24"/>
        </w:rPr>
        <w:t>afford actors</w:t>
      </w:r>
      <w:r w:rsidRPr="00F153F6">
        <w:rPr>
          <w:rFonts w:ascii="Times New Roman" w:hAnsi="Times New Roman" w:cs="Times New Roman"/>
          <w:sz w:val="24"/>
          <w:szCs w:val="24"/>
        </w:rPr>
        <w:t xml:space="preserve"> tracking abilities, enabling actors to track each other’s work in a shared space. This monitoring activity allows actors to develop a better understanding of how to direct the project’s performance in. As one interviewee notes’ </w:t>
      </w:r>
    </w:p>
    <w:p w14:paraId="4A527F82" w14:textId="41EDADCB"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 xml:space="preserve">“I think that’s Google Drive is very useful. Yes. Otherwise, it would be quite difficult to serve all the documents where it records our completed tasks and relevant experiences. For example, if you compare that sending all these documents by </w:t>
      </w:r>
      <w:r w:rsidR="005A3DC1" w:rsidRPr="00F153F6">
        <w:rPr>
          <w:rFonts w:ascii="Times New Roman" w:hAnsi="Times New Roman" w:cs="Times New Roman"/>
          <w:i/>
          <w:iCs/>
          <w:sz w:val="24"/>
          <w:szCs w:val="24"/>
        </w:rPr>
        <w:t>email</w:t>
      </w:r>
      <w:r w:rsidRPr="00F153F6">
        <w:rPr>
          <w:rFonts w:ascii="Times New Roman" w:hAnsi="Times New Roman" w:cs="Times New Roman"/>
          <w:i/>
          <w:iCs/>
          <w:sz w:val="24"/>
          <w:szCs w:val="24"/>
        </w:rPr>
        <w:t xml:space="preserve"> and that would be difficult to keep on track, which is the latest version of the documents. So that is very crucial to have one </w:t>
      </w:r>
      <w:r w:rsidR="005A3DC1" w:rsidRPr="00F153F6">
        <w:rPr>
          <w:rFonts w:ascii="Times New Roman" w:hAnsi="Times New Roman" w:cs="Times New Roman"/>
          <w:i/>
          <w:iCs/>
          <w:sz w:val="24"/>
          <w:szCs w:val="24"/>
        </w:rPr>
        <w:t>common</w:t>
      </w:r>
      <w:r w:rsidRPr="00F153F6">
        <w:rPr>
          <w:rFonts w:ascii="Times New Roman" w:hAnsi="Times New Roman" w:cs="Times New Roman"/>
          <w:i/>
          <w:iCs/>
          <w:sz w:val="24"/>
          <w:szCs w:val="24"/>
        </w:rPr>
        <w:t xml:space="preserve"> place. You don’t have to keep them all of </w:t>
      </w:r>
      <w:r w:rsidRPr="00F153F6">
        <w:rPr>
          <w:rFonts w:ascii="Times New Roman" w:hAnsi="Times New Roman" w:cs="Times New Roman"/>
          <w:i/>
          <w:iCs/>
          <w:sz w:val="24"/>
          <w:szCs w:val="24"/>
        </w:rPr>
        <w:lastRenderedPageBreak/>
        <w:t xml:space="preserve">them in your own or holders or your own </w:t>
      </w:r>
      <w:r w:rsidR="005A3DC1" w:rsidRPr="00F153F6">
        <w:rPr>
          <w:rFonts w:ascii="Times New Roman" w:hAnsi="Times New Roman" w:cs="Times New Roman"/>
          <w:i/>
          <w:iCs/>
          <w:sz w:val="24"/>
          <w:szCs w:val="24"/>
        </w:rPr>
        <w:t>computer</w:t>
      </w:r>
      <w:r w:rsidRPr="00F153F6">
        <w:rPr>
          <w:rFonts w:ascii="Times New Roman" w:hAnsi="Times New Roman" w:cs="Times New Roman"/>
          <w:i/>
          <w:iCs/>
          <w:sz w:val="24"/>
          <w:szCs w:val="24"/>
        </w:rPr>
        <w:t xml:space="preserve">. It </w:t>
      </w:r>
      <w:r w:rsidR="005A3DC1" w:rsidRPr="00F153F6">
        <w:rPr>
          <w:rFonts w:ascii="Times New Roman" w:hAnsi="Times New Roman" w:cs="Times New Roman"/>
          <w:i/>
          <w:iCs/>
          <w:sz w:val="24"/>
          <w:szCs w:val="24"/>
        </w:rPr>
        <w:t>doesn’t</w:t>
      </w:r>
      <w:r w:rsidRPr="00F153F6">
        <w:rPr>
          <w:rFonts w:ascii="Times New Roman" w:hAnsi="Times New Roman" w:cs="Times New Roman"/>
          <w:i/>
          <w:iCs/>
          <w:sz w:val="24"/>
          <w:szCs w:val="24"/>
        </w:rPr>
        <w:t xml:space="preserve"> matter if it’s Google or Microsoft Teams because they have a </w:t>
      </w:r>
      <w:r w:rsidR="005A3DC1" w:rsidRPr="00F153F6">
        <w:rPr>
          <w:rFonts w:ascii="Times New Roman" w:hAnsi="Times New Roman" w:cs="Times New Roman"/>
          <w:i/>
          <w:iCs/>
          <w:sz w:val="24"/>
          <w:szCs w:val="24"/>
        </w:rPr>
        <w:t>similar</w:t>
      </w:r>
      <w:r w:rsidRPr="00F153F6">
        <w:rPr>
          <w:rFonts w:ascii="Times New Roman" w:hAnsi="Times New Roman" w:cs="Times New Roman"/>
          <w:i/>
          <w:iCs/>
          <w:sz w:val="24"/>
          <w:szCs w:val="24"/>
        </w:rPr>
        <w:t xml:space="preserve"> idea. That’s a similar way of doing. I just ’refer Google, it’s easier to use.” (Project C3, Participant 1, Para. 115-117)</w:t>
      </w:r>
    </w:p>
    <w:p w14:paraId="59F26961" w14:textId="3AB5A9D9"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As projects move to the completed stage, a large amount of documents are being generated. Actors in Project C3 use Google Drives as a common shared space to store these documents and as a way to integrate multiple actors’ work. The use of Google Drives </w:t>
      </w:r>
      <w:r w:rsidR="00D125F7" w:rsidRPr="00F153F6">
        <w:rPr>
          <w:rFonts w:ascii="Times New Roman" w:hAnsi="Times New Roman" w:cs="Times New Roman"/>
          <w:sz w:val="24"/>
          <w:szCs w:val="24"/>
        </w:rPr>
        <w:t>affords</w:t>
      </w:r>
      <w:r w:rsidRPr="00F153F6">
        <w:rPr>
          <w:rFonts w:ascii="Times New Roman" w:hAnsi="Times New Roman" w:cs="Times New Roman"/>
          <w:sz w:val="24"/>
          <w:szCs w:val="24"/>
        </w:rPr>
        <w:t xml:space="preserve"> actors a tracking </w:t>
      </w:r>
      <w:r w:rsidR="00D125F7" w:rsidRPr="00F153F6">
        <w:rPr>
          <w:rFonts w:ascii="Times New Roman" w:hAnsi="Times New Roman" w:cs="Times New Roman"/>
          <w:sz w:val="24"/>
          <w:szCs w:val="24"/>
        </w:rPr>
        <w:t>ability</w:t>
      </w:r>
      <w:r w:rsidRPr="00F153F6">
        <w:rPr>
          <w:rFonts w:ascii="Times New Roman" w:hAnsi="Times New Roman" w:cs="Times New Roman"/>
          <w:sz w:val="24"/>
          <w:szCs w:val="24"/>
        </w:rPr>
        <w:t xml:space="preserve"> that helps discover the latest version of documents or specific one’s in an effective way so that they can be reviewed and learned afterwards. The shared space also allows actors to avoid putting extra efforts in documenting their experience, such as using their own PCs. With the use of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for monitoring, actors can </w:t>
      </w:r>
      <w:r w:rsidR="00B52CE7" w:rsidRPr="00F153F6">
        <w:rPr>
          <w:rFonts w:ascii="Times New Roman" w:hAnsi="Times New Roman" w:cs="Times New Roman"/>
          <w:sz w:val="24"/>
          <w:szCs w:val="24"/>
        </w:rPr>
        <w:t>organise</w:t>
      </w:r>
      <w:r w:rsidRPr="00F153F6">
        <w:rPr>
          <w:rFonts w:ascii="Times New Roman" w:hAnsi="Times New Roman" w:cs="Times New Roman"/>
          <w:sz w:val="24"/>
          <w:szCs w:val="24"/>
        </w:rPr>
        <w:t xml:space="preserve"> their work in a more systematic way so that they always know that their existing performance is up to date. This allows actors to enact their co-ordinating knowledgeability and develop their knowledge on how to direct work performance collaboratively. Actors may have their personal preference in the selection of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but it seems that they do not bother too much as long as the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supports their monitoring activities.</w:t>
      </w:r>
    </w:p>
    <w:p w14:paraId="43C18F32" w14:textId="77777777"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 </w:t>
      </w:r>
    </w:p>
    <w:p w14:paraId="739F4CA6" w14:textId="2556A5C5"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Sustaining</w:t>
      </w:r>
    </w:p>
    <w:p w14:paraId="2D124741" w14:textId="663650AA"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Sustaining refers to the activities in which actors engage in continually developing project values as the project is nearly or fully completed. At the completed stage, actors may seek new opportunities to find other project values in Living Lab to achieve sustainability. As actors sustaining their project value in the completed stage, they are developing a better understanding of how to direct project performance in a sustainable way. As one interviewee notes: </w:t>
      </w:r>
    </w:p>
    <w:p w14:paraId="270073A2" w14:textId="4CC171FC" w:rsidR="0015201A" w:rsidRPr="00F153F6" w:rsidRDefault="0015201A" w:rsidP="007148BA">
      <w:pPr>
        <w:spacing w:line="360" w:lineRule="auto"/>
        <w:ind w:left="720"/>
        <w:jc w:val="both"/>
        <w:rPr>
          <w:rFonts w:ascii="Times New Roman" w:hAnsi="Times New Roman" w:cs="Times New Roman"/>
          <w:i/>
          <w:iCs/>
          <w:sz w:val="24"/>
          <w:szCs w:val="24"/>
        </w:rPr>
      </w:pPr>
      <w:r w:rsidRPr="00F153F6">
        <w:rPr>
          <w:rFonts w:ascii="Times New Roman" w:hAnsi="Times New Roman" w:cs="Times New Roman"/>
          <w:i/>
          <w:iCs/>
          <w:sz w:val="24"/>
          <w:szCs w:val="24"/>
        </w:rPr>
        <w:t>“We plant this project as a proof of concept. The idea was, okay, it’s a small pilot that will allow us to validate the whole technology. Before that, we had a plan, we had an idea, we had a blueprint. Now we have a very deep prototype. So with this validated prototype, we’re still doing on this. Now, this project is ’completed, but we’re trying to find other ways, other areas, to deploy it.” (Project C3, Participant 3, Para. 40)</w:t>
      </w:r>
    </w:p>
    <w:p w14:paraId="5760E0DF" w14:textId="77777777"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As the Living Lab project progresses, ideas may be developed deeply, and more valuable project outputs are delivered at the completed stage. To extend the value of the project’s outputs, actors seek new ways to re-develop the project’s ideas as a sustainable value. This indicates the sustainability is an important characteristic of the European Living Lab context. </w:t>
      </w:r>
    </w:p>
    <w:p w14:paraId="3A9FAEBE" w14:textId="77777777" w:rsidR="0015201A" w:rsidRPr="00F153F6" w:rsidRDefault="0015201A" w:rsidP="004424B4">
      <w:pPr>
        <w:pStyle w:val="Heading2"/>
        <w:spacing w:line="360" w:lineRule="auto"/>
        <w:rPr>
          <w:rFonts w:ascii="Times New Roman" w:hAnsi="Times New Roman" w:cs="Times New Roman"/>
          <w:sz w:val="32"/>
          <w:szCs w:val="32"/>
        </w:rPr>
      </w:pPr>
      <w:bookmarkStart w:id="635" w:name="_Toc118371146"/>
      <w:bookmarkStart w:id="636" w:name="_Toc133252172"/>
      <w:r w:rsidRPr="00F153F6">
        <w:rPr>
          <w:rFonts w:ascii="Times New Roman" w:hAnsi="Times New Roman" w:cs="Times New Roman"/>
          <w:sz w:val="32"/>
          <w:szCs w:val="32"/>
        </w:rPr>
        <w:lastRenderedPageBreak/>
        <w:t>4.5 Cross Stage Analysis</w:t>
      </w:r>
      <w:bookmarkEnd w:id="635"/>
      <w:bookmarkEnd w:id="636"/>
    </w:p>
    <w:p w14:paraId="1AFF7FCC" w14:textId="41A32232"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As explained in the previous sections, ICT-</w:t>
      </w:r>
      <w:r w:rsidR="007148BA" w:rsidRPr="00F153F6">
        <w:rPr>
          <w:rFonts w:ascii="Times New Roman" w:hAnsi="Times New Roman" w:cs="Times New Roman"/>
          <w:sz w:val="24"/>
          <w:szCs w:val="24"/>
        </w:rPr>
        <w:t>based IOKE</w:t>
      </w:r>
      <w:r w:rsidRPr="00F153F6">
        <w:rPr>
          <w:rFonts w:ascii="Times New Roman" w:hAnsi="Times New Roman" w:cs="Times New Roman"/>
          <w:sz w:val="24"/>
          <w:szCs w:val="24"/>
        </w:rPr>
        <w:t xml:space="preserve"> is characterised by three broad knowledgeabilities: </w:t>
      </w:r>
      <w:r w:rsidR="0058396B" w:rsidRPr="00F153F6">
        <w:rPr>
          <w:rFonts w:ascii="Times New Roman" w:hAnsi="Times New Roman" w:cs="Times New Roman"/>
          <w:sz w:val="24"/>
          <w:szCs w:val="24"/>
        </w:rPr>
        <w:t>conditional</w:t>
      </w:r>
      <w:r w:rsidRPr="00F153F6">
        <w:rPr>
          <w:rFonts w:ascii="Times New Roman" w:hAnsi="Times New Roman" w:cs="Times New Roman"/>
          <w:sz w:val="24"/>
          <w:szCs w:val="24"/>
        </w:rPr>
        <w:t xml:space="preserve"> knowledgeability, core knowledgeabilities, and resulting knowledgeability, which exist across all three project stages. </w:t>
      </w:r>
      <w:r w:rsidR="0058396B" w:rsidRPr="00F153F6">
        <w:rPr>
          <w:rFonts w:ascii="Times New Roman" w:hAnsi="Times New Roman" w:cs="Times New Roman"/>
          <w:sz w:val="24"/>
          <w:szCs w:val="24"/>
        </w:rPr>
        <w:t>Conditional</w:t>
      </w:r>
      <w:r w:rsidRPr="00F153F6">
        <w:rPr>
          <w:rFonts w:ascii="Times New Roman" w:hAnsi="Times New Roman" w:cs="Times New Roman"/>
          <w:sz w:val="24"/>
          <w:szCs w:val="24"/>
        </w:rPr>
        <w:t xml:space="preserve"> knowledgeability (inter-connecting) and resulting knowledgeability (co-ordinating) remain the same across all three stages, while specific core knowledgeabilities vary as the project progresses. This may be due to the shifting focus of actors as they engage in different stages of project activities when they enact core abilities in pursuit of project goals. This indicates that different project stage activities require different core abilities to achieve project tasks. Although these core knowledgeabilities vary, the condition to which these core knowledgeabilities can be enacted remains the same due to the nature of ICT-</w:t>
      </w:r>
      <w:r w:rsidR="007148BA" w:rsidRPr="00F153F6">
        <w:rPr>
          <w:rFonts w:ascii="Times New Roman" w:hAnsi="Times New Roman" w:cs="Times New Roman"/>
          <w:sz w:val="24"/>
          <w:szCs w:val="24"/>
        </w:rPr>
        <w:t>based IOKE</w:t>
      </w:r>
      <w:r w:rsidRPr="00F153F6">
        <w:rPr>
          <w:rFonts w:ascii="Times New Roman" w:hAnsi="Times New Roman" w:cs="Times New Roman"/>
          <w:sz w:val="24"/>
          <w:szCs w:val="24"/>
        </w:rPr>
        <w:t xml:space="preserve"> as an interactive practice. In other words, actors must be inter-connected to enable any form of interactions. Regarding the resulting knowledgeability, it remains the same and is may be enacted across all three stages due to the project-nature of European Living Lab context. There is usually one or more project co-ordinator roles who lead the progress of the whole project and direct project performance in the correct way in order to complete project tasks within the estimated or funded project duration. Therefore, any activities organised in the project should somehow contribute to the project goal and provide implications on progress to move the project forward, which may help to explain why any enactment of core knowledgeabilities will result in the enactment of co-ordinating knowledgeability. More specific explanations for each knowledgeability across different project stages are provided in the ensuing subsections in order to inform an integrated framework for ICT-based IOKE practice. </w:t>
      </w:r>
    </w:p>
    <w:p w14:paraId="56D6879B" w14:textId="77777777" w:rsidR="0015201A" w:rsidRPr="00F153F6" w:rsidRDefault="0015201A" w:rsidP="004424B4">
      <w:pPr>
        <w:spacing w:line="360" w:lineRule="auto"/>
        <w:jc w:val="both"/>
        <w:rPr>
          <w:rFonts w:ascii="Times New Roman" w:hAnsi="Times New Roman" w:cs="Times New Roman"/>
          <w:sz w:val="24"/>
          <w:szCs w:val="24"/>
        </w:rPr>
      </w:pPr>
    </w:p>
    <w:p w14:paraId="7F1D1E9F" w14:textId="77777777" w:rsidR="0015201A" w:rsidRPr="00F153F6" w:rsidRDefault="0015201A" w:rsidP="000543CB">
      <w:pPr>
        <w:pStyle w:val="Heading3"/>
        <w:spacing w:line="360" w:lineRule="auto"/>
        <w:ind w:firstLine="720"/>
        <w:jc w:val="both"/>
        <w:rPr>
          <w:rFonts w:ascii="Times New Roman" w:hAnsi="Times New Roman" w:cs="Times New Roman"/>
          <w:b/>
          <w:color w:val="auto"/>
          <w:sz w:val="28"/>
          <w:szCs w:val="28"/>
        </w:rPr>
      </w:pPr>
      <w:bookmarkStart w:id="637" w:name="_Toc118371147"/>
      <w:bookmarkStart w:id="638" w:name="_Toc133252173"/>
      <w:r w:rsidRPr="00F153F6">
        <w:rPr>
          <w:rFonts w:ascii="Times New Roman" w:hAnsi="Times New Roman" w:cs="Times New Roman"/>
          <w:b/>
          <w:color w:val="auto"/>
          <w:sz w:val="28"/>
          <w:szCs w:val="28"/>
        </w:rPr>
        <w:t>4.5.1 Inter-connecting as a conditional knowledgeability</w:t>
      </w:r>
      <w:bookmarkEnd w:id="637"/>
      <w:bookmarkEnd w:id="638"/>
      <w:r w:rsidRPr="00F153F6">
        <w:rPr>
          <w:rFonts w:ascii="Times New Roman" w:hAnsi="Times New Roman" w:cs="Times New Roman"/>
          <w:b/>
          <w:color w:val="auto"/>
          <w:sz w:val="28"/>
          <w:szCs w:val="28"/>
        </w:rPr>
        <w:t xml:space="preserve"> </w:t>
      </w:r>
    </w:p>
    <w:p w14:paraId="1B1E2A8D" w14:textId="7F7E81AF"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As the empirical data shows, inter-connecting is a conditional knowledgeability across all stages. Although such knowledgeability (inter-connecting) remains the same across all stages, the elements that comprise inter-connecting </w:t>
      </w:r>
      <w:r w:rsidR="00D125F7" w:rsidRPr="00F153F6">
        <w:rPr>
          <w:rFonts w:ascii="Times New Roman" w:hAnsi="Times New Roman" w:cs="Times New Roman"/>
          <w:sz w:val="24"/>
          <w:szCs w:val="24"/>
        </w:rPr>
        <w:t>(i.e.,</w:t>
      </w:r>
      <w:r w:rsidRPr="00F153F6">
        <w:rPr>
          <w:rFonts w:ascii="Times New Roman" w:hAnsi="Times New Roman" w:cs="Times New Roman"/>
          <w:sz w:val="24"/>
          <w:szCs w:val="24"/>
        </w:rPr>
        <w:t xml:space="preserve"> activities and ICT </w:t>
      </w:r>
      <w:r w:rsidR="00D125F7" w:rsidRPr="00F153F6">
        <w:rPr>
          <w:rFonts w:ascii="Times New Roman" w:hAnsi="Times New Roman" w:cs="Times New Roman"/>
          <w:sz w:val="24"/>
          <w:szCs w:val="24"/>
        </w:rPr>
        <w:t>afforded</w:t>
      </w:r>
      <w:r w:rsidRPr="00F153F6">
        <w:rPr>
          <w:rFonts w:ascii="Times New Roman" w:hAnsi="Times New Roman" w:cs="Times New Roman"/>
          <w:sz w:val="24"/>
          <w:szCs w:val="24"/>
        </w:rPr>
        <w:t xml:space="preserve">/constrained abilities) vary and provide different outcomes for each stage. </w:t>
      </w:r>
    </w:p>
    <w:p w14:paraId="66438D07" w14:textId="51DD00A4"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For all stages, connecting and socialising appear as the activities allowing actors to enact their interconnecting knowledgeability. This indicates two primary relationships for which actors become inter-connected throughout the project: formal workplace relationship; and informal </w:t>
      </w:r>
      <w:r w:rsidRPr="00F153F6">
        <w:rPr>
          <w:rFonts w:ascii="Times New Roman" w:hAnsi="Times New Roman" w:cs="Times New Roman"/>
          <w:sz w:val="24"/>
          <w:szCs w:val="24"/>
        </w:rPr>
        <w:lastRenderedPageBreak/>
        <w:t xml:space="preserve">relationship. Formal workplace relationship allows actors to achieve their tasks in pursuit of project overall goals, which is the basis to complete any project tasks for each project stage. Informal relationship allows actors to release project stress and familiarise themselves with each other in a more comfortable way, which also takes place throughout the project. Therefore, knowing how to cultivate these two different types of relationships becomes an important accomplishment throughout the project, and is thereby commonly shared across different stages. </w:t>
      </w:r>
    </w:p>
    <w:p w14:paraId="5ECA691D" w14:textId="266E6A6C"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the inception stage, cultivating partnerships appear since this is the initial stage where actors are actively seeking their appropriate collaborators as their partners to shape the project team. This activity takes place in the middle stage as well, while targeted collaborators are usually citizens or end users since in the middle stage, actors are in need of crowd (general public) perspectives and start to involve citizens or end users into the project by inviting them into co-creation workshops. Such activity disappears in the completed stage, perhaps because the project team is already stabilised, and they also do not need any further insights from the crowd as co-creation workshops are going to be completed. Bridging activities are also only present at both the inception stage and the middle stage, while being absent from the completed stage. This may be due to the familiarity level among actors being increased as the project moves forward. Actors at the inception and middle stages are usually not very familiar with each other, neither with their expertise nor their communication styles. Therefore, they may need boundary spanners who help to mediate the communication between actors with diverse backgrounds. As the collaboration becomes deeper and matures at the completed stage, actors become more familiar with each other, and everyone’s expertise has continually developed into deliverables or outputs. Therefore, they do not need any boundary spanners to work in between different collaborators and start to know how to cultivate relationship with each other themselves as the project is going to end. Embedding in real life activity seems to only occur at the middle stage, this may because it is the stage when co-creation intensively take place. Due to the nature of the Living Lab project, the real life setting becomes a significant characteristic that helps actors learn from each other and co-create as they reflect on their work within this setting. Such co-creation is organised intensively during the middle stage of the project, thereby embedding actors themselves in a real life setting, and the need to know how to cultivate relationship in real life is significantly in need compared to other stages. </w:t>
      </w:r>
    </w:p>
    <w:p w14:paraId="162F67DC" w14:textId="6E7DE4F0"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Across all stages,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 </w:t>
      </w:r>
      <w:r w:rsidR="00D125F7" w:rsidRPr="00F153F6">
        <w:rPr>
          <w:rFonts w:ascii="Times New Roman" w:hAnsi="Times New Roman" w:cs="Times New Roman"/>
          <w:sz w:val="24"/>
          <w:szCs w:val="24"/>
        </w:rPr>
        <w:t>afford</w:t>
      </w:r>
      <w:r w:rsidRPr="00F153F6">
        <w:rPr>
          <w:rFonts w:ascii="Times New Roman" w:hAnsi="Times New Roman" w:cs="Times New Roman"/>
          <w:sz w:val="24"/>
          <w:szCs w:val="24"/>
        </w:rPr>
        <w:t xml:space="preserve"> actors diverse </w:t>
      </w:r>
      <w:r w:rsidR="00D125F7" w:rsidRPr="00F153F6">
        <w:rPr>
          <w:rFonts w:ascii="Times New Roman" w:hAnsi="Times New Roman" w:cs="Times New Roman"/>
          <w:sz w:val="24"/>
          <w:szCs w:val="24"/>
        </w:rPr>
        <w:t>abilities</w:t>
      </w:r>
      <w:r w:rsidRPr="00F153F6">
        <w:rPr>
          <w:rFonts w:ascii="Times New Roman" w:hAnsi="Times New Roman" w:cs="Times New Roman"/>
          <w:sz w:val="24"/>
          <w:szCs w:val="24"/>
        </w:rPr>
        <w:t xml:space="preserve"> to accomplish their development of knowledgeability, </w:t>
      </w:r>
      <w:r w:rsidR="00F153F6" w:rsidRPr="00F153F6">
        <w:rPr>
          <w:rFonts w:ascii="Times New Roman" w:hAnsi="Times New Roman" w:cs="Times New Roman"/>
          <w:sz w:val="24"/>
          <w:szCs w:val="24"/>
        </w:rPr>
        <w:t>including</w:t>
      </w:r>
      <w:r w:rsidR="00F153F6">
        <w:rPr>
          <w:rFonts w:ascii="Times New Roman" w:hAnsi="Times New Roman" w:cs="Times New Roman"/>
          <w:sz w:val="24"/>
          <w:szCs w:val="24"/>
        </w:rPr>
        <w:t>:</w:t>
      </w:r>
      <w:r w:rsidRPr="00F153F6">
        <w:rPr>
          <w:rFonts w:ascii="Times New Roman" w:hAnsi="Times New Roman" w:cs="Times New Roman"/>
          <w:sz w:val="24"/>
          <w:szCs w:val="24"/>
        </w:rPr>
        <w:t xml:space="preserve"> cross-distance networking; notifying; informal interacting; </w:t>
      </w:r>
      <w:r w:rsidRPr="00F153F6">
        <w:rPr>
          <w:rFonts w:ascii="Times New Roman" w:hAnsi="Times New Roman" w:cs="Times New Roman"/>
          <w:sz w:val="24"/>
          <w:szCs w:val="24"/>
        </w:rPr>
        <w:lastRenderedPageBreak/>
        <w:t xml:space="preserve">context familiarising; and grouping. However, these may also constrain actors’ appealing, accessing, stable connecting, informal interacting and stress releasing ability. Among these, cross-distance networking and notifying become core ICT </w:t>
      </w:r>
      <w:r w:rsidR="00D125F7" w:rsidRPr="00F153F6">
        <w:rPr>
          <w:rFonts w:ascii="Times New Roman" w:hAnsi="Times New Roman" w:cs="Times New Roman"/>
          <w:sz w:val="24"/>
          <w:szCs w:val="24"/>
        </w:rPr>
        <w:t>affordances</w:t>
      </w:r>
      <w:r w:rsidRPr="00F153F6">
        <w:rPr>
          <w:rFonts w:ascii="Times New Roman" w:hAnsi="Times New Roman" w:cs="Times New Roman"/>
          <w:sz w:val="24"/>
          <w:szCs w:val="24"/>
        </w:rPr>
        <w:t xml:space="preserve"> that facilitate</w:t>
      </w:r>
      <w:r w:rsidR="00D125F7" w:rsidRPr="00F153F6">
        <w:rPr>
          <w:rFonts w:ascii="Times New Roman" w:hAnsi="Times New Roman" w:cs="Times New Roman"/>
          <w:sz w:val="24"/>
          <w:szCs w:val="24"/>
        </w:rPr>
        <w:t>s</w:t>
      </w:r>
      <w:r w:rsidRPr="00F153F6">
        <w:rPr>
          <w:rFonts w:ascii="Times New Roman" w:hAnsi="Times New Roman" w:cs="Times New Roman"/>
          <w:sz w:val="24"/>
          <w:szCs w:val="24"/>
        </w:rPr>
        <w:t xml:space="preserve"> the enactment of inter-connecting knowledgeability across different stages. This indicates the core functionality which actors perceive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to bring are to allow them to collaborate remotely regardless of distance and receive information timely and effectively. An interesting observation is that the informal interacting ability is </w:t>
      </w:r>
      <w:r w:rsidR="00D125F7" w:rsidRPr="00F153F6">
        <w:rPr>
          <w:rFonts w:ascii="Times New Roman" w:hAnsi="Times New Roman" w:cs="Times New Roman"/>
          <w:sz w:val="24"/>
          <w:szCs w:val="24"/>
        </w:rPr>
        <w:t>afforded</w:t>
      </w:r>
      <w:r w:rsidRPr="00F153F6">
        <w:rPr>
          <w:rFonts w:ascii="Times New Roman" w:hAnsi="Times New Roman" w:cs="Times New Roman"/>
          <w:sz w:val="24"/>
          <w:szCs w:val="24"/>
        </w:rPr>
        <w:t xml:space="preserve"> by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at the inception stage but constrained in the middle stage. This may be because actors’ requirements for quality informal relationships increase as actors become more familiar with each other gradually as the project moves forward.</w:t>
      </w:r>
    </w:p>
    <w:p w14:paraId="33B03319" w14:textId="77777777" w:rsidR="0015201A" w:rsidRPr="00F153F6" w:rsidRDefault="0015201A" w:rsidP="004424B4">
      <w:pPr>
        <w:spacing w:line="360" w:lineRule="auto"/>
        <w:jc w:val="both"/>
        <w:rPr>
          <w:rFonts w:ascii="Times New Roman" w:hAnsi="Times New Roman" w:cs="Times New Roman"/>
        </w:rPr>
      </w:pPr>
    </w:p>
    <w:p w14:paraId="1B11DD16" w14:textId="4871A2EB" w:rsidR="0015201A" w:rsidRPr="00F153F6" w:rsidRDefault="0015201A" w:rsidP="000543CB">
      <w:pPr>
        <w:pStyle w:val="Heading3"/>
        <w:spacing w:line="360" w:lineRule="auto"/>
        <w:ind w:firstLine="720"/>
        <w:jc w:val="both"/>
        <w:rPr>
          <w:rFonts w:ascii="Times New Roman" w:hAnsi="Times New Roman" w:cs="Times New Roman"/>
          <w:b/>
          <w:color w:val="auto"/>
          <w:sz w:val="28"/>
          <w:szCs w:val="28"/>
        </w:rPr>
      </w:pPr>
      <w:bookmarkStart w:id="639" w:name="_Toc118371148"/>
      <w:bookmarkStart w:id="640" w:name="_Toc133252174"/>
      <w:r w:rsidRPr="00F153F6">
        <w:rPr>
          <w:rFonts w:ascii="Times New Roman" w:hAnsi="Times New Roman" w:cs="Times New Roman"/>
          <w:b/>
          <w:color w:val="auto"/>
          <w:sz w:val="28"/>
          <w:szCs w:val="28"/>
        </w:rPr>
        <w:t>4.5.2 Core knowledgeability across Different Stages</w:t>
      </w:r>
      <w:bookmarkEnd w:id="639"/>
      <w:bookmarkEnd w:id="640"/>
    </w:p>
    <w:p w14:paraId="175B5941" w14:textId="29A77DC8"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Interactive Learning: Knowing how to deepen understanding</w:t>
      </w:r>
      <w:r w:rsidR="000543CB" w:rsidRPr="00F153F6">
        <w:rPr>
          <w:rFonts w:ascii="Times New Roman" w:hAnsi="Times New Roman" w:cs="Times New Roman"/>
          <w:b/>
          <w:bCs/>
          <w:sz w:val="24"/>
          <w:szCs w:val="24"/>
        </w:rPr>
        <w:t xml:space="preserve"> of each other’s expertise.</w:t>
      </w:r>
    </w:p>
    <w:p w14:paraId="7825B299" w14:textId="0475893A"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Although core knowledgeabilities are different for each stage, there are some broadly shared insights for some distinct concepts. The knowledgeabilities of shared understanding, expertise accumulating and insights spreading, are all focused on the development of understanding </w:t>
      </w:r>
      <w:r w:rsidR="0068434D" w:rsidRPr="00F153F6">
        <w:rPr>
          <w:rFonts w:ascii="Times New Roman" w:hAnsi="Times New Roman" w:cs="Times New Roman"/>
          <w:sz w:val="24"/>
          <w:szCs w:val="24"/>
        </w:rPr>
        <w:t>the insights</w:t>
      </w:r>
      <w:r w:rsidRPr="00F153F6">
        <w:rPr>
          <w:rFonts w:ascii="Times New Roman" w:hAnsi="Times New Roman" w:cs="Times New Roman"/>
          <w:sz w:val="24"/>
          <w:szCs w:val="24"/>
        </w:rPr>
        <w:t xml:space="preserve"> </w:t>
      </w:r>
      <w:r w:rsidR="00B52CE7" w:rsidRPr="00F153F6">
        <w:rPr>
          <w:rFonts w:ascii="Times New Roman" w:hAnsi="Times New Roman" w:cs="Times New Roman"/>
          <w:sz w:val="24"/>
          <w:szCs w:val="24"/>
        </w:rPr>
        <w:t>that actors</w:t>
      </w:r>
      <w:r w:rsidRPr="00F153F6">
        <w:rPr>
          <w:rFonts w:ascii="Times New Roman" w:hAnsi="Times New Roman" w:cs="Times New Roman"/>
          <w:sz w:val="24"/>
          <w:szCs w:val="24"/>
        </w:rPr>
        <w:t xml:space="preserve"> acquire from each other. Activities such as sharing appears in all stages, which indicates an insights-sharing process through learning from each other. Activities such as onboarding, guiding, training appear across the inception and middle stages, but both indicate a learning by doing process to deepen their understanding of new expertise. Activities such as elaborating and publishing appear across the middle and completed stages, but both indicate a demonstration of expertise through which actors can learn from each other in order to deepen their understanding and demonstrate expertise. Therefore, the knowledgeabilities of shared understanding in the inception stage, expertise accumulating in the middle stage, and insights spreading in the completed stage, have a broadly shared implication in terms that they all indicate; a collective learning process and actors’ enactment of interactive learning knowledgeability through which they develop knowledge of how to deepen their understanding of insights as they learn from each other.</w:t>
      </w:r>
    </w:p>
    <w:p w14:paraId="43BF3352" w14:textId="19E7E238"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However, specifically, these knowledgeabilities that comprise interactive learning evolve as the project progresses, mainly because the activities that actors actively engage in are somehow different for each stage. For example, the sharing activity appear in all three stages (inception stage where actors enact shared understanding, middle stage where actors enact expertise </w:t>
      </w:r>
      <w:r w:rsidRPr="00F153F6">
        <w:rPr>
          <w:rFonts w:ascii="Times New Roman" w:hAnsi="Times New Roman" w:cs="Times New Roman"/>
          <w:sz w:val="24"/>
          <w:szCs w:val="24"/>
        </w:rPr>
        <w:lastRenderedPageBreak/>
        <w:t xml:space="preserve">accumulating and completed stage where actors enact insights spreading), but what is notable is actors’ focus as they share. In the inception stage, the focus in sharing activities is to build up a common understanding, this is because at this stage actors are still in the process of becoming familiar with different collaborators’ expertise. As the project moves to the middle stage, actors have become more familiarised with each other while the focus is now on sharing activities that turn shared experience practice, so it is necessary for actors to develop a </w:t>
      </w:r>
      <w:r w:rsidR="00D125F7" w:rsidRPr="00F153F6">
        <w:rPr>
          <w:rFonts w:ascii="Times New Roman" w:hAnsi="Times New Roman" w:cs="Times New Roman"/>
          <w:sz w:val="24"/>
          <w:szCs w:val="24"/>
        </w:rPr>
        <w:t>knowing-</w:t>
      </w:r>
      <w:r w:rsidRPr="00F153F6">
        <w:rPr>
          <w:rFonts w:ascii="Times New Roman" w:hAnsi="Times New Roman" w:cs="Times New Roman"/>
          <w:sz w:val="24"/>
          <w:szCs w:val="24"/>
        </w:rPr>
        <w:t xml:space="preserve">how to develop capabilities in order to achieve project tasks. As the project moves to the completed stage, actors have completed most of their project tasks, and thereby the focus is shifted towards the impact of their shared expertise in sharing activity. Therefore, the shifting focus of actors on the project leads to the enactment of distinct knowledgeability' required for different stages. </w:t>
      </w:r>
    </w:p>
    <w:p w14:paraId="171EBE91" w14:textId="390FEDFC"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Across all stages,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 </w:t>
      </w:r>
      <w:r w:rsidR="00D125F7" w:rsidRPr="00F153F6">
        <w:rPr>
          <w:rFonts w:ascii="Times New Roman" w:hAnsi="Times New Roman" w:cs="Times New Roman"/>
          <w:sz w:val="24"/>
          <w:szCs w:val="24"/>
        </w:rPr>
        <w:t>afford</w:t>
      </w:r>
      <w:r w:rsidRPr="00F153F6">
        <w:rPr>
          <w:rFonts w:ascii="Times New Roman" w:hAnsi="Times New Roman" w:cs="Times New Roman"/>
          <w:sz w:val="24"/>
          <w:szCs w:val="24"/>
        </w:rPr>
        <w:t xml:space="preserve"> actors </w:t>
      </w:r>
      <w:r w:rsidR="00D125F7" w:rsidRPr="00F153F6">
        <w:rPr>
          <w:rFonts w:ascii="Times New Roman" w:hAnsi="Times New Roman" w:cs="Times New Roman"/>
          <w:sz w:val="24"/>
          <w:szCs w:val="24"/>
        </w:rPr>
        <w:t>diverse abilities</w:t>
      </w:r>
      <w:r w:rsidRPr="00F153F6">
        <w:rPr>
          <w:rFonts w:ascii="Times New Roman" w:hAnsi="Times New Roman" w:cs="Times New Roman"/>
          <w:sz w:val="24"/>
          <w:szCs w:val="24"/>
        </w:rPr>
        <w:t xml:space="preserve"> to accomplish their development of knowledgeability, </w:t>
      </w:r>
      <w:r w:rsidR="00D125F7" w:rsidRPr="00F153F6">
        <w:rPr>
          <w:rFonts w:ascii="Times New Roman" w:hAnsi="Times New Roman" w:cs="Times New Roman"/>
          <w:sz w:val="24"/>
          <w:szCs w:val="24"/>
        </w:rPr>
        <w:t>including</w:t>
      </w:r>
      <w:r w:rsidRPr="00F153F6">
        <w:rPr>
          <w:rFonts w:ascii="Times New Roman" w:hAnsi="Times New Roman" w:cs="Times New Roman"/>
          <w:sz w:val="24"/>
          <w:szCs w:val="24"/>
        </w:rPr>
        <w:t xml:space="preserve"> showcasing; visualising; collective storing; customising; ubiquitous; flexibility; and learning ahead. However, they may also constrain an actors’ public codifying, implicit signalling, immediate transforming, in-person demonstrating and communication continuity ability. Although the use of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to mediate the enactment of these interactive learning related knowledgeabilities vary across different project stages, they indicate some core functions afforded by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The shifting of abilities </w:t>
      </w:r>
      <w:r w:rsidR="00D125F7" w:rsidRPr="00F153F6">
        <w:rPr>
          <w:rFonts w:ascii="Times New Roman" w:hAnsi="Times New Roman" w:cs="Times New Roman"/>
          <w:sz w:val="24"/>
          <w:szCs w:val="24"/>
        </w:rPr>
        <w:t>afforded</w:t>
      </w:r>
      <w:r w:rsidRPr="00F153F6">
        <w:rPr>
          <w:rFonts w:ascii="Times New Roman" w:hAnsi="Times New Roman" w:cs="Times New Roman"/>
          <w:sz w:val="24"/>
          <w:szCs w:val="24"/>
        </w:rPr>
        <w:t xml:space="preserve"> by ICT from the inception stage to the completed stage appears to indicate an increased need for intensity of displaying and flexibility for learning in ICT-based IOKE practice. For example, </w:t>
      </w:r>
      <w:r w:rsidR="00964DE8" w:rsidRPr="00F153F6">
        <w:rPr>
          <w:rFonts w:ascii="Times New Roman" w:hAnsi="Times New Roman" w:cs="Times New Roman"/>
          <w:sz w:val="24"/>
          <w:szCs w:val="24"/>
        </w:rPr>
        <w:t>ICT</w:t>
      </w:r>
      <w:r w:rsidR="00D125F7" w:rsidRPr="00F153F6">
        <w:rPr>
          <w:rFonts w:ascii="Times New Roman" w:hAnsi="Times New Roman" w:cs="Times New Roman"/>
          <w:sz w:val="24"/>
          <w:szCs w:val="24"/>
        </w:rPr>
        <w:t xml:space="preserve">-afforded </w:t>
      </w:r>
      <w:r w:rsidRPr="00F153F6">
        <w:rPr>
          <w:rFonts w:ascii="Times New Roman" w:hAnsi="Times New Roman" w:cs="Times New Roman"/>
          <w:sz w:val="24"/>
          <w:szCs w:val="24"/>
        </w:rPr>
        <w:t xml:space="preserve">showcasing ability are required in the project inception stage, while visualising function is required in the middle and completed stages. This is perhaps because an increased and intensive level of displaying skills </w:t>
      </w:r>
      <w:r w:rsidR="00B52CE7" w:rsidRPr="00F153F6">
        <w:rPr>
          <w:rFonts w:ascii="Times New Roman" w:hAnsi="Times New Roman" w:cs="Times New Roman"/>
          <w:sz w:val="24"/>
          <w:szCs w:val="24"/>
        </w:rPr>
        <w:t>is</w:t>
      </w:r>
      <w:r w:rsidRPr="00F153F6">
        <w:rPr>
          <w:rFonts w:ascii="Times New Roman" w:hAnsi="Times New Roman" w:cs="Times New Roman"/>
          <w:sz w:val="24"/>
          <w:szCs w:val="24"/>
        </w:rPr>
        <w:t xml:space="preserve"> required as actors deepen their understanding as project moves forward. Such a change may be due to a need for an actor's knowledge to be presented in a more understandable form for </w:t>
      </w:r>
      <w:r w:rsidR="0068434D" w:rsidRPr="00F153F6">
        <w:rPr>
          <w:rFonts w:ascii="Times New Roman" w:hAnsi="Times New Roman" w:cs="Times New Roman"/>
          <w:sz w:val="24"/>
          <w:szCs w:val="24"/>
        </w:rPr>
        <w:t>each other’s</w:t>
      </w:r>
      <w:r w:rsidRPr="00F153F6">
        <w:rPr>
          <w:rFonts w:ascii="Times New Roman" w:hAnsi="Times New Roman" w:cs="Times New Roman"/>
          <w:sz w:val="24"/>
          <w:szCs w:val="24"/>
        </w:rPr>
        <w:t xml:space="preserve"> to learn. In addition, </w:t>
      </w:r>
      <w:r w:rsidR="00964DE8" w:rsidRPr="00F153F6">
        <w:rPr>
          <w:rFonts w:ascii="Times New Roman" w:hAnsi="Times New Roman" w:cs="Times New Roman"/>
          <w:sz w:val="24"/>
          <w:szCs w:val="24"/>
        </w:rPr>
        <w:t>ICT</w:t>
      </w:r>
      <w:r w:rsidR="00D125F7" w:rsidRPr="00F153F6">
        <w:rPr>
          <w:rFonts w:ascii="Times New Roman" w:hAnsi="Times New Roman" w:cs="Times New Roman"/>
          <w:sz w:val="24"/>
          <w:szCs w:val="24"/>
        </w:rPr>
        <w:t xml:space="preserve">-afforded </w:t>
      </w:r>
      <w:r w:rsidRPr="00F153F6">
        <w:rPr>
          <w:rFonts w:ascii="Times New Roman" w:hAnsi="Times New Roman" w:cs="Times New Roman"/>
          <w:sz w:val="24"/>
          <w:szCs w:val="24"/>
        </w:rPr>
        <w:t xml:space="preserve">collective storing are required in the inception stage, which changes to ubiquitous and customising ability in the middle stage and further flexibility in the completed stage. This is perhaps because the actors require more flexible ways to support their learning from the diverse range of expertise as the project moving forward. Therefore, displaying ability and flexibility for learning seem to be two core affordances provided by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and perceived by actors as essential ICT</w:t>
      </w:r>
      <w:r w:rsidR="00D125F7" w:rsidRPr="00F153F6">
        <w:rPr>
          <w:rFonts w:ascii="Times New Roman" w:hAnsi="Times New Roman" w:cs="Times New Roman"/>
          <w:sz w:val="24"/>
          <w:szCs w:val="24"/>
        </w:rPr>
        <w:t xml:space="preserve">-afforded abilities </w:t>
      </w:r>
      <w:r w:rsidRPr="00F153F6">
        <w:rPr>
          <w:rFonts w:ascii="Times New Roman" w:hAnsi="Times New Roman" w:cs="Times New Roman"/>
          <w:sz w:val="24"/>
          <w:szCs w:val="24"/>
        </w:rPr>
        <w:t xml:space="preserve">in facilitating the enactment of interactive learning knowledgeability. </w:t>
      </w:r>
    </w:p>
    <w:p w14:paraId="11817607" w14:textId="6E161BE9"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 xml:space="preserve">Co-creating: Knowing how to stimulate </w:t>
      </w:r>
      <w:r w:rsidR="000543CB" w:rsidRPr="00F153F6">
        <w:rPr>
          <w:rFonts w:ascii="Times New Roman" w:hAnsi="Times New Roman" w:cs="Times New Roman"/>
          <w:b/>
          <w:bCs/>
          <w:sz w:val="24"/>
          <w:szCs w:val="24"/>
        </w:rPr>
        <w:t>creativity.</w:t>
      </w:r>
    </w:p>
    <w:p w14:paraId="5832E1C3" w14:textId="0B156EA8"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lastRenderedPageBreak/>
        <w:t xml:space="preserve">The knowledgeabilities of interactive commenting, collaborative problem solving, and co-constructing all focus on the development of creativity and innovation based on the insights of other actors. Activities such as collaborative writing and group discussion appear in both the inception and middle stages, which indicates an idea stimulation process as feedback and comments are shared. Co-designing activity in the middle stage indicates an intensive co-creation process, especially characterised by Living Lab co-creation workshops where many interactional practices take place to stimulate innovation. Consolidating and collective reflecting in the completed stage also indicates a reinforcement of creativity and innovation. Therefore, interactive commenting in the inception stage, collaborative problem solving in the middle stage, and co-constructing in in the completed stage have a broadly shared implication in terms of that they all indicate a co-creation process and actor’s enactment of co-creating knowledgeability through which they are developing knowledge and understanding on how to stimulate creativity as they support each other. </w:t>
      </w:r>
    </w:p>
    <w:p w14:paraId="66D4DBC3" w14:textId="5042E92A"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hAnsi="Times New Roman" w:cs="Times New Roman"/>
          <w:sz w:val="24"/>
          <w:szCs w:val="24"/>
        </w:rPr>
        <w:t xml:space="preserve">Specifically, the knowledgeabilities that comprise </w:t>
      </w:r>
      <w:r w:rsidRPr="00F153F6">
        <w:rPr>
          <w:rFonts w:ascii="Times New Roman" w:eastAsiaTheme="minorEastAsia" w:hAnsi="Times New Roman" w:cs="Times New Roman"/>
          <w:sz w:val="24"/>
          <w:szCs w:val="24"/>
        </w:rPr>
        <w:t xml:space="preserve">co-creating also evolve as the project progresses. For example, group discussions appear in both the inception stage (where actors enact interactive commenting) and the middle stage (where actors enact collaborative problem solving), but what is notable is the intensity of creativity that is being stimulated. In the inception stage, group discussions are usually informed by someone’s presentation. The intensity of creativity is not that robust since at the inception stage actors are still in the process of familiarising themselves with each other’s work or expertise, while the constructive feedback that stimulates innovation may not be given that much. As the project moves to the middle stage, the innovation is co-created intensively as actors have become more familiar with each other and are able to solve problems together. There are also specific co-creation workshops being organised with a focus on stimulating creativity. In the completed stage, although most innovative outcomes are delivered, actors are now focusing on the reinforcement of these outcomes through consolidating and collective reflecting, which further advance the stimulation of creativity. Accordingly, as the intensity of creativity evolves throughout the project, actors’ enactment of knowledgeability for stimulating creativity also evolves across different project stages. </w:t>
      </w:r>
    </w:p>
    <w:p w14:paraId="0120D3EB" w14:textId="724E3832"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Across all stages,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 </w:t>
      </w:r>
      <w:r w:rsidR="00374083" w:rsidRPr="00F153F6">
        <w:rPr>
          <w:rFonts w:ascii="Times New Roman" w:hAnsi="Times New Roman" w:cs="Times New Roman"/>
          <w:sz w:val="24"/>
          <w:szCs w:val="24"/>
        </w:rPr>
        <w:t>afford</w:t>
      </w:r>
      <w:r w:rsidRPr="00F153F6">
        <w:rPr>
          <w:rFonts w:ascii="Times New Roman" w:hAnsi="Times New Roman" w:cs="Times New Roman"/>
          <w:sz w:val="24"/>
          <w:szCs w:val="24"/>
        </w:rPr>
        <w:t xml:space="preserve"> actors </w:t>
      </w:r>
      <w:r w:rsidR="00374083" w:rsidRPr="00F153F6">
        <w:rPr>
          <w:rFonts w:ascii="Times New Roman" w:hAnsi="Times New Roman" w:cs="Times New Roman"/>
          <w:sz w:val="24"/>
          <w:szCs w:val="24"/>
        </w:rPr>
        <w:t>diverse abilities</w:t>
      </w:r>
      <w:r w:rsidRPr="00F153F6">
        <w:rPr>
          <w:rFonts w:ascii="Times New Roman" w:hAnsi="Times New Roman" w:cs="Times New Roman"/>
          <w:sz w:val="24"/>
          <w:szCs w:val="24"/>
        </w:rPr>
        <w:t xml:space="preserve"> to accomplish their development of knowledgeability, including flexibility, instant workaround, sticking, cross-referencing and reviewing, while may also constrain actors’ concentrating, humour ability and integrating ability. Although the use of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to mediate the enactment of these co-creating related </w:t>
      </w:r>
      <w:r w:rsidRPr="00F153F6">
        <w:rPr>
          <w:rFonts w:ascii="Times New Roman" w:hAnsi="Times New Roman" w:cs="Times New Roman"/>
          <w:sz w:val="24"/>
          <w:szCs w:val="24"/>
        </w:rPr>
        <w:lastRenderedPageBreak/>
        <w:t xml:space="preserve">knowledgeabilities vary across different project stages, they indicate some core abilities </w:t>
      </w:r>
      <w:r w:rsidR="00374083" w:rsidRPr="00F153F6">
        <w:rPr>
          <w:rFonts w:ascii="Times New Roman" w:hAnsi="Times New Roman" w:cs="Times New Roman"/>
          <w:sz w:val="24"/>
          <w:szCs w:val="24"/>
        </w:rPr>
        <w:t>afforded</w:t>
      </w:r>
      <w:r w:rsidRPr="00F153F6">
        <w:rPr>
          <w:rFonts w:ascii="Times New Roman" w:hAnsi="Times New Roman" w:cs="Times New Roman"/>
          <w:sz w:val="24"/>
          <w:szCs w:val="24"/>
        </w:rPr>
        <w:t xml:space="preserve"> by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ICT</w:t>
      </w:r>
      <w:r w:rsidR="00374083" w:rsidRPr="00F153F6">
        <w:rPr>
          <w:rFonts w:ascii="Times New Roman" w:hAnsi="Times New Roman" w:cs="Times New Roman"/>
          <w:sz w:val="24"/>
          <w:szCs w:val="24"/>
        </w:rPr>
        <w:t>-afforded</w:t>
      </w:r>
      <w:r w:rsidRPr="00F153F6">
        <w:rPr>
          <w:rFonts w:ascii="Times New Roman" w:hAnsi="Times New Roman" w:cs="Times New Roman"/>
          <w:sz w:val="24"/>
          <w:szCs w:val="24"/>
        </w:rPr>
        <w:t xml:space="preserve"> instant workaround ability </w:t>
      </w:r>
      <w:r w:rsidR="000543CB" w:rsidRPr="00F153F6">
        <w:rPr>
          <w:rFonts w:ascii="Times New Roman" w:hAnsi="Times New Roman" w:cs="Times New Roman"/>
          <w:sz w:val="24"/>
          <w:szCs w:val="24"/>
        </w:rPr>
        <w:t>appears</w:t>
      </w:r>
      <w:r w:rsidRPr="00F153F6">
        <w:rPr>
          <w:rFonts w:ascii="Times New Roman" w:hAnsi="Times New Roman" w:cs="Times New Roman"/>
          <w:sz w:val="24"/>
          <w:szCs w:val="24"/>
        </w:rPr>
        <w:t xml:space="preserve"> across all stages, which indicates that instant workaround is a core ICT </w:t>
      </w:r>
      <w:r w:rsidR="00374083" w:rsidRPr="00F153F6">
        <w:rPr>
          <w:rFonts w:ascii="Times New Roman" w:hAnsi="Times New Roman" w:cs="Times New Roman"/>
          <w:sz w:val="24"/>
          <w:szCs w:val="24"/>
        </w:rPr>
        <w:t xml:space="preserve">affordance </w:t>
      </w:r>
      <w:r w:rsidRPr="00F153F6">
        <w:rPr>
          <w:rFonts w:ascii="Times New Roman" w:hAnsi="Times New Roman" w:cs="Times New Roman"/>
          <w:sz w:val="24"/>
          <w:szCs w:val="24"/>
        </w:rPr>
        <w:t xml:space="preserve">required for the enactment of co-creating knowledgeability. This may be because to co-create new insights, the ability to work together on the refinement and improvement of specific concepts or topics is perceived as a core </w:t>
      </w:r>
      <w:r w:rsidR="00374083" w:rsidRPr="00F153F6">
        <w:rPr>
          <w:rFonts w:ascii="Times New Roman" w:hAnsi="Times New Roman" w:cs="Times New Roman"/>
          <w:sz w:val="24"/>
          <w:szCs w:val="24"/>
        </w:rPr>
        <w:t>affordance</w:t>
      </w:r>
      <w:r w:rsidRPr="00F153F6">
        <w:rPr>
          <w:rFonts w:ascii="Times New Roman" w:hAnsi="Times New Roman" w:cs="Times New Roman"/>
          <w:sz w:val="24"/>
          <w:szCs w:val="24"/>
        </w:rPr>
        <w:t xml:space="preserve"> that can be provided by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to facilitate actors’ enactment of co-creating knowledgeability throughout the project. </w:t>
      </w:r>
    </w:p>
    <w:p w14:paraId="74B8A10E" w14:textId="77777777" w:rsidR="000543CB" w:rsidRPr="00F153F6" w:rsidRDefault="000543CB" w:rsidP="004424B4">
      <w:pPr>
        <w:spacing w:line="360" w:lineRule="auto"/>
        <w:jc w:val="both"/>
        <w:rPr>
          <w:rFonts w:ascii="Times New Roman" w:eastAsiaTheme="minorEastAsia" w:hAnsi="Times New Roman" w:cs="Times New Roman"/>
          <w:sz w:val="24"/>
          <w:szCs w:val="24"/>
        </w:rPr>
      </w:pPr>
    </w:p>
    <w:p w14:paraId="636EA0AE" w14:textId="77777777" w:rsidR="0015201A" w:rsidRPr="00F153F6" w:rsidRDefault="0015201A" w:rsidP="000543CB">
      <w:pPr>
        <w:pStyle w:val="Heading3"/>
        <w:spacing w:line="360" w:lineRule="auto"/>
        <w:ind w:firstLine="720"/>
        <w:jc w:val="both"/>
        <w:rPr>
          <w:rFonts w:ascii="Times New Roman" w:hAnsi="Times New Roman" w:cs="Times New Roman"/>
          <w:b/>
          <w:color w:val="auto"/>
          <w:sz w:val="28"/>
          <w:szCs w:val="28"/>
        </w:rPr>
      </w:pPr>
      <w:bookmarkStart w:id="641" w:name="_Toc118371149"/>
      <w:bookmarkStart w:id="642" w:name="_Toc133252175"/>
      <w:r w:rsidRPr="00F153F6">
        <w:rPr>
          <w:rFonts w:ascii="Times New Roman" w:hAnsi="Times New Roman" w:cs="Times New Roman"/>
          <w:b/>
          <w:color w:val="auto"/>
          <w:sz w:val="28"/>
          <w:szCs w:val="28"/>
        </w:rPr>
        <w:t>4.5.3 Resulting Knowledgeability across Different Stages</w:t>
      </w:r>
      <w:bookmarkEnd w:id="641"/>
      <w:bookmarkEnd w:id="642"/>
    </w:p>
    <w:p w14:paraId="61AF3711" w14:textId="29CA3BC3"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Resulting knowledgeability (co-ordinating) remains the same across all stages, but the elements that comprise co-ordinating </w:t>
      </w:r>
      <w:r w:rsidR="00B52CE7" w:rsidRPr="00F153F6">
        <w:rPr>
          <w:rFonts w:ascii="Times New Roman" w:hAnsi="Times New Roman" w:cs="Times New Roman"/>
          <w:sz w:val="24"/>
          <w:szCs w:val="24"/>
        </w:rPr>
        <w:t>(i.e.,</w:t>
      </w:r>
      <w:r w:rsidRPr="00F153F6">
        <w:rPr>
          <w:rFonts w:ascii="Times New Roman" w:hAnsi="Times New Roman" w:cs="Times New Roman"/>
          <w:sz w:val="24"/>
          <w:szCs w:val="24"/>
        </w:rPr>
        <w:t xml:space="preserve"> activities and ICT</w:t>
      </w:r>
      <w:r w:rsidR="00374083" w:rsidRPr="00F153F6">
        <w:rPr>
          <w:rFonts w:ascii="Times New Roman" w:hAnsi="Times New Roman" w:cs="Times New Roman"/>
          <w:sz w:val="24"/>
          <w:szCs w:val="24"/>
        </w:rPr>
        <w:t>-afforded</w:t>
      </w:r>
      <w:r w:rsidRPr="00F153F6">
        <w:rPr>
          <w:rFonts w:ascii="Times New Roman" w:hAnsi="Times New Roman" w:cs="Times New Roman"/>
          <w:sz w:val="24"/>
          <w:szCs w:val="24"/>
        </w:rPr>
        <w:t>/constrain</w:t>
      </w:r>
      <w:r w:rsidR="00374083" w:rsidRPr="00F153F6">
        <w:rPr>
          <w:rFonts w:ascii="Times New Roman" w:hAnsi="Times New Roman" w:cs="Times New Roman"/>
          <w:sz w:val="24"/>
          <w:szCs w:val="24"/>
        </w:rPr>
        <w:t>ed</w:t>
      </w:r>
      <w:r w:rsidRPr="00F153F6">
        <w:rPr>
          <w:rFonts w:ascii="Times New Roman" w:hAnsi="Times New Roman" w:cs="Times New Roman"/>
          <w:sz w:val="24"/>
          <w:szCs w:val="24"/>
        </w:rPr>
        <w:t xml:space="preserve"> abilities) vary and have different implications for each stage. </w:t>
      </w:r>
    </w:p>
    <w:p w14:paraId="52638C31" w14:textId="7614AC47"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Controlling is an activity that appear in all project stages, which indicates controlling is an essential activity that allows actors </w:t>
      </w:r>
      <w:r w:rsidR="00374083" w:rsidRPr="00F153F6">
        <w:rPr>
          <w:rFonts w:ascii="Times New Roman" w:hAnsi="Times New Roman" w:cs="Times New Roman"/>
          <w:sz w:val="24"/>
          <w:szCs w:val="24"/>
        </w:rPr>
        <w:t>to know how to</w:t>
      </w:r>
      <w:r w:rsidRPr="00F153F6">
        <w:rPr>
          <w:rFonts w:ascii="Times New Roman" w:hAnsi="Times New Roman" w:cs="Times New Roman"/>
          <w:sz w:val="24"/>
          <w:szCs w:val="24"/>
        </w:rPr>
        <w:t xml:space="preserve"> direct project performance. This may because the outcomes of each project activities always </w:t>
      </w:r>
      <w:r w:rsidR="00B52CE7" w:rsidRPr="00F153F6">
        <w:rPr>
          <w:rFonts w:ascii="Times New Roman" w:hAnsi="Times New Roman" w:cs="Times New Roman"/>
          <w:sz w:val="24"/>
          <w:szCs w:val="24"/>
        </w:rPr>
        <w:t>need</w:t>
      </w:r>
      <w:r w:rsidRPr="00F153F6">
        <w:rPr>
          <w:rFonts w:ascii="Times New Roman" w:hAnsi="Times New Roman" w:cs="Times New Roman"/>
          <w:sz w:val="24"/>
          <w:szCs w:val="24"/>
        </w:rPr>
        <w:t xml:space="preserve"> to be controlled in terms of their quality and being fit for purpose across all the different project stages. Staffing appears only at the inception and middle stages, perhaps because compared to the completed stage, there are more project tasks that are still waiting completion. Therefore, there is a great need to allocate roles and responsibilities to undertake different tasks in these two stages. Monitoring appears only at the middle and completed stages, because there are more formal project activities to be organised at these stages requiring monitoring, while in the inception stage actors are more engaged in initiating project ideas. Adapting activity becomes essential in the middle stage, perhaps because actors have </w:t>
      </w:r>
      <w:r w:rsidR="0068434D" w:rsidRPr="00F153F6">
        <w:rPr>
          <w:rFonts w:ascii="Times New Roman" w:hAnsi="Times New Roman" w:cs="Times New Roman"/>
          <w:sz w:val="24"/>
          <w:szCs w:val="24"/>
        </w:rPr>
        <w:t>accumulated more</w:t>
      </w:r>
      <w:r w:rsidRPr="00F153F6">
        <w:rPr>
          <w:rFonts w:ascii="Times New Roman" w:hAnsi="Times New Roman" w:cs="Times New Roman"/>
          <w:sz w:val="24"/>
          <w:szCs w:val="24"/>
        </w:rPr>
        <w:t xml:space="preserve"> project collaboration experiences that can inform changes compared to the inception stage. Furthermore, there is more room to allow the project to be refined compared to the completed stage. Sustaining activity appears only at the completed stage, perhaps because there are more project outcomes to be evaluated in terms of its sustainable value, and actors have more time to explore the sustainability related opportunities at this stage.</w:t>
      </w:r>
    </w:p>
    <w:p w14:paraId="1209EC7B" w14:textId="19913295"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Across all stages,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 </w:t>
      </w:r>
      <w:r w:rsidR="00374083" w:rsidRPr="00F153F6">
        <w:rPr>
          <w:rFonts w:ascii="Times New Roman" w:hAnsi="Times New Roman" w:cs="Times New Roman"/>
          <w:sz w:val="24"/>
          <w:szCs w:val="24"/>
        </w:rPr>
        <w:t>afford</w:t>
      </w:r>
      <w:r w:rsidRPr="00F153F6">
        <w:rPr>
          <w:rFonts w:ascii="Times New Roman" w:hAnsi="Times New Roman" w:cs="Times New Roman"/>
          <w:sz w:val="24"/>
          <w:szCs w:val="24"/>
        </w:rPr>
        <w:t xml:space="preserve"> actors </w:t>
      </w:r>
      <w:r w:rsidR="00374083" w:rsidRPr="00F153F6">
        <w:rPr>
          <w:rFonts w:ascii="Times New Roman" w:hAnsi="Times New Roman" w:cs="Times New Roman"/>
          <w:sz w:val="24"/>
          <w:szCs w:val="24"/>
        </w:rPr>
        <w:t>diverse abilities</w:t>
      </w:r>
      <w:r w:rsidRPr="00F153F6">
        <w:rPr>
          <w:rFonts w:ascii="Times New Roman" w:hAnsi="Times New Roman" w:cs="Times New Roman"/>
          <w:sz w:val="24"/>
          <w:szCs w:val="24"/>
        </w:rPr>
        <w:t xml:space="preserve"> to develop their co-ordinating knowledgeability, including confirming, collective evaluating, documenting, tracking, tracing and assigning, whilst this software may also constrain actors’ instant responsiveness and </w:t>
      </w:r>
      <w:r w:rsidRPr="00F153F6">
        <w:rPr>
          <w:rFonts w:ascii="Times New Roman" w:hAnsi="Times New Roman" w:cs="Times New Roman"/>
          <w:sz w:val="24"/>
          <w:szCs w:val="24"/>
        </w:rPr>
        <w:lastRenderedPageBreak/>
        <w:t xml:space="preserve">localising. Although the use of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to mediate the enactment of the co-ordinating knowledgeability vary across different project stages, they indicate some core </w:t>
      </w:r>
      <w:r w:rsidR="00374083" w:rsidRPr="00F153F6">
        <w:rPr>
          <w:rFonts w:ascii="Times New Roman" w:hAnsi="Times New Roman" w:cs="Times New Roman"/>
          <w:sz w:val="24"/>
          <w:szCs w:val="24"/>
        </w:rPr>
        <w:t>affordances</w:t>
      </w:r>
      <w:r w:rsidRPr="00F153F6">
        <w:rPr>
          <w:rFonts w:ascii="Times New Roman" w:hAnsi="Times New Roman" w:cs="Times New Roman"/>
          <w:sz w:val="24"/>
          <w:szCs w:val="24"/>
        </w:rPr>
        <w:t xml:space="preserve"> </w:t>
      </w:r>
      <w:r w:rsidR="00374083" w:rsidRPr="00F153F6">
        <w:rPr>
          <w:rFonts w:ascii="Times New Roman" w:hAnsi="Times New Roman" w:cs="Times New Roman"/>
          <w:sz w:val="24"/>
          <w:szCs w:val="24"/>
        </w:rPr>
        <w:t>provided</w:t>
      </w:r>
      <w:r w:rsidRPr="00F153F6">
        <w:rPr>
          <w:rFonts w:ascii="Times New Roman" w:hAnsi="Times New Roman" w:cs="Times New Roman"/>
          <w:sz w:val="24"/>
          <w:szCs w:val="24"/>
        </w:rPr>
        <w:t xml:space="preserve"> by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Among them, ICT</w:t>
      </w:r>
      <w:r w:rsidR="00374083" w:rsidRPr="00F153F6">
        <w:rPr>
          <w:rFonts w:ascii="Times New Roman" w:hAnsi="Times New Roman" w:cs="Times New Roman"/>
          <w:sz w:val="24"/>
          <w:szCs w:val="24"/>
        </w:rPr>
        <w:t>-afforded</w:t>
      </w:r>
      <w:r w:rsidRPr="00F153F6">
        <w:rPr>
          <w:rFonts w:ascii="Times New Roman" w:hAnsi="Times New Roman" w:cs="Times New Roman"/>
          <w:sz w:val="24"/>
          <w:szCs w:val="24"/>
        </w:rPr>
        <w:t xml:space="preserve"> confirming</w:t>
      </w:r>
      <w:r w:rsidR="00374083" w:rsidRPr="00F153F6">
        <w:rPr>
          <w:rFonts w:ascii="Times New Roman" w:hAnsi="Times New Roman" w:cs="Times New Roman"/>
          <w:sz w:val="24"/>
          <w:szCs w:val="24"/>
        </w:rPr>
        <w:t xml:space="preserve"> ability</w:t>
      </w:r>
      <w:r w:rsidRPr="00F153F6">
        <w:rPr>
          <w:rFonts w:ascii="Times New Roman" w:hAnsi="Times New Roman" w:cs="Times New Roman"/>
          <w:sz w:val="24"/>
          <w:szCs w:val="24"/>
        </w:rPr>
        <w:t xml:space="preserve"> at the inception stage, tracing in the middle stage, and tracking in the completed stage seem to have a broader implication where they all indicate a reviewability provided by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through which actors are able to confirm, trace or track the project activities. This is perhaps because actors always rely on the reviewable project experience to make evaluations or judgements to help them direct the projects performance. The ICT facilitated documenting ability also seems to be essential across all stages, although it is only perceived at the middle stage. This may because any evaluation or judgement that allows actors to know how to direct the projects performance is built on the basis of documentation to relevant project experience or activities. Therefore, documenting and reviewability are two core </w:t>
      </w:r>
      <w:r w:rsidR="00374083" w:rsidRPr="00F153F6">
        <w:rPr>
          <w:rFonts w:ascii="Times New Roman" w:hAnsi="Times New Roman" w:cs="Times New Roman"/>
          <w:sz w:val="24"/>
          <w:szCs w:val="24"/>
        </w:rPr>
        <w:t>affordances</w:t>
      </w:r>
      <w:r w:rsidRPr="00F153F6">
        <w:rPr>
          <w:rFonts w:ascii="Times New Roman" w:hAnsi="Times New Roman" w:cs="Times New Roman"/>
          <w:sz w:val="24"/>
          <w:szCs w:val="24"/>
        </w:rPr>
        <w:t xml:space="preserve"> provided by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that facilitate the enactment of co-ordinating knowledgeability across all project stages.</w:t>
      </w:r>
    </w:p>
    <w:p w14:paraId="523DA3C5" w14:textId="77777777" w:rsidR="000543CB" w:rsidRPr="00F153F6" w:rsidRDefault="000543CB" w:rsidP="004424B4">
      <w:pPr>
        <w:spacing w:line="360" w:lineRule="auto"/>
        <w:jc w:val="both"/>
        <w:rPr>
          <w:rFonts w:ascii="Times New Roman" w:hAnsi="Times New Roman" w:cs="Times New Roman"/>
          <w:sz w:val="24"/>
          <w:szCs w:val="24"/>
        </w:rPr>
      </w:pPr>
    </w:p>
    <w:p w14:paraId="21C1D6AB" w14:textId="77777777" w:rsidR="0015201A" w:rsidRPr="00F153F6" w:rsidRDefault="0015201A" w:rsidP="000543CB">
      <w:pPr>
        <w:pStyle w:val="Heading3"/>
        <w:spacing w:line="360" w:lineRule="auto"/>
        <w:ind w:firstLine="720"/>
        <w:jc w:val="both"/>
        <w:rPr>
          <w:rFonts w:ascii="Times New Roman" w:hAnsi="Times New Roman" w:cs="Times New Roman"/>
          <w:b/>
          <w:color w:val="auto"/>
          <w:sz w:val="32"/>
          <w:szCs w:val="32"/>
        </w:rPr>
      </w:pPr>
      <w:bookmarkStart w:id="643" w:name="_Toc118371150"/>
      <w:bookmarkStart w:id="644" w:name="_Toc133252176"/>
      <w:r w:rsidRPr="00F153F6">
        <w:rPr>
          <w:rFonts w:ascii="Times New Roman" w:hAnsi="Times New Roman" w:cs="Times New Roman"/>
          <w:b/>
          <w:color w:val="auto"/>
          <w:sz w:val="32"/>
          <w:szCs w:val="32"/>
        </w:rPr>
        <w:t>4.5.4 Integrated framework of ICT-based IOKE practice</w:t>
      </w:r>
      <w:bookmarkEnd w:id="643"/>
      <w:bookmarkEnd w:id="644"/>
    </w:p>
    <w:p w14:paraId="24552980" w14:textId="4D7CE45D"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Based on an analysis of the above sections, it is seen that although ICT-based IOKE practices at different project stages may have different characteristics, they share a common meaning when these are considered in relation to project progress. ICT-based IOKE takes place within multi-layer contexts: inter-organisational; intra-organisational; and environmental. From the overall project progress perspective, ICT-based IOKE can be characterised by four knowledgeabilities: inter-connecting; interactive learning; co-creating; and co-ordinating. Inter-connecting is the </w:t>
      </w:r>
      <w:r w:rsidR="0058396B" w:rsidRPr="00F153F6">
        <w:rPr>
          <w:rFonts w:ascii="Times New Roman" w:hAnsi="Times New Roman" w:cs="Times New Roman"/>
          <w:sz w:val="24"/>
          <w:szCs w:val="24"/>
        </w:rPr>
        <w:t>conditional</w:t>
      </w:r>
      <w:r w:rsidRPr="00F153F6">
        <w:rPr>
          <w:rFonts w:ascii="Times New Roman" w:hAnsi="Times New Roman" w:cs="Times New Roman"/>
          <w:sz w:val="24"/>
          <w:szCs w:val="24"/>
        </w:rPr>
        <w:t xml:space="preserve"> knowledgeability to any core knowledgeabilities, through which actors develop an understanding of how to cultivate diverse relationships in the project. ICT facilitate</w:t>
      </w:r>
      <w:r w:rsidR="00964DE8" w:rsidRPr="00F153F6">
        <w:rPr>
          <w:rFonts w:ascii="Times New Roman" w:hAnsi="Times New Roman" w:cs="Times New Roman"/>
          <w:sz w:val="24"/>
          <w:szCs w:val="24"/>
        </w:rPr>
        <w:t>s</w:t>
      </w:r>
      <w:r w:rsidRPr="00F153F6">
        <w:rPr>
          <w:rFonts w:ascii="Times New Roman" w:hAnsi="Times New Roman" w:cs="Times New Roman"/>
          <w:sz w:val="24"/>
          <w:szCs w:val="24"/>
        </w:rPr>
        <w:t xml:space="preserve"> the enactment of inter-connecting by </w:t>
      </w:r>
      <w:r w:rsidR="00374083" w:rsidRPr="00F153F6">
        <w:rPr>
          <w:rFonts w:ascii="Times New Roman" w:hAnsi="Times New Roman" w:cs="Times New Roman"/>
          <w:sz w:val="24"/>
          <w:szCs w:val="24"/>
        </w:rPr>
        <w:t>affording</w:t>
      </w:r>
      <w:r w:rsidRPr="00F153F6">
        <w:rPr>
          <w:rFonts w:ascii="Times New Roman" w:hAnsi="Times New Roman" w:cs="Times New Roman"/>
          <w:sz w:val="24"/>
          <w:szCs w:val="24"/>
        </w:rPr>
        <w:t xml:space="preserve"> actors cross-distance networking and notifying ability. Interactive Learning and Co-creating are two core knowledgeabilities in pursuit of project goals, through which actors are developing knowledge of how to deepen their understanding of insights as they learn from each other and an understanding of how to stimulate creativity as they support each other respectively. ICT facilitate</w:t>
      </w:r>
      <w:r w:rsidR="00964DE8" w:rsidRPr="00F153F6">
        <w:rPr>
          <w:rFonts w:ascii="Times New Roman" w:hAnsi="Times New Roman" w:cs="Times New Roman"/>
          <w:sz w:val="24"/>
          <w:szCs w:val="24"/>
        </w:rPr>
        <w:t>s</w:t>
      </w:r>
      <w:r w:rsidRPr="00F153F6">
        <w:rPr>
          <w:rFonts w:ascii="Times New Roman" w:hAnsi="Times New Roman" w:cs="Times New Roman"/>
          <w:sz w:val="24"/>
          <w:szCs w:val="24"/>
        </w:rPr>
        <w:t xml:space="preserve"> the enactment of interactive learning by affording actors displaying and flexibility ability. ICT facilitate</w:t>
      </w:r>
      <w:r w:rsidR="00964DE8" w:rsidRPr="00F153F6">
        <w:rPr>
          <w:rFonts w:ascii="Times New Roman" w:hAnsi="Times New Roman" w:cs="Times New Roman"/>
          <w:sz w:val="24"/>
          <w:szCs w:val="24"/>
        </w:rPr>
        <w:t>s</w:t>
      </w:r>
      <w:r w:rsidRPr="00F153F6">
        <w:rPr>
          <w:rFonts w:ascii="Times New Roman" w:hAnsi="Times New Roman" w:cs="Times New Roman"/>
          <w:sz w:val="24"/>
          <w:szCs w:val="24"/>
        </w:rPr>
        <w:t xml:space="preserve"> the enactment of co-creating by </w:t>
      </w:r>
      <w:r w:rsidR="00374083" w:rsidRPr="00F153F6">
        <w:rPr>
          <w:rFonts w:ascii="Times New Roman" w:hAnsi="Times New Roman" w:cs="Times New Roman"/>
          <w:sz w:val="24"/>
          <w:szCs w:val="24"/>
        </w:rPr>
        <w:t>affording</w:t>
      </w:r>
      <w:r w:rsidRPr="00F153F6">
        <w:rPr>
          <w:rFonts w:ascii="Times New Roman" w:hAnsi="Times New Roman" w:cs="Times New Roman"/>
          <w:sz w:val="24"/>
          <w:szCs w:val="24"/>
        </w:rPr>
        <w:t xml:space="preserve"> actors with instant workaround ability. Co-ordinating is the resulting knowledgeability from any core knowledgeabilities, through which actors are developing knowledge and understanding of how to direct project performance. ICT facilitate</w:t>
      </w:r>
      <w:r w:rsidR="00964DE8" w:rsidRPr="00F153F6">
        <w:rPr>
          <w:rFonts w:ascii="Times New Roman" w:hAnsi="Times New Roman" w:cs="Times New Roman"/>
          <w:sz w:val="24"/>
          <w:szCs w:val="24"/>
        </w:rPr>
        <w:t>s</w:t>
      </w:r>
      <w:r w:rsidRPr="00F153F6">
        <w:rPr>
          <w:rFonts w:ascii="Times New Roman" w:hAnsi="Times New Roman" w:cs="Times New Roman"/>
          <w:sz w:val="24"/>
          <w:szCs w:val="24"/>
        </w:rPr>
        <w:t xml:space="preserve"> </w:t>
      </w:r>
      <w:r w:rsidRPr="00F153F6">
        <w:rPr>
          <w:rFonts w:ascii="Times New Roman" w:hAnsi="Times New Roman" w:cs="Times New Roman"/>
          <w:sz w:val="24"/>
          <w:szCs w:val="24"/>
        </w:rPr>
        <w:lastRenderedPageBreak/>
        <w:t xml:space="preserve">the enactment of co-ordinating by </w:t>
      </w:r>
      <w:r w:rsidR="00374083" w:rsidRPr="00F153F6">
        <w:rPr>
          <w:rFonts w:ascii="Times New Roman" w:hAnsi="Times New Roman" w:cs="Times New Roman"/>
          <w:sz w:val="24"/>
          <w:szCs w:val="24"/>
        </w:rPr>
        <w:t>affording</w:t>
      </w:r>
      <w:r w:rsidRPr="00F153F6">
        <w:rPr>
          <w:rFonts w:ascii="Times New Roman" w:hAnsi="Times New Roman" w:cs="Times New Roman"/>
          <w:sz w:val="24"/>
          <w:szCs w:val="24"/>
        </w:rPr>
        <w:t xml:space="preserve"> actors reviewability and documenting ability. Figure 4.4 presents an integrated framework of ICT-</w:t>
      </w:r>
      <w:r w:rsidR="00964DE8" w:rsidRPr="00F153F6">
        <w:rPr>
          <w:rFonts w:ascii="Times New Roman" w:hAnsi="Times New Roman" w:cs="Times New Roman"/>
          <w:sz w:val="24"/>
          <w:szCs w:val="24"/>
        </w:rPr>
        <w:t>based IOKE</w:t>
      </w:r>
      <w:r w:rsidRPr="00F153F6">
        <w:rPr>
          <w:rFonts w:ascii="Times New Roman" w:hAnsi="Times New Roman" w:cs="Times New Roman"/>
          <w:sz w:val="24"/>
          <w:szCs w:val="24"/>
        </w:rPr>
        <w:t xml:space="preserve"> across all project stages of Living Lab projects.</w:t>
      </w:r>
    </w:p>
    <w:p w14:paraId="472DF247" w14:textId="2E8BF003" w:rsidR="007148BA" w:rsidRPr="00F153F6" w:rsidRDefault="00E00ACE" w:rsidP="007148BA">
      <w:pPr>
        <w:keepNext/>
        <w:spacing w:line="360" w:lineRule="auto"/>
        <w:jc w:val="center"/>
      </w:pPr>
      <w:r w:rsidRPr="00F153F6">
        <w:rPr>
          <w:noProof/>
        </w:rPr>
        <w:drawing>
          <wp:inline distT="0" distB="0" distL="0" distR="0" wp14:anchorId="63CF88C6" wp14:editId="12C40F4D">
            <wp:extent cx="5731510" cy="5755640"/>
            <wp:effectExtent l="0" t="0" r="2540" b="0"/>
            <wp:docPr id="715405974"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05974" name="Picture 5" descr="Diagram, schematic&#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5755640"/>
                    </a:xfrm>
                    <a:prstGeom prst="rect">
                      <a:avLst/>
                    </a:prstGeom>
                    <a:noFill/>
                    <a:ln>
                      <a:noFill/>
                    </a:ln>
                  </pic:spPr>
                </pic:pic>
              </a:graphicData>
            </a:graphic>
          </wp:inline>
        </w:drawing>
      </w:r>
    </w:p>
    <w:p w14:paraId="7225E2FF" w14:textId="40C811A9" w:rsidR="0015201A" w:rsidRPr="00F153F6" w:rsidRDefault="007148BA" w:rsidP="007148BA">
      <w:pPr>
        <w:pStyle w:val="Caption"/>
        <w:jc w:val="center"/>
        <w:rPr>
          <w:rFonts w:ascii="Times New Roman" w:hAnsi="Times New Roman" w:cs="Times New Roman"/>
          <w:i w:val="0"/>
          <w:iCs w:val="0"/>
          <w:color w:val="auto"/>
          <w:sz w:val="22"/>
          <w:szCs w:val="22"/>
        </w:rPr>
      </w:pPr>
      <w:bookmarkStart w:id="645" w:name="_Toc119448468"/>
      <w:r w:rsidRPr="00F153F6">
        <w:rPr>
          <w:rFonts w:ascii="Times New Roman" w:hAnsi="Times New Roman" w:cs="Times New Roman"/>
          <w:i w:val="0"/>
          <w:iCs w:val="0"/>
          <w:color w:val="auto"/>
          <w:sz w:val="22"/>
          <w:szCs w:val="22"/>
        </w:rPr>
        <w:t xml:space="preserve">Figure 4.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Figure_4.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4</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An Integrated Framework of ICT-based IOKE</w:t>
      </w:r>
      <w:bookmarkEnd w:id="645"/>
    </w:p>
    <w:p w14:paraId="4AC90C45" w14:textId="77777777" w:rsidR="0015201A" w:rsidRPr="00F153F6" w:rsidRDefault="0015201A" w:rsidP="004424B4">
      <w:pPr>
        <w:spacing w:line="360" w:lineRule="auto"/>
        <w:jc w:val="both"/>
        <w:rPr>
          <w:rFonts w:ascii="Times New Roman" w:hAnsi="Times New Roman" w:cs="Times New Roman"/>
        </w:rPr>
      </w:pPr>
      <w:r w:rsidRPr="00F153F6">
        <w:rPr>
          <w:rFonts w:ascii="Times New Roman" w:hAnsi="Times New Roman" w:cs="Times New Roman"/>
        </w:rPr>
        <w:br w:type="page"/>
      </w:r>
    </w:p>
    <w:p w14:paraId="1426E8BF" w14:textId="1F7CC653" w:rsidR="0015201A" w:rsidRPr="00F153F6" w:rsidRDefault="0015201A" w:rsidP="004424B4">
      <w:pPr>
        <w:pStyle w:val="Heading1"/>
        <w:spacing w:line="360" w:lineRule="auto"/>
        <w:jc w:val="center"/>
        <w:rPr>
          <w:rFonts w:ascii="Times New Roman" w:hAnsi="Times New Roman" w:cs="Times New Roman"/>
          <w:b w:val="0"/>
          <w:bCs/>
          <w:sz w:val="40"/>
          <w:szCs w:val="40"/>
        </w:rPr>
      </w:pPr>
      <w:bookmarkStart w:id="646" w:name="_Toc118371151"/>
      <w:bookmarkStart w:id="647" w:name="_Toc133252177"/>
      <w:r w:rsidRPr="00F153F6">
        <w:rPr>
          <w:rFonts w:ascii="Times New Roman" w:hAnsi="Times New Roman" w:cs="Times New Roman"/>
          <w:b w:val="0"/>
          <w:bCs/>
          <w:sz w:val="40"/>
          <w:szCs w:val="40"/>
        </w:rPr>
        <w:lastRenderedPageBreak/>
        <w:t>CHAPTER 5   DISCUSSION</w:t>
      </w:r>
      <w:bookmarkEnd w:id="646"/>
      <w:bookmarkEnd w:id="647"/>
    </w:p>
    <w:p w14:paraId="41392A8D" w14:textId="6E7DF476" w:rsidR="0015201A" w:rsidRPr="00F153F6" w:rsidRDefault="0015201A" w:rsidP="004424B4">
      <w:pPr>
        <w:pStyle w:val="Heading2"/>
        <w:spacing w:line="360" w:lineRule="auto"/>
        <w:rPr>
          <w:rFonts w:ascii="Times New Roman" w:hAnsi="Times New Roman" w:cs="Times New Roman"/>
          <w:sz w:val="32"/>
          <w:szCs w:val="32"/>
        </w:rPr>
      </w:pPr>
      <w:bookmarkStart w:id="648" w:name="_Toc118371152"/>
      <w:bookmarkStart w:id="649" w:name="_Toc133252178"/>
      <w:r w:rsidRPr="00F153F6">
        <w:rPr>
          <w:rFonts w:ascii="Times New Roman" w:hAnsi="Times New Roman" w:cs="Times New Roman"/>
          <w:sz w:val="32"/>
          <w:szCs w:val="32"/>
        </w:rPr>
        <w:t>5.1 Introduction</w:t>
      </w:r>
      <w:bookmarkEnd w:id="648"/>
      <w:bookmarkEnd w:id="649"/>
    </w:p>
    <w:p w14:paraId="3EEF9E9E" w14:textId="343BC07D"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This chapter discusses the findings of this research in the context of the relevant literature in order to position implications of the findings within a broader context of this research and sharpen its contributions to the relevant field. The structure of this chapter is developed as follows: Section 5.1 introduces the discussion chapter; Section 5.2 discusses the frameworks of ICT-based IOKE practice across different stages; Section 5.3 discusses the main contribution of this study</w:t>
      </w:r>
      <w:r w:rsidR="00C24FEB" w:rsidRPr="00F153F6">
        <w:rPr>
          <w:rFonts w:ascii="Times New Roman" w:hAnsi="Times New Roman" w:cs="Times New Roman"/>
          <w:sz w:val="24"/>
          <w:szCs w:val="24"/>
        </w:rPr>
        <w:t>.</w:t>
      </w:r>
    </w:p>
    <w:p w14:paraId="1747EDAC" w14:textId="11F7E7A2" w:rsidR="0015201A" w:rsidRPr="00F153F6" w:rsidRDefault="0015201A" w:rsidP="004424B4">
      <w:pPr>
        <w:pStyle w:val="Heading2"/>
        <w:spacing w:line="360" w:lineRule="auto"/>
        <w:rPr>
          <w:rFonts w:ascii="Times New Roman" w:hAnsi="Times New Roman" w:cs="Times New Roman"/>
          <w:sz w:val="32"/>
          <w:szCs w:val="32"/>
        </w:rPr>
      </w:pPr>
      <w:bookmarkStart w:id="650" w:name="_Toc118371153"/>
      <w:bookmarkStart w:id="651" w:name="_Toc133252179"/>
      <w:r w:rsidRPr="00F153F6">
        <w:rPr>
          <w:rFonts w:ascii="Times New Roman" w:hAnsi="Times New Roman" w:cs="Times New Roman"/>
          <w:sz w:val="32"/>
          <w:szCs w:val="32"/>
        </w:rPr>
        <w:t>5.2 Theoretical Implications: The Stage-based Frameworks</w:t>
      </w:r>
      <w:bookmarkEnd w:id="650"/>
      <w:bookmarkEnd w:id="651"/>
      <w:r w:rsidRPr="00F153F6">
        <w:rPr>
          <w:rFonts w:ascii="Times New Roman" w:hAnsi="Times New Roman" w:cs="Times New Roman"/>
          <w:sz w:val="32"/>
          <w:szCs w:val="32"/>
        </w:rPr>
        <w:t xml:space="preserve"> </w:t>
      </w:r>
    </w:p>
    <w:p w14:paraId="7BABB2E7" w14:textId="359C7DD8" w:rsidR="00AC5AB3"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This study purposefully sampled the data based on three different stages of Living Lab projects and </w:t>
      </w:r>
      <w:r w:rsidR="00CD7DC4" w:rsidRPr="00F153F6">
        <w:rPr>
          <w:rFonts w:ascii="Times New Roman" w:eastAsiaTheme="minorEastAsia" w:hAnsi="Times New Roman" w:cs="Times New Roman"/>
          <w:sz w:val="24"/>
          <w:szCs w:val="24"/>
        </w:rPr>
        <w:t>has iteratively compare</w:t>
      </w:r>
      <w:r w:rsidR="003C18C2" w:rsidRPr="00F153F6">
        <w:rPr>
          <w:rFonts w:ascii="Times New Roman" w:eastAsiaTheme="minorEastAsia" w:hAnsi="Times New Roman" w:cs="Times New Roman"/>
          <w:sz w:val="24"/>
          <w:szCs w:val="24"/>
        </w:rPr>
        <w:t>d</w:t>
      </w:r>
      <w:r w:rsidR="00CD7DC4" w:rsidRPr="00F153F6">
        <w:rPr>
          <w:rFonts w:ascii="Times New Roman" w:eastAsiaTheme="minorEastAsia" w:hAnsi="Times New Roman" w:cs="Times New Roman"/>
          <w:sz w:val="24"/>
          <w:szCs w:val="24"/>
        </w:rPr>
        <w:t xml:space="preserve"> the data and existing theories to explore and explain the research phenomena, following the Glaserian Grounded Theory</w:t>
      </w:r>
      <w:r w:rsidR="00713D25" w:rsidRPr="00F153F6">
        <w:rPr>
          <w:rFonts w:ascii="Times New Roman" w:eastAsiaTheme="minorEastAsia" w:hAnsi="Times New Roman" w:cs="Times New Roman"/>
          <w:sz w:val="24"/>
          <w:szCs w:val="24"/>
        </w:rPr>
        <w:t xml:space="preserve"> </w:t>
      </w:r>
      <w:r w:rsidR="00713D25" w:rsidRPr="00F153F6">
        <w:rPr>
          <w:rFonts w:ascii="Times New Roman" w:hAnsi="Times New Roman" w:cs="Times New Roman"/>
          <w:sz w:val="24"/>
          <w:szCs w:val="24"/>
        </w:rPr>
        <w:fldChar w:fldCharType="begin"/>
      </w:r>
      <w:r w:rsidR="00682A8A" w:rsidRPr="00F153F6">
        <w:rPr>
          <w:rFonts w:ascii="Times New Roman" w:hAnsi="Times New Roman" w:cs="Times New Roman"/>
          <w:sz w:val="24"/>
          <w:szCs w:val="24"/>
        </w:rPr>
        <w:instrText xml:space="preserve"> ADDIN ZOTERO_ITEM CSL_CITATION {"citationID":"2SToTbCk","properties":{"formattedCitation":"(Glaser &amp; Strauss, 1967)","plainCitation":"(Glaser &amp; Strauss, 1967)","noteIndex":0},"citationItems":[{"id":993,"uris":["http://zotero.org/users/5709166/items/DSF8R6HJ"],"itemData":{"id":993,"type":"book","edition":"4. paperback printing","event-place":"New Brunswick","ISBN":"978-0-202-30260-7","language":"en","note":"OCLC: 553535517","number-of-pages":"271","publisher":"Aldine","publisher-place":"New Brunswick","source":"Gemeinsamer Bibliotheksverbund ISBN","title":"The discovery of grounded theory: strategies for qualitative research","title-short":"The discovery of grounded theory","author":[{"family":"Glaser","given":"Barney G."},{"family":"Strauss","given":"Anselm L."}],"issued":{"date-parts":[["1967"]]}}}],"schema":"https://github.com/citation-style-language/schema/raw/master/csl-citation.json"} </w:instrText>
      </w:r>
      <w:r w:rsidR="00713D25" w:rsidRPr="00F153F6">
        <w:rPr>
          <w:rFonts w:ascii="Times New Roman" w:hAnsi="Times New Roman" w:cs="Times New Roman"/>
          <w:sz w:val="24"/>
          <w:szCs w:val="24"/>
        </w:rPr>
        <w:fldChar w:fldCharType="separate"/>
      </w:r>
      <w:r w:rsidR="00713D25" w:rsidRPr="00F153F6">
        <w:rPr>
          <w:rFonts w:ascii="Times New Roman" w:hAnsi="Times New Roman" w:cs="Times New Roman"/>
          <w:sz w:val="24"/>
          <w:szCs w:val="24"/>
        </w:rPr>
        <w:t>(Glaser &amp; Strauss, 1967)</w:t>
      </w:r>
      <w:r w:rsidR="00713D25" w:rsidRPr="00F153F6">
        <w:rPr>
          <w:rFonts w:ascii="Times New Roman" w:hAnsi="Times New Roman" w:cs="Times New Roman"/>
          <w:sz w:val="24"/>
          <w:szCs w:val="24"/>
        </w:rPr>
        <w:fldChar w:fldCharType="end"/>
      </w:r>
      <w:r w:rsidR="00CD7DC4" w:rsidRPr="00F153F6">
        <w:rPr>
          <w:rFonts w:ascii="Times New Roman" w:eastAsiaTheme="minorEastAsia" w:hAnsi="Times New Roman" w:cs="Times New Roman"/>
          <w:sz w:val="24"/>
          <w:szCs w:val="24"/>
        </w:rPr>
        <w:t xml:space="preserve">. Three theories are found appropriate and highly relevant for this research phenomena – Practice Theory, Sociomateriality Theory, and Affordance Theory – which are employed </w:t>
      </w:r>
      <w:r w:rsidR="003C18C2" w:rsidRPr="00F153F6">
        <w:rPr>
          <w:rFonts w:ascii="Times New Roman" w:eastAsiaTheme="minorEastAsia" w:hAnsi="Times New Roman" w:cs="Times New Roman"/>
          <w:sz w:val="24"/>
          <w:szCs w:val="24"/>
        </w:rPr>
        <w:t>at</w:t>
      </w:r>
      <w:r w:rsidR="00CD7DC4" w:rsidRPr="00F153F6">
        <w:rPr>
          <w:rFonts w:ascii="Times New Roman" w:eastAsiaTheme="minorEastAsia" w:hAnsi="Times New Roman" w:cs="Times New Roman"/>
          <w:sz w:val="24"/>
          <w:szCs w:val="24"/>
        </w:rPr>
        <w:t xml:space="preserve"> different level of analysis. More specifically, Practice Theory helps to understand what stakeholders do in their </w:t>
      </w:r>
      <w:r w:rsidR="00B4177F" w:rsidRPr="00F153F6">
        <w:rPr>
          <w:rFonts w:ascii="Times New Roman" w:eastAsiaTheme="minorEastAsia" w:hAnsi="Times New Roman" w:cs="Times New Roman"/>
          <w:sz w:val="24"/>
          <w:szCs w:val="24"/>
        </w:rPr>
        <w:t>ICT-based IOKE practice</w:t>
      </w:r>
      <w:r w:rsidR="00CD7DC4" w:rsidRPr="00F153F6">
        <w:rPr>
          <w:rFonts w:ascii="Times New Roman" w:eastAsiaTheme="minorEastAsia" w:hAnsi="Times New Roman" w:cs="Times New Roman"/>
          <w:sz w:val="24"/>
          <w:szCs w:val="24"/>
        </w:rPr>
        <w:t xml:space="preserve">, which </w:t>
      </w:r>
      <w:r w:rsidR="00B4177F" w:rsidRPr="00F153F6">
        <w:rPr>
          <w:rFonts w:ascii="Times New Roman" w:eastAsiaTheme="minorEastAsia" w:hAnsi="Times New Roman" w:cs="Times New Roman"/>
          <w:sz w:val="24"/>
          <w:szCs w:val="24"/>
        </w:rPr>
        <w:t>leads</w:t>
      </w:r>
      <w:r w:rsidR="00CD7DC4" w:rsidRPr="00F153F6">
        <w:rPr>
          <w:rFonts w:ascii="Times New Roman" w:eastAsiaTheme="minorEastAsia" w:hAnsi="Times New Roman" w:cs="Times New Roman"/>
          <w:sz w:val="24"/>
          <w:szCs w:val="24"/>
        </w:rPr>
        <w:t xml:space="preserve"> to the use of </w:t>
      </w:r>
      <w:r w:rsidR="00CD7DC4" w:rsidRPr="00F153F6">
        <w:rPr>
          <w:rFonts w:ascii="Times New Roman" w:eastAsiaTheme="minorEastAsia" w:hAnsi="Times New Roman" w:cs="Times New Roman"/>
          <w:i/>
          <w:iCs/>
          <w:sz w:val="24"/>
          <w:szCs w:val="24"/>
        </w:rPr>
        <w:t>knowledgeability</w:t>
      </w:r>
      <w:r w:rsidR="00CD7DC4" w:rsidRPr="00F153F6">
        <w:rPr>
          <w:rFonts w:ascii="Times New Roman" w:eastAsiaTheme="minorEastAsia" w:hAnsi="Times New Roman" w:cs="Times New Roman"/>
          <w:sz w:val="24"/>
          <w:szCs w:val="24"/>
        </w:rPr>
        <w:t xml:space="preserve"> </w:t>
      </w:r>
      <w:r w:rsidR="00B4177F" w:rsidRPr="00F153F6">
        <w:rPr>
          <w:rFonts w:ascii="Times New Roman" w:eastAsiaTheme="minorEastAsia" w:hAnsi="Times New Roman" w:cs="Times New Roman"/>
          <w:sz w:val="24"/>
          <w:szCs w:val="24"/>
        </w:rPr>
        <w:t xml:space="preserve">to demonstrate stakeholders’ different practice-based knowing </w:t>
      </w:r>
      <w:r w:rsidR="00AA2EEC" w:rsidRPr="00F153F6">
        <w:rPr>
          <w:rFonts w:ascii="Times New Roman" w:eastAsiaTheme="minorEastAsia" w:hAnsi="Times New Roman" w:cs="Times New Roman"/>
          <w:sz w:val="24"/>
          <w:szCs w:val="24"/>
        </w:rPr>
        <w:t>in knowledge exchange</w:t>
      </w:r>
      <w:r w:rsidR="00CD7DC4" w:rsidRPr="00F153F6">
        <w:rPr>
          <w:rFonts w:ascii="Times New Roman" w:eastAsiaTheme="minorEastAsia" w:hAnsi="Times New Roman" w:cs="Times New Roman"/>
          <w:sz w:val="24"/>
          <w:szCs w:val="24"/>
        </w:rPr>
        <w:t>.</w:t>
      </w:r>
      <w:r w:rsidR="00B4177F" w:rsidRPr="00F153F6">
        <w:rPr>
          <w:rFonts w:ascii="Times New Roman" w:eastAsiaTheme="minorEastAsia" w:hAnsi="Times New Roman" w:cs="Times New Roman"/>
          <w:sz w:val="24"/>
          <w:szCs w:val="24"/>
        </w:rPr>
        <w:t xml:space="preserve"> Sociomateriality Theory helps to </w:t>
      </w:r>
      <w:r w:rsidR="00ED627F" w:rsidRPr="00F153F6">
        <w:rPr>
          <w:rFonts w:ascii="Times New Roman" w:eastAsiaTheme="minorEastAsia" w:hAnsi="Times New Roman" w:cs="Times New Roman"/>
          <w:sz w:val="24"/>
          <w:szCs w:val="24"/>
        </w:rPr>
        <w:t>understand how stakeholders achieve their knowledge works by enacting distinct knowledgeability and ICT together in their sociomaterial practices</w:t>
      </w:r>
      <w:r w:rsidR="00B4177F" w:rsidRPr="00F153F6">
        <w:rPr>
          <w:rFonts w:ascii="Times New Roman" w:eastAsiaTheme="minorEastAsia" w:hAnsi="Times New Roman" w:cs="Times New Roman"/>
          <w:sz w:val="24"/>
          <w:szCs w:val="24"/>
        </w:rPr>
        <w:t>, which leads to a</w:t>
      </w:r>
      <w:r w:rsidR="00896E4F" w:rsidRPr="00F153F6">
        <w:rPr>
          <w:rFonts w:ascii="Times New Roman" w:eastAsiaTheme="minorEastAsia" w:hAnsi="Times New Roman" w:cs="Times New Roman"/>
          <w:sz w:val="24"/>
          <w:szCs w:val="24"/>
        </w:rPr>
        <w:t xml:space="preserve"> relational</w:t>
      </w:r>
      <w:r w:rsidR="00B4177F" w:rsidRPr="00F153F6">
        <w:rPr>
          <w:rFonts w:ascii="Times New Roman" w:eastAsiaTheme="minorEastAsia" w:hAnsi="Times New Roman" w:cs="Times New Roman"/>
          <w:sz w:val="24"/>
          <w:szCs w:val="24"/>
        </w:rPr>
        <w:t xml:space="preserve"> understanding on </w:t>
      </w:r>
      <w:r w:rsidR="00896E4F" w:rsidRPr="00F153F6">
        <w:rPr>
          <w:rFonts w:ascii="Times New Roman" w:eastAsiaTheme="minorEastAsia" w:hAnsi="Times New Roman" w:cs="Times New Roman"/>
          <w:sz w:val="24"/>
          <w:szCs w:val="24"/>
        </w:rPr>
        <w:t>the enactment of</w:t>
      </w:r>
      <w:r w:rsidR="00B4177F" w:rsidRPr="00F153F6">
        <w:rPr>
          <w:rFonts w:ascii="Times New Roman" w:eastAsiaTheme="minorEastAsia" w:hAnsi="Times New Roman" w:cs="Times New Roman"/>
          <w:sz w:val="24"/>
          <w:szCs w:val="24"/>
        </w:rPr>
        <w:t xml:space="preserve"> ICT and knowledgeability in practice.</w:t>
      </w:r>
      <w:r w:rsidR="00BD6FB4" w:rsidRPr="00F153F6">
        <w:rPr>
          <w:rFonts w:ascii="Times New Roman" w:eastAsiaTheme="minorEastAsia" w:hAnsi="Times New Roman" w:cs="Times New Roman"/>
          <w:sz w:val="24"/>
          <w:szCs w:val="24"/>
        </w:rPr>
        <w:t xml:space="preserve"> Affordance Theory helps to understand the </w:t>
      </w:r>
      <w:r w:rsidR="00BD6FB4" w:rsidRPr="00F153F6">
        <w:rPr>
          <w:rFonts w:ascii="Times New Roman" w:eastAsiaTheme="minorEastAsia" w:hAnsi="Times New Roman" w:cs="Times New Roman"/>
          <w:i/>
          <w:iCs/>
          <w:sz w:val="24"/>
          <w:szCs w:val="24"/>
        </w:rPr>
        <w:t xml:space="preserve">enablement or constraint </w:t>
      </w:r>
      <w:r w:rsidR="00BD6FB4" w:rsidRPr="00F153F6">
        <w:rPr>
          <w:rFonts w:ascii="Times New Roman" w:eastAsiaTheme="minorEastAsia" w:hAnsi="Times New Roman" w:cs="Times New Roman"/>
          <w:sz w:val="24"/>
          <w:szCs w:val="24"/>
        </w:rPr>
        <w:t>effects of ICT on enacting stakeholders’ knowledgeability</w:t>
      </w:r>
      <w:r w:rsidR="00896E4F" w:rsidRPr="00F153F6">
        <w:rPr>
          <w:rFonts w:ascii="Times New Roman" w:eastAsiaTheme="minorEastAsia" w:hAnsi="Times New Roman" w:cs="Times New Roman"/>
          <w:sz w:val="24"/>
          <w:szCs w:val="24"/>
        </w:rPr>
        <w:t xml:space="preserve"> -</w:t>
      </w:r>
      <w:r w:rsidR="00BD6FB4" w:rsidRPr="00F153F6">
        <w:rPr>
          <w:rFonts w:ascii="Times New Roman" w:eastAsiaTheme="minorEastAsia" w:hAnsi="Times New Roman" w:cs="Times New Roman"/>
          <w:sz w:val="24"/>
          <w:szCs w:val="24"/>
        </w:rPr>
        <w:t xml:space="preserve"> how knowledgeability and ICT are </w:t>
      </w:r>
      <w:r w:rsidR="00896E4F" w:rsidRPr="00F153F6">
        <w:rPr>
          <w:rFonts w:ascii="Times New Roman" w:eastAsiaTheme="minorEastAsia" w:hAnsi="Times New Roman" w:cs="Times New Roman"/>
          <w:sz w:val="24"/>
          <w:szCs w:val="24"/>
        </w:rPr>
        <w:t>related</w:t>
      </w:r>
      <w:r w:rsidR="00BD6FB4" w:rsidRPr="00F153F6">
        <w:rPr>
          <w:rFonts w:ascii="Times New Roman" w:eastAsiaTheme="minorEastAsia" w:hAnsi="Times New Roman" w:cs="Times New Roman"/>
          <w:sz w:val="24"/>
          <w:szCs w:val="24"/>
        </w:rPr>
        <w:t xml:space="preserve"> in stakeholders’ ICT-based IOKE practice. As a result of analysis, the present study</w:t>
      </w:r>
      <w:r w:rsidR="00CD7DC4" w:rsidRPr="00F153F6">
        <w:rPr>
          <w:rFonts w:ascii="Times New Roman" w:eastAsiaTheme="minorEastAsia" w:hAnsi="Times New Roman" w:cs="Times New Roman"/>
          <w:sz w:val="24"/>
          <w:szCs w:val="24"/>
        </w:rPr>
        <w:t xml:space="preserve"> </w:t>
      </w:r>
      <w:r w:rsidRPr="00F153F6">
        <w:rPr>
          <w:rFonts w:ascii="Times New Roman" w:eastAsiaTheme="minorEastAsia" w:hAnsi="Times New Roman" w:cs="Times New Roman"/>
          <w:sz w:val="24"/>
          <w:szCs w:val="24"/>
        </w:rPr>
        <w:t xml:space="preserve">proposes a </w:t>
      </w:r>
      <w:r w:rsidR="00BD6FB4" w:rsidRPr="00F153F6">
        <w:rPr>
          <w:rFonts w:ascii="Times New Roman" w:eastAsiaTheme="minorEastAsia" w:hAnsi="Times New Roman" w:cs="Times New Roman"/>
          <w:sz w:val="24"/>
          <w:szCs w:val="24"/>
        </w:rPr>
        <w:t>conceptual</w:t>
      </w:r>
      <w:r w:rsidRPr="00F153F6">
        <w:rPr>
          <w:rFonts w:ascii="Times New Roman" w:eastAsiaTheme="minorEastAsia" w:hAnsi="Times New Roman" w:cs="Times New Roman"/>
          <w:sz w:val="24"/>
          <w:szCs w:val="24"/>
        </w:rPr>
        <w:t xml:space="preserve"> framework of ICT-based IOKE practice for the project’s lifecycle</w:t>
      </w:r>
      <w:r w:rsidR="00CF539F" w:rsidRPr="00F153F6">
        <w:rPr>
          <w:rFonts w:ascii="Times New Roman" w:eastAsiaTheme="minorEastAsia" w:hAnsi="Times New Roman" w:cs="Times New Roman"/>
          <w:sz w:val="24"/>
          <w:szCs w:val="24"/>
        </w:rPr>
        <w:t xml:space="preserve"> </w:t>
      </w:r>
      <w:r w:rsidRPr="00F153F6">
        <w:rPr>
          <w:rFonts w:ascii="Times New Roman" w:eastAsiaTheme="minorEastAsia" w:hAnsi="Times New Roman" w:cs="Times New Roman"/>
          <w:sz w:val="24"/>
          <w:szCs w:val="24"/>
        </w:rPr>
        <w:t>– a single integrated framework and its three variations</w:t>
      </w:r>
      <w:r w:rsidR="00CF539F" w:rsidRPr="00F153F6">
        <w:rPr>
          <w:rFonts w:ascii="Times New Roman" w:eastAsiaTheme="minorEastAsia" w:hAnsi="Times New Roman" w:cs="Times New Roman"/>
          <w:sz w:val="24"/>
          <w:szCs w:val="24"/>
        </w:rPr>
        <w:t>, taking into account differences across the three project stages</w:t>
      </w:r>
      <w:r w:rsidR="00CD7DC4" w:rsidRPr="00F153F6">
        <w:rPr>
          <w:rFonts w:ascii="Times New Roman" w:eastAsiaTheme="minorEastAsia" w:hAnsi="Times New Roman" w:cs="Times New Roman"/>
          <w:sz w:val="24"/>
          <w:szCs w:val="24"/>
        </w:rPr>
        <w:t xml:space="preserve"> (inception, middle and completed stage)</w:t>
      </w:r>
      <w:r w:rsidRPr="00F153F6">
        <w:rPr>
          <w:rFonts w:ascii="Times New Roman" w:eastAsiaTheme="minorEastAsia" w:hAnsi="Times New Roman" w:cs="Times New Roman"/>
          <w:sz w:val="24"/>
          <w:szCs w:val="24"/>
        </w:rPr>
        <w:t xml:space="preserve">. </w:t>
      </w:r>
    </w:p>
    <w:p w14:paraId="62B3579D" w14:textId="118D7AC6"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The proposed framework as presented in Chapter 4 contains three distinct categories: conditional/core/resulting knowledgeabilities, ICT afforded/constrained abilities, and embedded contexts. These categories are inter-related and shape the ICT-based IOKE practice together. </w:t>
      </w:r>
      <w:r w:rsidR="00CF539F" w:rsidRPr="00F153F6">
        <w:rPr>
          <w:rFonts w:ascii="Times New Roman" w:eastAsiaTheme="minorEastAsia" w:hAnsi="Times New Roman" w:cs="Times New Roman"/>
          <w:sz w:val="24"/>
          <w:szCs w:val="24"/>
        </w:rPr>
        <w:t>It</w:t>
      </w:r>
      <w:r w:rsidRPr="00F153F6">
        <w:rPr>
          <w:rFonts w:ascii="Times New Roman" w:eastAsiaTheme="minorEastAsia" w:hAnsi="Times New Roman" w:cs="Times New Roman"/>
          <w:sz w:val="24"/>
          <w:szCs w:val="24"/>
        </w:rPr>
        <w:t xml:space="preserve"> appear</w:t>
      </w:r>
      <w:r w:rsidR="00CF539F" w:rsidRPr="00F153F6">
        <w:rPr>
          <w:rFonts w:ascii="Times New Roman" w:eastAsiaTheme="minorEastAsia" w:hAnsi="Times New Roman" w:cs="Times New Roman"/>
          <w:sz w:val="24"/>
          <w:szCs w:val="24"/>
        </w:rPr>
        <w:t>s from the stage specific frameworks</w:t>
      </w:r>
      <w:r w:rsidRPr="00F153F6">
        <w:rPr>
          <w:rFonts w:ascii="Times New Roman" w:eastAsiaTheme="minorEastAsia" w:hAnsi="Times New Roman" w:cs="Times New Roman"/>
          <w:sz w:val="24"/>
          <w:szCs w:val="24"/>
        </w:rPr>
        <w:t xml:space="preserve"> that conditional and resulting </w:t>
      </w:r>
      <w:r w:rsidRPr="00F153F6">
        <w:rPr>
          <w:rFonts w:ascii="Times New Roman" w:eastAsiaTheme="minorEastAsia" w:hAnsi="Times New Roman" w:cs="Times New Roman"/>
          <w:sz w:val="24"/>
          <w:szCs w:val="24"/>
        </w:rPr>
        <w:lastRenderedPageBreak/>
        <w:t>knowledgeability remain the same across all project stages – inter-connecting and co-ordinating respectively, while core knowledgeabilities vary across different stages. ICT has a great impact on the enactment of these knowledgeabilities by affording or constraining actors’ different abilities in their inter-actions and thus mediates</w:t>
      </w:r>
      <w:r w:rsidR="00B7426D" w:rsidRPr="00F153F6">
        <w:rPr>
          <w:rFonts w:ascii="Times New Roman" w:eastAsiaTheme="minorEastAsia" w:hAnsi="Times New Roman" w:cs="Times New Roman"/>
          <w:sz w:val="24"/>
          <w:szCs w:val="24"/>
        </w:rPr>
        <w:t xml:space="preserve"> (facilitates or inhibits) actors</w:t>
      </w:r>
      <w:r w:rsidRPr="00F153F6">
        <w:rPr>
          <w:rFonts w:ascii="Times New Roman" w:eastAsiaTheme="minorEastAsia" w:hAnsi="Times New Roman" w:cs="Times New Roman"/>
          <w:sz w:val="24"/>
          <w:szCs w:val="24"/>
        </w:rPr>
        <w:t xml:space="preserve">’ ICT-based IOKE practice in different stages. </w:t>
      </w:r>
      <w:bookmarkStart w:id="652" w:name="OLE_LINK3"/>
      <w:bookmarkStart w:id="653" w:name="OLE_LINK13"/>
      <w:r w:rsidR="00B7426D" w:rsidRPr="00F153F6">
        <w:rPr>
          <w:rFonts w:ascii="Times New Roman" w:eastAsiaTheme="minorEastAsia" w:hAnsi="Times New Roman" w:cs="Times New Roman"/>
          <w:sz w:val="24"/>
          <w:szCs w:val="24"/>
        </w:rPr>
        <w:t>As described in the literature review chapter (section 2.5.7), an affordance view has both enablement and constraint nature. The present discussion in the ensuing narratives will use terms such as “affordance”, “afforded abilities”, or “affording” to indicate the enablement nature of ICT that facilitates ICT-based IOKE practice; and use terms such as “constraints”, “constrained abilities”, or “constraining” to indicate the constraint nature of ICT that inhibit ICT-based IOKE practice.</w:t>
      </w:r>
      <w:bookmarkEnd w:id="652"/>
      <w:bookmarkEnd w:id="653"/>
      <w:r w:rsidR="00B7426D" w:rsidRPr="00F153F6">
        <w:rPr>
          <w:rFonts w:ascii="Times New Roman" w:eastAsiaTheme="minorEastAsia" w:hAnsi="Times New Roman" w:cs="Times New Roman"/>
          <w:sz w:val="24"/>
          <w:szCs w:val="24"/>
        </w:rPr>
        <w:t xml:space="preserve"> </w:t>
      </w:r>
      <w:r w:rsidRPr="00F153F6">
        <w:rPr>
          <w:rFonts w:ascii="Times New Roman" w:eastAsiaTheme="minorEastAsia" w:hAnsi="Times New Roman" w:cs="Times New Roman"/>
          <w:sz w:val="24"/>
          <w:szCs w:val="24"/>
        </w:rPr>
        <w:t>The findings also demonstrate that ICT-based IOKE practice is embedded in a three-layer context – inter-organisational, intra-organisational, and environmental contexts across the whole project. This section begins with a discussion on the integrated framework from the perspective of the whole project progression and its implications for the existing literature, which is followed by a discussion of theoretical implications of other frameworks.</w:t>
      </w:r>
    </w:p>
    <w:p w14:paraId="41022916" w14:textId="77777777" w:rsidR="00CF539F" w:rsidRPr="00F153F6" w:rsidRDefault="00CF539F" w:rsidP="004424B4">
      <w:pPr>
        <w:spacing w:line="360" w:lineRule="auto"/>
        <w:jc w:val="both"/>
        <w:rPr>
          <w:rFonts w:ascii="Times New Roman" w:eastAsiaTheme="minorEastAsia" w:hAnsi="Times New Roman" w:cs="Times New Roman"/>
        </w:rPr>
      </w:pPr>
    </w:p>
    <w:p w14:paraId="3152BCA3" w14:textId="71183F10" w:rsidR="0015201A" w:rsidRPr="00F153F6" w:rsidRDefault="0015201A" w:rsidP="000543CB">
      <w:pPr>
        <w:pStyle w:val="Heading3"/>
        <w:spacing w:line="360" w:lineRule="auto"/>
        <w:ind w:firstLine="720"/>
        <w:jc w:val="both"/>
        <w:rPr>
          <w:rFonts w:ascii="Times New Roman" w:hAnsi="Times New Roman" w:cs="Times New Roman"/>
          <w:b/>
          <w:color w:val="auto"/>
          <w:sz w:val="28"/>
          <w:szCs w:val="28"/>
        </w:rPr>
      </w:pPr>
      <w:bookmarkStart w:id="654" w:name="_Toc118371154"/>
      <w:bookmarkStart w:id="655" w:name="_Toc133252180"/>
      <w:r w:rsidRPr="00F153F6">
        <w:rPr>
          <w:rFonts w:ascii="Times New Roman" w:hAnsi="Times New Roman" w:cs="Times New Roman"/>
          <w:b/>
          <w:color w:val="auto"/>
          <w:sz w:val="28"/>
          <w:szCs w:val="28"/>
        </w:rPr>
        <w:t>5.2.1 The Integrated Framework</w:t>
      </w:r>
      <w:bookmarkEnd w:id="654"/>
      <w:bookmarkEnd w:id="655"/>
      <w:r w:rsidRPr="00F153F6">
        <w:rPr>
          <w:rFonts w:ascii="Times New Roman" w:hAnsi="Times New Roman" w:cs="Times New Roman"/>
          <w:b/>
          <w:color w:val="auto"/>
          <w:sz w:val="28"/>
          <w:szCs w:val="28"/>
        </w:rPr>
        <w:t xml:space="preserve"> </w:t>
      </w:r>
    </w:p>
    <w:p w14:paraId="10BA8AB9" w14:textId="4C16B6C9"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The integrated framework demonstrates three essential elements that shape ICT-based IOKE practice: knowledgeability, ICT affordance/constraints, and their embedded context for inter-organisational collaboration. These elements are enacted through actors’ interactions with and use of technologies as they engage in the ICT-based IOKE practice. These elements are also intrinsically dynamic in nature, each shaping the other in practice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{"citationID":"5Wbkf4bq","properties":{"formattedCitation":"(Bunge, 2004)","plainCitation":"(Bunge, 2004)","noteIndex":0},"citationItems":[{"id":10356,"uris":["http://zotero.org/users/5709166/items/LMZXXINP"],"itemData":{"id":10356,"type":"article-journal","abstract":"This article addresses the following problems: What is a mechanism, how can it be discovered, and what is the role of the knowledge of mechanisms in scientific explanation and technological control? The proposed answers are these. A mechanism is one of the processes in a concrete system that makes it what it is ? for example, metabolism in cells, interneuronal connections in brains, work in factories and offices, research in laboratories, and litigation in courts of law. Because mechanisms are largely or totally imperceptible, they must be conjectured. Once hypothesized they help explain, because a deep scientific explanation is an answer to a question of the form, ?How does it work, that is, what makes it tick?what are its mechanisms?? Thus, by contrast with the subsumption of particulars under a generalization, an explanation proper consists in unveiling some lawful mechanism, as when political stability is explained by either coercion, public opinion manipulation, or democratic participation. Finding mechanisms satisfies not only the yearning for understanding, but also the need for control.","container-title":"Philosophy of the Social Sciences","DOI":"10.1177/0048393103262550","ISSN":"0048-3931","issue":"2","note":"publisher: SAGE Publications Inc","page":"182-210","source":"SAGE Journals","title":"How Does It Work?: The Search for Explanatory Mechanisms","title-short":"How Does It Work?","volume":"34","author":[{"family":"Bunge","given":"Mario"}],"issued":{"date-parts":[["2004",6,1]]}},"label":"page"}],"schema":"https://github.com/citation-style-language/schema/raw/master/csl-citation.json"}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hAnsi="Times New Roman" w:cs="Times New Roman"/>
          <w:sz w:val="24"/>
          <w:szCs w:val="24"/>
        </w:rPr>
        <w:t>(Bunge, 2004)</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The accomplished or unaccomplished knowledge work as immediate concrete outcomes </w:t>
      </w:r>
      <w:r w:rsidR="00CF539F" w:rsidRPr="00F153F6">
        <w:rPr>
          <w:rFonts w:ascii="Times New Roman" w:eastAsiaTheme="minorEastAsia" w:hAnsi="Times New Roman" w:cs="Times New Roman"/>
          <w:sz w:val="24"/>
          <w:szCs w:val="24"/>
        </w:rPr>
        <w:t xml:space="preserve">that </w:t>
      </w:r>
      <w:r w:rsidRPr="00F153F6">
        <w:rPr>
          <w:rFonts w:ascii="Times New Roman" w:eastAsiaTheme="minorEastAsia" w:hAnsi="Times New Roman" w:cs="Times New Roman"/>
          <w:sz w:val="24"/>
          <w:szCs w:val="24"/>
        </w:rPr>
        <w:t xml:space="preserve">connect organisations’ knowledgeabilities, the ICT affordances/constraints, and the multi-layer contexts provided by organisations in practice, and accordingly makes the ICT-based IOKE practice what it is. </w:t>
      </w:r>
      <w:r w:rsidR="00CD4963" w:rsidRPr="00F153F6">
        <w:rPr>
          <w:rFonts w:ascii="Times New Roman" w:eastAsiaTheme="minorEastAsia" w:hAnsi="Times New Roman" w:cs="Times New Roman"/>
          <w:sz w:val="24"/>
          <w:szCs w:val="24"/>
        </w:rPr>
        <w:t xml:space="preserve">The depicted figure for integrated framework has been placed below as well (Figure 5.1), for signposting the relevant concepts and categories. </w:t>
      </w:r>
      <w:r w:rsidRPr="00F153F6">
        <w:rPr>
          <w:rFonts w:ascii="Times New Roman" w:eastAsiaTheme="minorEastAsia" w:hAnsi="Times New Roman" w:cs="Times New Roman"/>
          <w:sz w:val="24"/>
          <w:szCs w:val="24"/>
        </w:rPr>
        <w:t xml:space="preserve">The ensuing narratives discusses in more detail how these elements are shaped in ICT-based IOKE practice in relation to existing studies. </w:t>
      </w:r>
    </w:p>
    <w:p w14:paraId="19C4537E" w14:textId="645AC025" w:rsidR="007148BA" w:rsidRPr="00F153F6" w:rsidRDefault="00E00ACE" w:rsidP="007148BA">
      <w:pPr>
        <w:keepNext/>
        <w:spacing w:line="360" w:lineRule="auto"/>
        <w:jc w:val="center"/>
      </w:pPr>
      <w:r w:rsidRPr="00F153F6">
        <w:rPr>
          <w:noProof/>
        </w:rPr>
        <w:lastRenderedPageBreak/>
        <w:drawing>
          <wp:inline distT="0" distB="0" distL="0" distR="0" wp14:anchorId="088A3BC3" wp14:editId="4F9DC145">
            <wp:extent cx="5731510" cy="5755640"/>
            <wp:effectExtent l="0" t="0" r="2540" b="0"/>
            <wp:docPr id="1044207797" name="Picture 104420779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05974" name="Picture 5" descr="Diagram, schematic&#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5755640"/>
                    </a:xfrm>
                    <a:prstGeom prst="rect">
                      <a:avLst/>
                    </a:prstGeom>
                    <a:noFill/>
                    <a:ln>
                      <a:noFill/>
                    </a:ln>
                  </pic:spPr>
                </pic:pic>
              </a:graphicData>
            </a:graphic>
          </wp:inline>
        </w:drawing>
      </w:r>
    </w:p>
    <w:p w14:paraId="28512E98" w14:textId="23E5D6DE" w:rsidR="00CD4963" w:rsidRPr="00F153F6" w:rsidRDefault="007148BA" w:rsidP="007148BA">
      <w:pPr>
        <w:pStyle w:val="Caption"/>
        <w:jc w:val="center"/>
        <w:rPr>
          <w:rFonts w:ascii="Times New Roman" w:hAnsi="Times New Roman" w:cs="Times New Roman"/>
          <w:i w:val="0"/>
          <w:iCs w:val="0"/>
          <w:color w:val="auto"/>
          <w:sz w:val="22"/>
          <w:szCs w:val="22"/>
        </w:rPr>
      </w:pPr>
      <w:bookmarkStart w:id="656" w:name="_Toc119448469"/>
      <w:r w:rsidRPr="00F153F6">
        <w:rPr>
          <w:rFonts w:ascii="Times New Roman" w:hAnsi="Times New Roman" w:cs="Times New Roman"/>
          <w:i w:val="0"/>
          <w:iCs w:val="0"/>
          <w:color w:val="auto"/>
          <w:sz w:val="22"/>
          <w:szCs w:val="22"/>
        </w:rPr>
        <w:t xml:space="preserve">Figure 5.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Figure_5.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1</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A Copy of Figure 4.4 An Integrated Framework of ICT-based IOKE</w:t>
      </w:r>
      <w:bookmarkEnd w:id="656"/>
    </w:p>
    <w:p w14:paraId="72F0AA5F" w14:textId="77777777" w:rsidR="00CF539F" w:rsidRPr="00F153F6" w:rsidRDefault="00CF539F" w:rsidP="004424B4">
      <w:pPr>
        <w:spacing w:line="360" w:lineRule="auto"/>
        <w:jc w:val="both"/>
        <w:rPr>
          <w:rFonts w:ascii="Times New Roman" w:eastAsiaTheme="minorEastAsia" w:hAnsi="Times New Roman" w:cs="Times New Roman"/>
        </w:rPr>
      </w:pPr>
    </w:p>
    <w:p w14:paraId="5F6883F7" w14:textId="77777777" w:rsidR="0015201A" w:rsidRPr="00F153F6" w:rsidRDefault="0015201A" w:rsidP="004424B4">
      <w:pPr>
        <w:spacing w:line="360" w:lineRule="auto"/>
        <w:jc w:val="both"/>
        <w:rPr>
          <w:rFonts w:ascii="Times New Roman" w:eastAsiaTheme="minorEastAsia" w:hAnsi="Times New Roman" w:cs="Times New Roman"/>
          <w:b/>
          <w:bCs/>
          <w:sz w:val="24"/>
          <w:szCs w:val="24"/>
        </w:rPr>
      </w:pPr>
      <w:r w:rsidRPr="00F153F6">
        <w:rPr>
          <w:rFonts w:ascii="Times New Roman" w:eastAsiaTheme="minorEastAsia" w:hAnsi="Times New Roman" w:cs="Times New Roman"/>
          <w:b/>
          <w:bCs/>
          <w:sz w:val="24"/>
          <w:szCs w:val="24"/>
        </w:rPr>
        <w:t xml:space="preserve">Knowledgeabilities for the Overall Project  </w:t>
      </w:r>
    </w:p>
    <w:p w14:paraId="230B1301" w14:textId="2509D5F9" w:rsidR="00CF539F"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From the whole project perspective, the findings of this study show that Living Lab projects require four essential knowledgeabilities (inter-connecting, interactive learning, co-creating, and coordinating) to accomplish actors’ ICT-based IOKE practice. The enactment of inter-connecting allows actors to cultivate relationship with each other. The enactment of interactive learning knowledgeability allows actors to familiarise and understand each other’s existing expertise and accordingly refine and improve their own workplace effectiveness. </w:t>
      </w:r>
      <w:r w:rsidRPr="00F153F6">
        <w:rPr>
          <w:rFonts w:ascii="Times New Roman" w:hAnsi="Times New Roman" w:cs="Times New Roman"/>
          <w:sz w:val="24"/>
          <w:szCs w:val="24"/>
        </w:rPr>
        <w:t xml:space="preserve">The enactment of co-creating knowledgeability allows actors to stimulate innovation among them </w:t>
      </w:r>
      <w:r w:rsidRPr="00F153F6">
        <w:rPr>
          <w:rFonts w:ascii="Times New Roman" w:hAnsi="Times New Roman" w:cs="Times New Roman"/>
          <w:sz w:val="24"/>
          <w:szCs w:val="24"/>
        </w:rPr>
        <w:lastRenderedPageBreak/>
        <w:t xml:space="preserve">and develop new ideas together. </w:t>
      </w:r>
      <w:r w:rsidRPr="00F153F6">
        <w:rPr>
          <w:rFonts w:ascii="Times New Roman" w:eastAsiaTheme="minorEastAsia" w:hAnsi="Times New Roman" w:cs="Times New Roman"/>
          <w:sz w:val="24"/>
          <w:szCs w:val="24"/>
        </w:rPr>
        <w:t>The enactment of coordinating allows actors to direct work performance</w:t>
      </w:r>
      <w:r w:rsidR="00CF539F" w:rsidRPr="00F153F6">
        <w:rPr>
          <w:rFonts w:ascii="Times New Roman" w:eastAsiaTheme="minorEastAsia" w:hAnsi="Times New Roman" w:cs="Times New Roman"/>
          <w:sz w:val="24"/>
          <w:szCs w:val="24"/>
        </w:rPr>
        <w:t xml:space="preserve"> </w:t>
      </w:r>
      <w:r w:rsidRPr="00F153F6">
        <w:rPr>
          <w:rFonts w:ascii="Times New Roman" w:eastAsiaTheme="minorEastAsia" w:hAnsi="Times New Roman" w:cs="Times New Roman"/>
          <w:sz w:val="24"/>
          <w:szCs w:val="24"/>
        </w:rPr>
        <w:t xml:space="preserve">and thus promote the collaboration progress. </w:t>
      </w:r>
    </w:p>
    <w:p w14:paraId="77A0E6CD" w14:textId="103B22D3"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hAnsi="Times New Roman" w:cs="Times New Roman"/>
          <w:sz w:val="24"/>
          <w:szCs w:val="24"/>
        </w:rPr>
        <w:t xml:space="preserve">Specifically, </w:t>
      </w:r>
      <w:r w:rsidRPr="00F153F6">
        <w:rPr>
          <w:rFonts w:ascii="Times New Roman" w:eastAsiaTheme="minorEastAsia" w:hAnsi="Times New Roman" w:cs="Times New Roman"/>
          <w:sz w:val="24"/>
          <w:szCs w:val="24"/>
        </w:rPr>
        <w:t xml:space="preserve">the findings of this study shows </w:t>
      </w:r>
      <w:r w:rsidRPr="00F153F6">
        <w:rPr>
          <w:rFonts w:ascii="Times New Roman" w:hAnsi="Times New Roman" w:cs="Times New Roman"/>
          <w:sz w:val="24"/>
          <w:szCs w:val="24"/>
        </w:rPr>
        <w:t xml:space="preserve">that core knowledgeabilities among all identified knowledgeabilities </w:t>
      </w:r>
      <w:r w:rsidRPr="00F153F6">
        <w:rPr>
          <w:rFonts w:ascii="Times New Roman" w:eastAsiaTheme="minorEastAsia" w:hAnsi="Times New Roman" w:cs="Times New Roman"/>
          <w:sz w:val="24"/>
          <w:szCs w:val="24"/>
        </w:rPr>
        <w:t xml:space="preserve">consist of interactive learning and co-creating, which shows actors’ key capabilities to develop their organisational learning and promote their inter-organisational collaboration progress. Such findings bear resemblance with March’s </w:t>
      </w:r>
      <w:r w:rsidRPr="00F153F6">
        <w:rPr>
          <w:rFonts w:ascii="Times New Roman" w:eastAsiaTheme="minorEastAsia" w:hAnsi="Times New Roman" w:cs="Times New Roman"/>
          <w:sz w:val="24"/>
          <w:szCs w:val="24"/>
        </w:rPr>
        <w:fldChar w:fldCharType="begin"/>
      </w:r>
      <w:r w:rsidR="00B73834" w:rsidRPr="00F153F6">
        <w:rPr>
          <w:rFonts w:ascii="Times New Roman" w:eastAsiaTheme="minorEastAsia" w:hAnsi="Times New Roman" w:cs="Times New Roman"/>
          <w:sz w:val="24"/>
          <w:szCs w:val="24"/>
        </w:rPr>
        <w:instrText xml:space="preserve"> ADDIN ZOTERO_ITEM CSL_CITATION {"citationID":"N20UKTiF","properties":{"formattedCitation":"(1991)","plainCitation":"(1991)","dontUpdate":true,"noteIndex":0},"citationItems":[{"id":10009,"uris":["http://zotero.org/users/5709166/items/MK8X7RCX"],"itemData":{"id":10009,"type":"article-journal","container-title":"Organization Science","issue":"1,","language":"en","page":"71-87","source":"Zotero","title":"Exploration and Exploitation in Organizational Learning","volume":"2","author":[{"family":"March","given":"James G."}],"issued":{"date-parts":[["1991"]]}},"label":"page","suppress-author":true}],"schema":"https://github.com/citation-style-language/schema/raw/master/csl-citation.json"}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(1991, p. 71)</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seminal work that argues knowledge exploitation and exploration are two main types of organisational learning in organisational collaboration: knowledge exploitation refers to “such things as refinement, choice, production, efficiency, selection, implementation, execution”, while knowledge exploration refers to “</w:t>
      </w:r>
      <w:r w:rsidRPr="00F153F6">
        <w:rPr>
          <w:rFonts w:ascii="Times New Roman" w:hAnsi="Times New Roman" w:cs="Times New Roman"/>
          <w:sz w:val="24"/>
          <w:szCs w:val="24"/>
        </w:rPr>
        <w:t>things captured by terms such as search, variation, risk taking, experimentation, play, flexibility, discovery, innovation</w:t>
      </w:r>
      <w:r w:rsidRPr="00F153F6">
        <w:rPr>
          <w:rFonts w:ascii="Times New Roman" w:eastAsiaTheme="minorEastAsia" w:hAnsi="Times New Roman" w:cs="Times New Roman"/>
          <w:sz w:val="24"/>
          <w:szCs w:val="24"/>
        </w:rPr>
        <w:t xml:space="preserve">”. Specifically, interactive learning depicts how actors develop their organisational learning through exploring new insights as they understand each other’s work, which implies the process of knowledge exploration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{"citationID":"t8dgpFXq","properties":{"formattedCitation":"(Luo et al., 2018; Vermeulen &amp; Barkema, 2001)","plainCitation":"(Luo et al., 2018; Vermeulen &amp; Barkema, 2001)","noteIndex":0},"citationItems":[{"id":10011,"uris":["http://zotero.org/users/5709166/items/83CB4SWF"],"itemData":{"id":10011,"type":"article-journal","abstract":"Firms today thrive on innovation. Knowledge exploration, the nonlocal search for new knowledge beyond the ﬁrm’s current expertise, is posited to be critical for innovation. This paper seeks to contribute to the research on knowledge exploration in two ways. First, this paper provides a comprehensive review of key empirical studies on knowledge exploration and innovation. Second, this paper proposes a recombinatory search framework of innovation to reconceptualise extant understanding of knowledge exploration on innovation. This new framework focusses on the evolution of the beneﬁts and costs of knowledge exploration, and puts forward an inverse S-curve proposition between knowledge exploration and innovation. Two company cases, IBM and Procter &amp; Gamble, are then used to illustrate the new proposition.","container-title":"Journal of Management &amp; Organization","DOI":"10.1017/jmo.2016.39","ISSN":"1833-3672, 1839-3527","issue":"6","journalAbbreviation":"Journal of Management &amp; Organization","language":"en","page":"870-892","source":"DOI.org (Crossref)","title":"Knowledge exploration and innovation: A review and an inverse S-curve proposition","title-short":"Knowledge exploration and innovation","volume":"24","author":[{"family":"Luo","given":"Ben Nanfeng"},{"family":"Lui","given":"Steven"},{"family":"Liu","given":"Chih-Hsing"},{"family":"Zhang","given":"Rongrong"}],"issued":{"date-parts":[["2018",11]]}},"label":"page"},{"id":10005,"uris":["http://zotero.org/users/5709166/items/6I8EY7Y3"],"itemData":{"id":10005,"type":"article-journal","container-title":"Academy of Management Journal","DOI":"10.5465/3069364","ISSN":"0001-4273, 1948-0989","issue":"3","journalAbbreviation":"AMJ","language":"en","page":"457-476","source":"DOI.org (Crossref)","title":"Learning Through Acquisitions","volume":"44","author":[{"family":"Vermeulen","given":"Freek"},{"family":"Barkema","given":"Harry"}],"issued":{"date-parts":[["2001",6]]}},"label":"page"}],"schema":"https://github.com/citation-style-language/schema/raw/master/csl-citation.json"}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(Luo et al., 2018; Vermeulen &amp; Barkema, 2001)</w:t>
      </w:r>
      <w:r w:rsidRPr="00F153F6">
        <w:rPr>
          <w:rFonts w:ascii="Times New Roman" w:hAnsi="Times New Roman" w:cs="Times New Roman"/>
          <w:sz w:val="24"/>
          <w:szCs w:val="24"/>
        </w:rPr>
        <w:fldChar w:fldCharType="end"/>
      </w:r>
      <w:r w:rsidRPr="00F153F6">
        <w:rPr>
          <w:rFonts w:ascii="Times New Roman" w:eastAsiaTheme="minorEastAsia" w:hAnsi="Times New Roman" w:cs="Times New Roman"/>
          <w:sz w:val="24"/>
          <w:szCs w:val="24"/>
        </w:rPr>
        <w:t xml:space="preserve">; co-creating depicts how actors develop their organisational learning through intensively exploiting new insights together, which implies the process of collaboration for knowledge exploitation </w:t>
      </w:r>
      <w:r w:rsidRPr="00F153F6">
        <w:rPr>
          <w:rFonts w:ascii="Times New Roman" w:hAnsi="Times New Roman" w:cs="Times New Roman"/>
          <w:b/>
          <w:bCs/>
          <w:sz w:val="24"/>
          <w:szCs w:val="24"/>
        </w:rPr>
        <w:fldChar w:fldCharType="begin"/>
      </w:r>
      <w:r w:rsidR="00B73834" w:rsidRPr="00F153F6">
        <w:rPr>
          <w:rFonts w:ascii="Times New Roman" w:hAnsi="Times New Roman" w:cs="Times New Roman"/>
          <w:b/>
          <w:bCs/>
          <w:sz w:val="24"/>
          <w:szCs w:val="24"/>
        </w:rPr>
        <w:instrText xml:space="preserve"> ADDIN ZOTERO_ITEM CSL_CITATION {"citationID":"GzyvsxCq","properties":{"formattedCitation":"(Dzhengiz, 2020; S. S. Kim, 2020)","plainCitation":"(Dzhengiz, 2020; S. S. Kim, 2020)","dontUpdate":true,"noteIndex":0},"citationItems":[{"id":10015,"uris":["http://zotero.org/users/5709166/items/VBV2U2Q7"],"itemData":{"id":10015,"type":"article-journal","abstract":"Sustainable development goals (SDGs) have become increasingly important for today’s ﬁrms as they build sustainability strategies that integrate SDGs into their core activities. Addressing these goals collaboratively, in line with SDG 17—partnerships for the goals, has gained momentum, hence the growing literature on sustainability-oriented partnerships. However, addressing SDGs through partnerships is not straightforward. For ﬁrms, contributing to SDGs through alliances and partnerships requires building environmental capabilities and embracing new value frames; in other words, going through the complex process of inter-organizational learning. This paper reviews the literature on sustainability-oriented partnerships with a focus on the inter-organizational learning process. As a result of the review, a model of inter-organizational sustainability learning is presented. This model captures the diﬀerent levels and types of the inter-organizational learning process; partner and partnership characteristics that impact learning; the environmental conditions that set the conditions for learning to take place; the catalyst and inhibitors of learning; and ﬁnally outcomes of learning. This model expands and re-organizes the existing scholarly conversation about inter-organizational learning in the context of sustainability-oriented alliances and partnerships and oﬀers a learning-based understanding of sustainability partnerships to practitioners. Based on the review, the paper proposes ideas for future research and contributes to the development of a future research agenda in the area of sustainability-oriented alliances and partnerships.","container-title":"Sustainability","DOI":"10.3390/su12124876","ISSN":"2071-1050","issue":"12","journalAbbreviation":"Sustainability","language":"en","page":"4876","source":"DOI.org (Crossref)","title":"A Literature Review of Inter-Organizational Sustainability Learning","volume":"12","author":[{"family":"Dzhengiz","given":"Tulin"}],"issued":{"date-parts":[["2020",6,15]]}}},{"id":10012,"uris":["http://zotero.org/users/5709166/items/97RLFY8G"],"itemData":{"id":10012,"type":"article-journal","abstract":"Purpose This study aims to examine how exploitation of shared knowledge is related to creative behavior by focusing on the roles of social contextual factors – perceived co-worker support and perceived relationship conflict. Design/methodology/approach The proposed research model in this study posits the following: exploitation mediates the relationship between shared knowledge and creative behavior and perceived co-worker support and perceived relationship conflict moderate the relationship between shared knowledge and creative behavior. For an empirical examination, the model was tested by PLS-SEM using 457 responses gathered from workers of different companies in Korea. Findings It turned out that knowledge exploitation fully mediates the relationship between shared knowledge and creative behavior. Also, the findings revealed that the stronger the perceived co-workers support is the stronger the relationship between shared knowledge and knowledge exploitation becomes. In contrast, perceived relationship conflict has a negative moderating effect on the relationship. Originality/value This study helps to deepen the understanding of how knowledge sharing impacts creative behavior in light of social context and the active utilization of shared knowledge. In addition, this study attempts to provide new perspectives by suggesting double aspects of perceived relationship conflict, which eventually extending the previous research on conflict in the field of knowledge management and creative behavior.","container-title":"Journal of Knowledge Management","DOI":"10.1108/JKM-10-2018-0611","ISSN":"1367-3270","issue":"2","note":"publisher: Emerald Publishing Limited","page":"279-300","source":"Emerald Insight","title":"Exploitation of shared knowledge and creative behavior: the role of social context","title-short":"Exploitation of shared knowledge and creative behavior","volume":"24","author":[{"family":"Kim","given":"Sang Soo"}],"issued":{"date-parts":[["2020",1,1]]}}}],"schema":"https://github.com/citation-style-language/schema/raw/master/csl-citation.json"} </w:instrText>
      </w:r>
      <w:r w:rsidRPr="00F153F6">
        <w:rPr>
          <w:rFonts w:ascii="Times New Roman" w:hAnsi="Times New Roman" w:cs="Times New Roman"/>
          <w:b/>
          <w:bCs/>
          <w:sz w:val="24"/>
          <w:szCs w:val="24"/>
        </w:rPr>
        <w:fldChar w:fldCharType="separate"/>
      </w:r>
      <w:r w:rsidRPr="00F153F6">
        <w:rPr>
          <w:rFonts w:ascii="Times New Roman" w:hAnsi="Times New Roman" w:cs="Times New Roman"/>
          <w:sz w:val="24"/>
          <w:szCs w:val="24"/>
        </w:rPr>
        <w:t>(Dzhengiz, 2020; Kim, 2020)</w:t>
      </w:r>
      <w:r w:rsidRPr="00F153F6">
        <w:rPr>
          <w:rFonts w:ascii="Times New Roman" w:hAnsi="Times New Roman" w:cs="Times New Roman"/>
          <w:sz w:val="24"/>
          <w:szCs w:val="24"/>
        </w:rPr>
        <w:fldChar w:fldCharType="end"/>
      </w:r>
      <w:r w:rsidRPr="00F153F6">
        <w:rPr>
          <w:rFonts w:ascii="Times New Roman" w:eastAsiaTheme="minorEastAsia" w:hAnsi="Times New Roman" w:cs="Times New Roman"/>
          <w:sz w:val="24"/>
          <w:szCs w:val="24"/>
        </w:rPr>
        <w:t xml:space="preserve">. </w:t>
      </w:r>
    </w:p>
    <w:p w14:paraId="454AD153" w14:textId="2FE2DBA7"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Recent research indicated that knowledge management has a dynamic nature for the project lifecycle overall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{"citationID":"SPDiNLUU","properties":{"formattedCitation":"(Piraquive et al., 2015; Ranf &amp; Herman, 2018)","plainCitation":"(Piraquive et al., 2015; Ranf &amp; Herman, 2018)","noteIndex":0},"citationItems":[{"id":10283,"uris":["http://zotero.org/users/5709166/items/79T4ZYQJ"],"itemData":{"id":10283,"type":"paper-conference","abstract":"Currently, organizations are aimed at developing, organizing, and using knowledge to create successful projects. Similarly, these organizations consider knowledge an important asset that collaborates in complying with the company’s strategic objectives and, hence, it is necessary to manage, control and maintain it. This article presents some knowledge management models that provide relevant factors for project management to suggest a model that avails of their strengths and best practices, to obtain satisfactory results based on experiences and learning identified.","collection-title":"Lecture Notes in Business Information Processing","container-title":"Knowledge Management in Organizations","DOI":"10.1007/978-3-319-21009-4_18","event-place":"Cham","ISBN":"978-3-319-21009-4","language":"en","page":"235-247","publisher":"Springer International Publishing","publisher-place":"Cham","source":"Springer Link","title":"Knowledge Management Model for Project Management","author":[{"family":"Piraquive","given":"Flor Nancy Díaz"},{"family":"García","given":"Víctor Hugo Medina"},{"family":"Crespo","given":"Rubén González"}],"editor":[{"family":"Uden","given":"Lorna"},{"family":"Heričko","given":"Marjan"},{"family":"Ting","given":"I-Hsien"}],"issued":{"date-parts":[["2015"]]}}},{"id":10282,"uris":["http://zotero.org/users/5709166/items/N8TPZJJZ"],"itemData":{"id":10282,"type":"article-journal","abstract":"The two concepts, knowledge management and project management have been steadily developing in recent years, with the current effort being the creation of a synergic effect from the two. The article demonstrates the need for a structured framework to group and facilitate the reuse of information and the generation of new knowledge in project management. In this context, knowledge management meets these requirements, providing a tool for improving project management practices. The article contains a review of the advantages and benefits that developers can get by adopting and implementing a project management strategy. An important contribution of the article is to develop a way to apply knowledge management in project management. This starts from the idea that a knowledge management cycle consists of four stages, which can also be applied in project management, and the knowledge passing through these stages goes through a filter, improves and generates a new knowledge.","container-title":"Land Forces Academy Review","DOI":"10.2478/raft-2018-0036","ISSN":"2247-840X","issue":"4","language":"en","page":"288-293","source":"DOI.org (Crossref)","title":"Knowledge Management Contributions in Project Management","volume":"23","author":[{"family":"Ranf","given":"Diana Elena"},{"family":"Herman","given":"Ramona"}],"issued":{"date-parts":[["2018",12,1]]}}}],"schema":"https://github.com/citation-style-language/schema/raw/master/csl-citation.json"}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(Piraquive et al., 2015; Ranf &amp; Herman, 2018)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For example, Ranf and Herman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{"citationID":"2hWOF4LT","properties":{"formattedCitation":"(2018)","plainCitation":"(2018)","noteIndex":0},"citationItems":[{"id":10282,"uris":["http://zotero.org/users/5709166/items/N8TPZJJZ"],"itemData":{"id":10282,"type":"article-journal","abstract":"The two concepts, knowledge management and project management have been steadily developing in recent years, with the current effort being the creation of a synergic effect from the two. The article demonstrates the need for a structured framework to group and facilitate the reuse of information and the generation of new knowledge in project management. In this context, knowledge management meets these requirements, providing a tool for improving project management practices. The article contains a review of the advantages and benefits that developers can get by adopting and implementing a project management strategy. An important contribution of the article is to develop a way to apply knowledge management in project management. This starts from the idea that a knowledge management cycle consists of four stages, which can also be applied in project management, and the knowledge passing through these stages goes through a filter, improves and generates a new knowledge.","container-title":"Land Forces Academy Review","DOI":"10.2478/raft-2018-0036","ISSN":"2247-840X","issue":"4","language":"en","page":"288-293","source":"DOI.org (Crossref)","title":"Knowledge Management Contributions in Project Management","volume":"23","author":[{"family":"Ranf","given":"Diana Elena"},{"family":"Herman","given":"Ramona"}],"issued":{"date-parts":[["2018",12,1]]}},"label":"page","suppress-author":true}],"schema":"https://github.com/citation-style-language/schema/raw/master/csl-citation.json"}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(2018)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’s work proposes a knowledge management cycle throughout the project: identifying knowledge in projects, knowledge sharing with stakeholders, applying knowledge through project activities, and learning from mistakes. These concepts have been articulated by the proposed integrated framework of this study that deals with the whole project lifecycle, e.g., interactive learning demonstrates the practice that actors are actively identifying knowledge in the project. This shows a generic and broader understanding to the development of knowledge in project management. </w:t>
      </w:r>
    </w:p>
    <w:p w14:paraId="6A5F25FF" w14:textId="385AAC67" w:rsidR="00CF539F"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Further, the present findings show a more specific changes across different project stages. For example, the findings of the present study show that developing shared understanding knowledgeability to identify new knowledge for actors seems more important at the project inception stage where the focus here is to develop understanding towards a similar level of expertise and getting partners onboard. As the project moves forward and the collaboration </w:t>
      </w:r>
      <w:r w:rsidR="00CF539F" w:rsidRPr="00F153F6">
        <w:rPr>
          <w:rFonts w:ascii="Times New Roman" w:hAnsi="Times New Roman" w:cs="Times New Roman"/>
          <w:sz w:val="24"/>
          <w:szCs w:val="24"/>
        </w:rPr>
        <w:t>becomes more involved</w:t>
      </w:r>
      <w:r w:rsidRPr="00F153F6">
        <w:rPr>
          <w:rFonts w:ascii="Times New Roman" w:hAnsi="Times New Roman" w:cs="Times New Roman"/>
          <w:sz w:val="24"/>
          <w:szCs w:val="24"/>
        </w:rPr>
        <w:t xml:space="preserve"> developing expertise in accumulating knowledgeability to identify new knowledge becomes more essential at project middle stage where the focus is to know </w:t>
      </w:r>
      <w:r w:rsidRPr="00F153F6">
        <w:rPr>
          <w:rFonts w:ascii="Times New Roman" w:hAnsi="Times New Roman" w:cs="Times New Roman"/>
          <w:sz w:val="24"/>
          <w:szCs w:val="24"/>
        </w:rPr>
        <w:lastRenderedPageBreak/>
        <w:t>how to develop actors’ capabilities through learning by doing. As the project moves to the end, actors identify new knowledge by developing insights spreading</w:t>
      </w:r>
      <w:r w:rsidRPr="00F153F6">
        <w:rPr>
          <w:rFonts w:ascii="Times New Roman" w:hAnsi="Times New Roman" w:cs="Times New Roman"/>
          <w:i/>
          <w:iCs/>
          <w:sz w:val="24"/>
          <w:szCs w:val="24"/>
        </w:rPr>
        <w:t xml:space="preserve"> </w:t>
      </w:r>
      <w:r w:rsidRPr="00F153F6">
        <w:rPr>
          <w:rFonts w:ascii="Times New Roman" w:hAnsi="Times New Roman" w:cs="Times New Roman"/>
          <w:sz w:val="24"/>
          <w:szCs w:val="24"/>
        </w:rPr>
        <w:t xml:space="preserve">knowledgeability whereby the focus is to disseminate insights to a wider audience. Such shifting patterns demonstrate that actors’ knowledgeabilities can evolve in practice across different project stages, which should be managed accordingly in regards of project lifecycle. This echoes earlier studies that indicate a co-evolution of knowledge management and project management </w:t>
      </w:r>
      <w:r w:rsidRPr="00F153F6">
        <w:rPr>
          <w:rFonts w:ascii="Times New Roman" w:hAnsi="Times New Roman" w:cs="Times New Roman"/>
          <w:sz w:val="24"/>
          <w:szCs w:val="24"/>
        </w:rPr>
        <w:fldChar w:fldCharType="begin"/>
      </w:r>
      <w:r w:rsidR="00B73834" w:rsidRPr="00F153F6">
        <w:rPr>
          <w:rFonts w:ascii="Times New Roman" w:hAnsi="Times New Roman" w:cs="Times New Roman"/>
          <w:sz w:val="24"/>
          <w:szCs w:val="24"/>
        </w:rPr>
        <w:instrText xml:space="preserve"> ADDIN ZOTERO_ITEM CSL_CITATION {"citationID":"3B6JRnHi","properties":{"formattedCitation":"(S. Li, 2018)","plainCitation":"(S. Li, 2018)","noteIndex":0},"citationItems":[{"id":2014,"uris":["http://zotero.org/users/5709166/items/6AKM3HG4"],"itemData":{"id":2014,"type":"thesis","title":"Knowledge Domains and Skills that Facilitate Knowledge Sharing in Project Management -A Case Study in the Chinese Construction Industry","URL":"http://etheses.whiterose.ac.uk/21467/2/Thesis_Shuyang%20Li.pdf","author":[{"family":"Li","given":"Shuyang"}],"accessed":{"date-parts":[["2019",10,21]]},"issued":{"date-parts":[["2018"]]}}}],"schema":"https://github.com/citation-style-language/schema/raw/master/csl-citation.json"} </w:instrText>
      </w:r>
      <w:r w:rsidRPr="00F153F6">
        <w:rPr>
          <w:rFonts w:ascii="Times New Roman" w:hAnsi="Times New Roman" w:cs="Times New Roman"/>
          <w:sz w:val="24"/>
          <w:szCs w:val="24"/>
        </w:rPr>
        <w:fldChar w:fldCharType="separate"/>
      </w:r>
      <w:r w:rsidR="00B73834" w:rsidRPr="00F153F6">
        <w:rPr>
          <w:rFonts w:ascii="Times New Roman" w:hAnsi="Times New Roman" w:cs="Times New Roman"/>
          <w:sz w:val="24"/>
          <w:szCs w:val="24"/>
        </w:rPr>
        <w:t>(Li, 2018)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w:t>
      </w:r>
    </w:p>
    <w:p w14:paraId="5E746A3C" w14:textId="77777777" w:rsidR="0015201A" w:rsidRPr="00F153F6" w:rsidRDefault="0015201A" w:rsidP="004424B4">
      <w:pPr>
        <w:spacing w:line="360" w:lineRule="auto"/>
        <w:jc w:val="both"/>
        <w:rPr>
          <w:rFonts w:ascii="Times New Roman" w:eastAsiaTheme="minorEastAsia" w:hAnsi="Times New Roman" w:cs="Times New Roman"/>
          <w:b/>
          <w:bCs/>
          <w:sz w:val="24"/>
          <w:szCs w:val="24"/>
        </w:rPr>
      </w:pPr>
      <w:r w:rsidRPr="00F153F6">
        <w:rPr>
          <w:rFonts w:ascii="Times New Roman" w:eastAsiaTheme="minorEastAsia" w:hAnsi="Times New Roman" w:cs="Times New Roman"/>
          <w:b/>
          <w:bCs/>
          <w:sz w:val="24"/>
          <w:szCs w:val="24"/>
        </w:rPr>
        <w:t>Relationships among Knowledgeabilities</w:t>
      </w:r>
    </w:p>
    <w:p w14:paraId="62346D8C" w14:textId="757808A9"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hAnsi="Times New Roman" w:cs="Times New Roman"/>
          <w:sz w:val="24"/>
          <w:szCs w:val="24"/>
        </w:rPr>
        <w:t xml:space="preserve">The present study </w:t>
      </w:r>
      <w:r w:rsidRPr="00F153F6">
        <w:rPr>
          <w:rFonts w:ascii="Times New Roman" w:eastAsiaTheme="minorEastAsia" w:hAnsi="Times New Roman" w:cs="Times New Roman"/>
          <w:sz w:val="24"/>
          <w:szCs w:val="24"/>
        </w:rPr>
        <w:t xml:space="preserve">theorises the relationships among different knowledgeabilities by identifying two core knowledgeabilities: one conditional knowledgeability that informs the enactment of core ones, and one resulting knowledgeability as a result of the enactment of core ones. </w:t>
      </w:r>
    </w:p>
    <w:p w14:paraId="22B6ADB9" w14:textId="4DCC9B41"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The present study finds that the enactment of inter-connecting knowledgeability is a condition to the enactment of core knowledgeabilities. Inter-connecting allows actors to establish networks with each other in inter-organisational collaborations in order to acquire and utilise external knowledge. This echoes existing studies that </w:t>
      </w:r>
      <w:r w:rsidR="00B97646" w:rsidRPr="00F153F6">
        <w:rPr>
          <w:rFonts w:ascii="Times New Roman" w:eastAsiaTheme="minorEastAsia" w:hAnsi="Times New Roman" w:cs="Times New Roman"/>
          <w:sz w:val="24"/>
          <w:szCs w:val="24"/>
        </w:rPr>
        <w:t xml:space="preserve">argue </w:t>
      </w:r>
      <w:r w:rsidRPr="00F153F6">
        <w:rPr>
          <w:rFonts w:ascii="Times New Roman" w:eastAsiaTheme="minorEastAsia" w:hAnsi="Times New Roman" w:cs="Times New Roman"/>
          <w:sz w:val="24"/>
          <w:szCs w:val="24"/>
        </w:rPr>
        <w:t xml:space="preserve">the shaping of inter-organisational networks and relationships is significant and can inform organisational learning and knowledge management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{"citationID":"tEVagVKA","properties":{"formattedCitation":"(Agostini et al., 2020; Ahmad &amp; Daghfous, 2010)","plainCitation":"(Agostini et al., 2020; Ahmad &amp; Daghfous, 2010)","noteIndex":0},"citationItems":[{"id":3,"uris":["http://zotero.org/users/5709166/items/79YKMVGX"],"itemData":{"id":3,"type":"article-journal","abstract":"Purpose Based on the growing interest devoted to knowledge management (KM) in inter-organizational contexts, the purpose of this paper is to systematize existing literature and understand how it developed over time, thus tracing its roots and evolution to unveil gaps and suggest new promising areas for future research. Design/methodology/approach This study used bibliographic techniques to analyze a sample of 85 studies along three main periods (1998-2010, 2011-2014 and 2015-2019). In particular, this study focused on co-occurrences of keywords to identify the most dominant themes, as well as connections among these themes. Findings Overall, the review shows the main outlets that have published papers on the topic of KM in inter-organizational contexts, as well as the theoretical background this research builds on. The temporal analysis exhibits the core topics that have persisted and grown consistently over time as the links between KM, innovation and networks. In addition, the review highlights new emerging themes, such as the human and social side of KM, and new interesting contexts of study (e.g. coopetition and open/user innovation), which opens exciting avenues for new research opportunities. Originality/value This study illustrates the conceptual structure of the field in three distinct periods and contributes to a more nuanced understanding of the key topics and their interrelatedness within the area of KM in inter-organizational contexts. Both researchers and practitioners can profit from the study because it reveals consolidated topics while identifying areas that still need to be investigated to foster KM in inter-organizational settings.","container-title":"Journal of Knowledge Management","DOI":"10.1108/JKM-07-2019-0382","ISSN":"1367-3270","issue":"2","note":"publisher: Emerald Publishing Limited","page":"463-490","source":"Emerald Insight","title":"Tracing the evolution of the literature on knowledge management in inter-organizational contexts: a bibliometric analysis","title-short":"Tracing the evolution of the literature on knowledge management in inter-organizational contexts","volume":"24","author":[{"family":"Agostini","given":"Lara"},{"family":"Nosella","given":"Anna"},{"family":"Sarala","given":"Riikka"},{"family":"Spender","given":"J.-C."},{"family":"Wegner","given":"Douglas"}],"issued":{"date-parts":[["2020",1,1]]}}},{"id":10020,"uris":["http://zotero.org/users/5709166/items/K8ZDQGHW"],"itemData":{"id":10020,"type":"article-journal","abstract":"Purpose – The purpose of this paper is to analyze the business sector in the United Arab Emirates (UAE) based on their level of involvement in knowledge‐sharing activities with external sources, internal organizational innovations, and the barriers and benefits of joining knowledge networks. Subsequently, the findings are used as a basis for proposing several recommendations on managing knowledge in the UAE businesses that could result in higher levels of motivation and productivity. Design/methodology/approach – An exploratory investigation is done by in‐depth interviews with the employees of five local and eight multinational companies in the UAE. Findings – The paper finds that the concept of knowledge management (KM) is still not well received in this region. Most of the companies interviewed are concerned about confidentiality of their knowledge, and the presence of competent and trustworthy partners in such KM structures. Research limitations/implications – The findings provide a foundation for further research on inter‐organizational knowledge sharing in the UAE. However, this study has certain limitations such that its results may not be applicable to other industrial sectors not covered in this paper, or to other regions. Originality/value – By using the case study approach with in‐depth interviews, this paper provides more reliable understanding of inter‐organizational KM in the UAE. It fills the gap of previous research on the subject.","container-title":"European Business Review","DOI":"10.1108/09555341011023506","ISSN":"0955-534X","issue":"2","note":"publisher: Emerald Group Publishing Limited","page":"153-174","source":"Emerald Insight","title":"Knowledge sharing through inter‐organizational knowledge networks: Challenges and opportunities in the United Arab Emirates","title-short":"Knowledge sharing through inter‐organizational knowledge networks","volume":"22","author":[{"family":"Ahmad","given":"Norita"},{"family":"Daghfous","given":"Abdelkader"}],"editor":[{"family":"K. Yeo","given":"Roland"},{"family":"Svensson","given":"Göran"}],"issued":{"date-parts":[["2010",1,1]]}}}],"schema":"https://github.com/citation-style-language/schema/raw/master/csl-citation.json"}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(Agostini et al., 2020; Ahmad &amp; Daghfous, 2010)</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Furthermore, the findings of this study shows that actors may need to build up different relationships (e.g., partnership, workplace goal-oriented relationship, cross-disciplinary relationship, informal relationship) to enact their core knowledgeabilities. </w:t>
      </w:r>
    </w:p>
    <w:p w14:paraId="2BCB7353" w14:textId="5524BE7D"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This study finds that inter-connecting</w:t>
      </w:r>
      <w:r w:rsidR="00B97646" w:rsidRPr="00F153F6">
        <w:rPr>
          <w:rFonts w:ascii="Times New Roman" w:eastAsiaTheme="minorEastAsia" w:hAnsi="Times New Roman" w:cs="Times New Roman"/>
          <w:sz w:val="24"/>
          <w:szCs w:val="24"/>
        </w:rPr>
        <w:t xml:space="preserve"> knowledgeability</w:t>
      </w:r>
      <w:r w:rsidRPr="00F153F6">
        <w:rPr>
          <w:rFonts w:ascii="Times New Roman" w:eastAsiaTheme="minorEastAsia" w:hAnsi="Times New Roman" w:cs="Times New Roman"/>
          <w:sz w:val="24"/>
          <w:szCs w:val="24"/>
        </w:rPr>
        <w:t xml:space="preserve"> reflec</w:t>
      </w:r>
      <w:r w:rsidR="00B97646" w:rsidRPr="00F153F6">
        <w:rPr>
          <w:rFonts w:ascii="Times New Roman" w:eastAsiaTheme="minorEastAsia" w:hAnsi="Times New Roman" w:cs="Times New Roman"/>
          <w:sz w:val="24"/>
          <w:szCs w:val="24"/>
        </w:rPr>
        <w:t>ts</w:t>
      </w:r>
      <w:r w:rsidRPr="00F153F6">
        <w:rPr>
          <w:rFonts w:ascii="Times New Roman" w:eastAsiaTheme="minorEastAsia" w:hAnsi="Times New Roman" w:cs="Times New Roman"/>
          <w:sz w:val="24"/>
          <w:szCs w:val="24"/>
        </w:rPr>
        <w:t xml:space="preserve"> the actors’ network diversity, density, or connectivity through direct or indirect ties (i.e., role of boundary spanner) and can have a great impact on the enactment of core knowledgeabilities. Such findings respond to recent research that calls into question the value of dynamics of inter-organisational networks on knowledge management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{"citationID":"lXNskvAD","properties":{"formattedCitation":"(Ahuja et al., 2012; Clegg et al., 2016)","plainCitation":"(Ahuja et al., 2012; Clegg et al., 2016)","noteIndex":0},"citationItems":[{"id":10019,"uris":["http://zotero.org/users/5709166/items/JJ8LW6KE"],"itemData":{"id":10019,"type":"article-journal","abstract":"An extensive body of knowledge exists on network outcomes and on how network structures may contribute to the creation of outcomes at different levels of analysis, but less attention has been paid to understanding how and why organizational networks emerge, evolve, and change. Improved understanding of network dynamics is important for several reasons, perhaps the most critical being that the understanding of network outcomes is only partial without an appreciation of the genesis of the network structures that resulted in such outcomes. To provide a context for the papers in this special issue, and with the broader goal of furthering network dynamics research, we present a framework that begins by discussing the meaning and role of network dynamics and goes on to identify the drivers and key dimensions of network change as well as the role of time in this process. We conclude with theoretical and methodological issues that researchers need to address in this domain.","container-title":"Organization Science","DOI":"10.1287/orsc.1110.0695","ISSN":"1047-7039, 1526-5455","issue":"2","journalAbbreviation":"Organization Science","language":"en","page":"434-448","source":"DOI.org (Crossref)","title":"The Genesis and Dynamics of Organizational Networks","volume":"23","author":[{"family":"Ahuja","given":"Gautam"},{"family":"Soda","given":"Giuseppe"},{"family":"Zaheer","given":"Akbar"}],"issued":{"date-parts":[["2012",4]]}},"label":"page"},{"id":10269,"uris":["http://zotero.org/users/5709166/items/BQAT25KC"],"itemData":{"id":10269,"type":"article-journal","abstract":"The emergence and proliferation of network forms of organization has sparked interest and debate in organization studies. We have learned much about the effects of networks but our understanding of how they are formed, how they change, and how networks can themselves possess agential properties that make them complex social actants is limited. In selecting papers for this special issu</w:instrText>
      </w:r>
      <w:r w:rsidRPr="00F153F6">
        <w:rPr>
          <w:rFonts w:ascii="Times New Roman" w:eastAsiaTheme="minorEastAsia" w:hAnsi="Times New Roman" w:cs="Times New Roman"/>
          <w:sz w:val="24"/>
          <w:szCs w:val="24"/>
          <w:lang w:val="fr-FR"/>
        </w:rPr>
        <w:instrText xml:space="preserve">e, we were persuaded by arguments that our understanding of networks and their transformative power can benefit from greater attention to culture and discourse, which provide meaning and direction to network participants and are indispensable agentic resources. The special issue contains two sets of papers. The first set debates the articulation between the organized and emergent dynamics of networks and its impact on knowledge exchanges and innovation. The second set seeks to inform our understanding of the manifestations of power in network dynamics. For each section, we provide a tentative research agenda. Our hope is that this special issue will both advance our ability to conceptualize, measure and manage network evolution and enhance our understanding of the transformative impact of network dynamics on organizations and society.","container-title":"Organization Studies","DOI":"10.1177/0170840616629047","ISSN":"0170-8406","issue":"3","language":"en","note":"publisher: SAGE Publications Ltd","page":"277-291","source":"SAGE Journals","title":"The Transformative Power of Network Dynamics: A Research Agenda","title-short":"The Transformative Power of Network Dynamics","volume":"37","author":[{"family":"Clegg","given":"Stewart"},{"family":"Josserand","given":"Emmanuel"},{"family":"Mehra","given":"Ajay"},{"family":"Pitsis","given":"Tyrone S."}],"issued":{"date-parts":[["2016",3,1]]}}}],"schema":"https://github.com/citation-style-language/schema/raw/master/csl-citation.json"}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lang w:val="fr-FR"/>
        </w:rPr>
        <w:t>(Ahuja et al., 2012; Clegg et al., 2016)</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lang w:val="fr-FR"/>
        </w:rPr>
        <w:t xml:space="preserve">. For </w:t>
      </w:r>
      <w:r w:rsidR="00F153F6">
        <w:rPr>
          <w:rFonts w:ascii="Times New Roman" w:eastAsiaTheme="minorEastAsia" w:hAnsi="Times New Roman" w:cs="Times New Roman"/>
          <w:sz w:val="24"/>
          <w:szCs w:val="24"/>
          <w:lang w:val="fr-FR"/>
        </w:rPr>
        <w:t>e</w:t>
      </w:r>
      <w:r w:rsidR="00F153F6" w:rsidRPr="00F153F6">
        <w:rPr>
          <w:rFonts w:ascii="Times New Roman" w:eastAsiaTheme="minorEastAsia" w:hAnsi="Times New Roman" w:cs="Times New Roman"/>
          <w:sz w:val="24"/>
          <w:szCs w:val="24"/>
          <w:lang w:val="fr-FR"/>
        </w:rPr>
        <w:t>xample</w:t>
      </w:r>
      <w:r w:rsidRPr="00F153F6">
        <w:rPr>
          <w:rFonts w:ascii="Times New Roman" w:eastAsiaTheme="minorEastAsia" w:hAnsi="Times New Roman" w:cs="Times New Roman"/>
          <w:sz w:val="24"/>
          <w:szCs w:val="24"/>
          <w:lang w:val="fr-FR"/>
        </w:rPr>
        <w:t xml:space="preserve">, McEvily et al.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lang w:val="fr-FR"/>
        </w:rPr>
        <w:instrText xml:space="preserve"> ADDIN ZOTERO_ITEM CSL_CITATION {"citationID":"6wsdaiE3","properties":{"formattedCitation":"(2012)","plainCitation":"(2012)","noteIndex":0},"citationItems":[{"id":10024,"uris":["http://zotero.org/users/5709166/items/SAD5GBF7"],"itemData":{"id":10024,"type":"article-journal","abstract":"In this paper we focus on the temporal and historical conditions under which bridging ties from the past affect current organizational outcomes. Whereas previous research has shown that bridging ties have high decay rates and short-term effects, we explore the possibility that bridging ties may produce benefits over an extended period of time. In particular, we contrast the conventional view of bridging ties having rapidly decaying effects with two alternative network</w:instrText>
      </w:r>
      <w:r w:rsidRPr="00F153F6">
        <w:rPr>
          <w:rFonts w:ascii="Times New Roman" w:eastAsiaTheme="minorEastAsia" w:hAnsi="Times New Roman" w:cs="Times New Roman"/>
          <w:sz w:val="24"/>
          <w:szCs w:val="24"/>
        </w:rPr>
        <w:instrText xml:space="preserve"> dynamics suggesting “accumulating” and “imprinting” effects. We propose that bridging ties have accumulating effects as a result of learning and redeployment of cumulated knowledge. We also predict that bridging ties exhibit an imprinted effect whereby the founding conditions surrounding the formation of some, but not all, ties yield long-lasting network benefits. We test our theory in the context of Nashville's legal industry, studying the formation and evolution of the professional network of lawyers' coemployment ties between 1933 and 1978. Consistent with our theory, we find that bridging ties produce network benefits over an extended period of time and trace back to the point of tie formation. Surprisingly, we also find that the imprinted effect is more robust than the rapidly decaying effect of bridging ties.","container-title":"Organization Science","DOI":"10.1287/orsc.1100.0633","ISSN":"1047-7039","issue":"2","note":"publisher: INFORMS","page":"547-563","source":"pubsonline.informs.org (Atypon)","title":"Not All Bridging Ties Are Equal: Network Imprinting and Firm Growth in the Nashville Legal Industry, 1933–1978","title-short":"Not All Bridging Ties Are Equal","volume":"23","author":[{"family":"McEvily","given":"Bill"},{"family":"Jaffee","given":"Jonathan"},{"family":"Tortoriello","given":"Marco"}],"issued":{"date-parts":[["2012",4]]}},"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(2012)</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argue that bridging ties exhibit both accumulating and imprinting effects on knowledge accumulation with long-lasting benefits. This study confirms this which shows that the enactment of interactive learning may require actors’ bridging activities, which afford inter-connecting knowledgeability, to enable them to understand each other’s expertise effectively. By signalling the inter-connecting knowledgeability as an important condition for the development of actors’ core knowledgeabilities, the present study further emphasises the value of studying the inter-organisational network dynamics and their effects for knowledge management and organisation studies. </w:t>
      </w:r>
    </w:p>
    <w:p w14:paraId="4F848E06" w14:textId="528D160C" w:rsidR="00CF539F"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lastRenderedPageBreak/>
        <w:t xml:space="preserve">The co-ordinating knowledgeability is the result of the enactment of core knowledgeabilities. Co-ordinating knowledgeability reflects how actors employ their knowledge in how to influence project performance. The way actor’s co-ordinate project activities and direct their performance reflects the process of organising knowledge management activities. We find that such knowledgeability is the result of the enactment of core knowledgeabilities. This implies that the enactment of core knowledgeabilities has a significant consequence upon which coordinating is enacted to direct future project development. This is in line with earlier findings whereby Blecker and Neumann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{"citationID":"ZT9AKLbF","properties":{"formattedCitation":"(2000)","plainCitation":"(2000)","noteIndex":0},"citationItems":[{"id":2100,"uris":["http://zotero.org/users/5709166/items/788EA66A"],"itemData":{"id":2100,"type":"paper-conference","abstract":"Copyright © 2000, Idea Group Publishing. New organizational approaches like Virtual Organizations have the potential to provide the flexibility and to reduce the complexity and risk of management necessary to survive in the actual economic environment. A crucial factor for gaining and sustaining competitive advantages in the current economic environment is knowledge. The management of knowledge has been extensively discussed during the past few years. However, there is still a considerable lack of research that addresses innovative ways of managing the transfer of knowledge, best-practices and competence between organizations. In order to partially overcome these conceptual deficiencies we introduce the concept of an Interorganizational Knowledge Management and discuss its implications on knowledge oriented strategic management in Virtual Organizations.","DOI":"10.4018/978-1-930708-65-5.ch004","source":"Semantic Scholar","title":"Interorganizational Knowledge Management: Some Perspectives for Knowledge Oriented Strategic Management in Virtual Organizations","title-short":"Interorganizational Knowledge Management","author":[{"family":"Blecker","given":"Thorsten"},{"family":"Neumann","given":"Robert"}],"issued":{"date-parts":[["2000"]]}},"label":"page","suppress-author":true}],"schema":"https://github.com/citation-style-language/schema/raw/master/csl-citation.json"}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(2000)</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argue that the organisation of a knowledge intensive process allows actors to reflect upon their previous experiences and evolve new patterns of knowledge exchange activities. Therefore, how knowledge management activities are organised plays an important normative role in inter-organisational knowledge management and learning. This normative role of the organisation process is informed and a result of the identification process (this has a strategic role in inter-organisational knowledge management) where the existing knowledge is diagnosed and new knowledge is identified </w:t>
      </w:r>
      <w:r w:rsidRPr="00F153F6">
        <w:rPr>
          <w:rFonts w:ascii="Times New Roman" w:hAnsi="Times New Roman" w:cs="Times New Roman"/>
          <w:iCs/>
          <w:sz w:val="24"/>
          <w:szCs w:val="24"/>
        </w:rPr>
        <w:fldChar w:fldCharType="begin"/>
      </w:r>
      <w:r w:rsidRPr="00F153F6">
        <w:rPr>
          <w:rFonts w:ascii="Times New Roman" w:hAnsi="Times New Roman" w:cs="Times New Roman"/>
          <w:iCs/>
          <w:sz w:val="24"/>
          <w:szCs w:val="24"/>
        </w:rPr>
        <w:instrText xml:space="preserve"> ADDIN ZOTERO_ITEM CSL_CITATION {"citationID":"2Hw8nqvA","properties":{"formattedCitation":"(Blecker &amp; Neumann, 2000)","plainCitation":"(Blecker &amp; Neumann, 2000)","noteIndex":0},"citationItems":[{"id":2100,"uris":["http://zotero.org/users/5709166/items/788EA66A"],"itemData":{"id":2100,"type":"paper-conference","abstract":"Copyright © 2000, Idea Group Publishing. New organizational approaches like Virtual Organizations have the potential to provide the flexibility and to reduce the complexity and risk of management necessary to survive in the actual economic environment. A crucial factor for gaining and sustaining competitive advantages in the current economic environment is knowledge. The management of knowledge has been extensively discussed during the past few years. However, there is still a considerable lack of research that addresses innovative ways of managing the transfer of knowledge, best-practices and competence between organizations. In order to partially overcome these conceptual deficiencies we introduce the concept of an Interorganizational Knowledge Management and discuss its implications on knowledge oriented strategic management in Virtual Organizations.","DOI":"10.4018/978-1-930708-65-5.ch004","source":"Semantic Scholar","title":"Interorganizational Knowledge Management: Some Perspectives for Knowledge Oriented Strategic Management in Virtual Organizations","title-short":"Interorganizational Knowledge Management","author":[{"family":"Blecker","given":"Thorsten"},{"family":"Neumann","given":"Robert"}],"issued":{"date-parts":[["2000"]]}},"label":"page"}],"schema":"https://github.com/citation-style-language/schema/raw/master/csl-citation.json"} </w:instrText>
      </w:r>
      <w:r w:rsidRPr="00F153F6">
        <w:rPr>
          <w:rFonts w:ascii="Times New Roman" w:hAnsi="Times New Roman" w:cs="Times New Roman"/>
          <w:iCs/>
          <w:sz w:val="24"/>
          <w:szCs w:val="24"/>
        </w:rPr>
        <w:fldChar w:fldCharType="separate"/>
      </w:r>
      <w:r w:rsidRPr="00F153F6">
        <w:rPr>
          <w:rFonts w:ascii="Times New Roman" w:hAnsi="Times New Roman" w:cs="Times New Roman"/>
          <w:sz w:val="24"/>
          <w:szCs w:val="24"/>
        </w:rPr>
        <w:t>(Blecker &amp; Neumann, 2000)</w:t>
      </w:r>
      <w:r w:rsidRPr="00F153F6">
        <w:rPr>
          <w:rFonts w:ascii="Times New Roman" w:hAnsi="Times New Roman" w:cs="Times New Roman"/>
          <w:iCs/>
          <w:sz w:val="24"/>
          <w:szCs w:val="24"/>
        </w:rPr>
        <w:fldChar w:fldCharType="end"/>
      </w:r>
      <w:r w:rsidRPr="00F153F6">
        <w:rPr>
          <w:rFonts w:ascii="Times New Roman" w:eastAsiaTheme="minorEastAsia" w:hAnsi="Times New Roman" w:cs="Times New Roman"/>
          <w:sz w:val="24"/>
          <w:szCs w:val="24"/>
        </w:rPr>
        <w:t>.</w:t>
      </w:r>
    </w:p>
    <w:p w14:paraId="0EF3A808" w14:textId="0E7688E1" w:rsidR="0015201A" w:rsidRPr="00F153F6" w:rsidRDefault="0015201A" w:rsidP="004424B4">
      <w:pPr>
        <w:spacing w:line="360" w:lineRule="auto"/>
        <w:jc w:val="both"/>
        <w:rPr>
          <w:rFonts w:ascii="Times New Roman" w:eastAsiaTheme="minorEastAsia" w:hAnsi="Times New Roman" w:cs="Times New Roman"/>
          <w:b/>
          <w:bCs/>
          <w:sz w:val="24"/>
          <w:szCs w:val="24"/>
        </w:rPr>
      </w:pPr>
      <w:r w:rsidRPr="00F153F6">
        <w:rPr>
          <w:rFonts w:ascii="Times New Roman" w:eastAsiaTheme="minorEastAsia" w:hAnsi="Times New Roman" w:cs="Times New Roman"/>
          <w:b/>
          <w:bCs/>
          <w:sz w:val="24"/>
          <w:szCs w:val="24"/>
        </w:rPr>
        <w:t xml:space="preserve">Role of </w:t>
      </w:r>
      <w:r w:rsidR="00964DE8" w:rsidRPr="00F153F6">
        <w:rPr>
          <w:rFonts w:ascii="Times New Roman" w:eastAsiaTheme="minorEastAsia" w:hAnsi="Times New Roman" w:cs="Times New Roman"/>
          <w:b/>
          <w:bCs/>
          <w:sz w:val="24"/>
          <w:szCs w:val="24"/>
        </w:rPr>
        <w:t>ICT</w:t>
      </w:r>
      <w:r w:rsidRPr="00F153F6">
        <w:rPr>
          <w:rFonts w:ascii="Times New Roman" w:eastAsiaTheme="minorEastAsia" w:hAnsi="Times New Roman" w:cs="Times New Roman"/>
          <w:b/>
          <w:bCs/>
          <w:sz w:val="24"/>
          <w:szCs w:val="24"/>
        </w:rPr>
        <w:t xml:space="preserve"> in the Overall Project  </w:t>
      </w:r>
    </w:p>
    <w:p w14:paraId="7AF5D0FD" w14:textId="07895EE1"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Through the lens of ICT affordances and constraints, the findings indicate that the changes of ICT use with different purposes are crucial in enabling or inhibiting the enactment of knowledgeabilities in ICT-based IOKE practices. As a relational construct, ICT affordance and constraint are developed as actors engage in project knowledgeable activities with particular purposes and how they use </w:t>
      </w:r>
      <w:r w:rsidR="00964DE8" w:rsidRPr="00F153F6">
        <w:rPr>
          <w:rFonts w:ascii="Times New Roman" w:eastAsiaTheme="minorEastAsia" w:hAnsi="Times New Roman" w:cs="Times New Roman"/>
          <w:sz w:val="24"/>
          <w:szCs w:val="24"/>
        </w:rPr>
        <w:t>ICT</w:t>
      </w:r>
      <w:r w:rsidRPr="00F153F6">
        <w:rPr>
          <w:rFonts w:ascii="Times New Roman" w:eastAsiaTheme="minorEastAsia" w:hAnsi="Times New Roman" w:cs="Times New Roman"/>
          <w:sz w:val="24"/>
          <w:szCs w:val="24"/>
        </w:rPr>
        <w:t xml:space="preserve"> to achieve these purposes </w:t>
      </w:r>
      <w:r w:rsidRPr="00F153F6">
        <w:rPr>
          <w:rFonts w:ascii="Times New Roman" w:eastAsiaTheme="minorEastAsia" w:hAnsi="Times New Roman" w:cs="Times New Roman"/>
          <w:sz w:val="24"/>
          <w:szCs w:val="24"/>
        </w:rPr>
        <w:fldChar w:fldCharType="begin"/>
      </w:r>
      <w:r w:rsidR="00B73834" w:rsidRPr="00F153F6">
        <w:rPr>
          <w:rFonts w:ascii="Times New Roman" w:eastAsiaTheme="minorEastAsia" w:hAnsi="Times New Roman" w:cs="Times New Roman"/>
          <w:sz w:val="24"/>
          <w:szCs w:val="24"/>
        </w:rPr>
        <w:instrText xml:space="preserve"> ADDIN ZOTERO_ITEM CSL_CITATION {"citationID":"rO4m69So","properties":{"formattedCitation":"(Leonardi, 2011a; Majchrzak &amp; Markus, 2012)","plainCitation":"(Leonardi, 2011a; Majchrzak &amp; Markus, 2012)","noteIndex":0},"citationItems":[{"id":143,"uris":["http://zotero.org/users/5709166/items/HGCGFAQC"],"itemData":{"id":143,"type":"article-journal","container-title":"MIS Quarterly","DOI":"10.2307/23043493","ISSN":"02767783","issue":"1","journalAbbreviation":"MIS Quarterly","page":"147","source":"DOI.org (Crossref)","title":"When Flexible Routines Meet Flexible Technologies: Affordance, Constraint, and the Imbrication of Human and Material Agencies","title-short":"When Flexible Routines Meet Flexible Technologies","volume":"35","author":[{"literal":"Leonardi"}],"issued":{"date-parts":[["2011"]]}}},{"id":2500,"uris":["http://zotero.org/users/5709166/items/7DLIZ7FX"],"itemData":{"id":2500,"type":"entry-encyclopedia","container-title":"Encyclopedia of Management Theory","language":"en","publisher":"Sage Publications","source":"Zotero","title":"TECHNOLOGY AFFORDANCES AND CONSTRAINTS IN MANAGEMENT INFORMATION SYSTEMS (MIS)","author":[{"family":"Majchrzak","given":"A"},{"family":"Markus","given":"M L"}],"issued":{"date-parts":[["2012"]]}}}],"schema":"https://github.com/citation-style-language/schema/raw/master/csl-citation.json"}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00B73834" w:rsidRPr="00F153F6">
        <w:rPr>
          <w:rFonts w:ascii="Times New Roman" w:hAnsi="Times New Roman" w:cs="Times New Roman"/>
          <w:sz w:val="24"/>
          <w:szCs w:val="24"/>
        </w:rPr>
        <w:t>(Leonardi, 2011; Majchrzak &amp; Markus, 2012)</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The findings suggest that as inter-organisational collaboration is developed, the purposes of the interactions for knowledge exchange evolve with the use of </w:t>
      </w:r>
      <w:r w:rsidR="00964DE8" w:rsidRPr="00F153F6">
        <w:rPr>
          <w:rFonts w:ascii="Times New Roman" w:eastAsiaTheme="minorEastAsia" w:hAnsi="Times New Roman" w:cs="Times New Roman"/>
          <w:sz w:val="24"/>
          <w:szCs w:val="24"/>
        </w:rPr>
        <w:t>ICT</w:t>
      </w:r>
      <w:r w:rsidRPr="00F153F6">
        <w:rPr>
          <w:rFonts w:ascii="Times New Roman" w:eastAsiaTheme="minorEastAsia" w:hAnsi="Times New Roman" w:cs="Times New Roman"/>
          <w:sz w:val="24"/>
          <w:szCs w:val="24"/>
        </w:rPr>
        <w:t xml:space="preserve">, which demonstrates a co-evolution of knowledgeabilities and ICT affordance/constraints. It is found that actors are continually adjusting their use of </w:t>
      </w:r>
      <w:r w:rsidR="00964DE8" w:rsidRPr="00F153F6">
        <w:rPr>
          <w:rFonts w:ascii="Times New Roman" w:eastAsiaTheme="minorEastAsia" w:hAnsi="Times New Roman" w:cs="Times New Roman"/>
          <w:sz w:val="24"/>
          <w:szCs w:val="24"/>
        </w:rPr>
        <w:t>ICT</w:t>
      </w:r>
      <w:r w:rsidRPr="00F153F6">
        <w:rPr>
          <w:rFonts w:ascii="Times New Roman" w:eastAsiaTheme="minorEastAsia" w:hAnsi="Times New Roman" w:cs="Times New Roman"/>
          <w:sz w:val="24"/>
          <w:szCs w:val="24"/>
        </w:rPr>
        <w:t xml:space="preserve"> as they perceive their abilities being afforded or constrained, to meet the needs for the development of project activities where knowledge emerges. </w:t>
      </w:r>
    </w:p>
    <w:p w14:paraId="41F62F9C" w14:textId="11241E82"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findings suggest that the use of ICT afford actors displaying, flexibility, and learning ahead abilities, which facilitate the enactment of interactive learning knowledgeability. This resembles findings in the extant literature that depicts the enabling role of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in the enactment of interactive learning knowledgeability but may provide different implications. For example, </w:t>
      </w:r>
      <w:r w:rsidRPr="00F153F6">
        <w:rPr>
          <w:rFonts w:ascii="Times New Roman" w:eastAsiaTheme="minorEastAsia" w:hAnsi="Times New Roman" w:cs="Times New Roman"/>
          <w:sz w:val="24"/>
          <w:szCs w:val="24"/>
        </w:rPr>
        <w:t xml:space="preserve">Gibson et al.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{"citationID":"egHaBG0r","properties":{"formattedCitation":"(2021)","plainCitation":"(2021)","noteIndex":0},"citationItems":[{"id":9799,"uris":["http://zotero.org/users/5709166/items/2MGCEYF6"],"itemData":{"id":9799,"type":"article-journal","abstract":"Despite the dynamic nature of knowledge-related activities and the availability of a variety of communication technologies, many global teams habitually use technology in the same way across activities. However, as teams move through cycles of accumulating, integrating, and implementing knowledge, the purposes for communication technologies change. Current theorizing and empirical work on team knowledge management has yet to develop a dynamic theory that incorporates these changes. By conducting a multiwave, mixed method analysis of 48 global teams, we develop a theory of how global teams sustain effectiveness through technology affordance processes. We found that effective teams are those that recognize cues indicating change is necessary and coevolve a symbiosis between new activities, new purposes for interaction, and new uses of communication technologies. This coevolution of purpose with technology use forms new affordances, which enable the team to move on to new knowledge management activities and sustain effectiveness. Our theory more realistically models the dynamics of staying connected while sharing, combining, and implementing knowledge across the globe.","container-title":"Organization Science","DOI":"10.1287/orsc.2021.1478","ISSN":"1047-7039, 1526-5455","journalAbbreviation":"Organization Science","language":"en","page":"orsc.2021.1478","source":"DOI.org (Crossref)","title":"Sustaining Effectiveness in Global Teams: The Coevolution of Knowledge Management Activities and Technology Affordances","title-short":"Sustaining Effectiveness in Global Teams","author":[{"family":"Gibson","given":"Cristina B."},{"family":"Dunlop","given":"Patrick D."},{"family":"Majchrzak","given":"Ann"},{"family":"Chia","given":"Terence"}],"issued":{"date-parts":[["2021",8,11]]}},"label":"page","suppress-author":true}],"schema":"https://github.com/citation-style-language/schema/raw/master/csl-citation.json"}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(2021)</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identifies three technology affordances that are essential for project works: </w:t>
      </w:r>
      <w:r w:rsidRPr="00F153F6">
        <w:rPr>
          <w:rFonts w:ascii="Times New Roman" w:eastAsiaTheme="minorEastAsia" w:hAnsi="Times New Roman" w:cs="Times New Roman"/>
          <w:sz w:val="24"/>
          <w:szCs w:val="24"/>
        </w:rPr>
        <w:lastRenderedPageBreak/>
        <w:t xml:space="preserve">collective attention focusing, collective sense making, and public collective codification, which are adopted by project stakeholders to enable their knowledge accumulation, integration, and implementation respectively. </w:t>
      </w:r>
      <w:r w:rsidRPr="00F153F6">
        <w:rPr>
          <w:rFonts w:ascii="Times New Roman" w:hAnsi="Times New Roman" w:cs="Times New Roman"/>
          <w:sz w:val="24"/>
          <w:szCs w:val="24"/>
        </w:rPr>
        <w:t xml:space="preserve">According to their work, the use of power point slides visualises rich information that keep actors focused on the content such that actors are able to accumulate their knowledge, which is described as ICT afforded attention focusing ability. However, in the present study, the findings suggest that this is identified as ICT afforded displaying ability, as actors demonstrate rich information with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for others to view in order to guide them to learn and absorb new expertise. In this case the present study reconceptualises the effects of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in facilitating learning in knowledge exchange practice through affording displaying ability, which contributes to the ICT-enabled knowledge management studies. In addition, </w:t>
      </w:r>
      <w:r w:rsidRPr="00F153F6">
        <w:rPr>
          <w:rFonts w:ascii="Times New Roman" w:eastAsiaTheme="minorEastAsia" w:hAnsi="Times New Roman" w:cs="Times New Roman"/>
          <w:sz w:val="24"/>
          <w:szCs w:val="24"/>
        </w:rPr>
        <w:t xml:space="preserve">this study also bears resemblance with their findings, such as instant workaround ability afforded by </w:t>
      </w:r>
      <w:r w:rsidR="00964DE8" w:rsidRPr="00F153F6">
        <w:rPr>
          <w:rFonts w:ascii="Times New Roman" w:eastAsiaTheme="minorEastAsia" w:hAnsi="Times New Roman" w:cs="Times New Roman"/>
          <w:sz w:val="24"/>
          <w:szCs w:val="24"/>
        </w:rPr>
        <w:t>ICT</w:t>
      </w:r>
      <w:r w:rsidRPr="00F153F6">
        <w:rPr>
          <w:rFonts w:ascii="Times New Roman" w:eastAsiaTheme="minorEastAsia" w:hAnsi="Times New Roman" w:cs="Times New Roman"/>
          <w:sz w:val="24"/>
          <w:szCs w:val="24"/>
        </w:rPr>
        <w:t xml:space="preserve"> corresponding to collective sense making technology affordance in facilitating the exploitation of collective insights. </w:t>
      </w:r>
    </w:p>
    <w:p w14:paraId="71D563ED" w14:textId="2BB5D918"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findings also suggest that the use of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afford actors instant workaround, sticking, flexibility, cross-referencing and reviewing abilities, which facilitate the enactment of co-creating knowledgeability. This echoes studies in</w:t>
      </w:r>
      <w:r w:rsidRPr="00F153F6" w:rsidDel="003510AB">
        <w:rPr>
          <w:rFonts w:ascii="Times New Roman" w:hAnsi="Times New Roman" w:cs="Times New Roman"/>
          <w:sz w:val="24"/>
          <w:szCs w:val="24"/>
        </w:rPr>
        <w:t xml:space="preserve"> </w:t>
      </w:r>
      <w:r w:rsidRPr="00F153F6">
        <w:rPr>
          <w:rFonts w:ascii="Times New Roman" w:hAnsi="Times New Roman" w:cs="Times New Roman"/>
          <w:sz w:val="24"/>
          <w:szCs w:val="24"/>
        </w:rPr>
        <w:t xml:space="preserve">the extant literature focusing on the positive impact of ICT on ICT-based IOKE practice. For example, Majchrzak et al.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{"citationID":"5ZJkEqUZ","properties":{"formattedCitation":"(2013)","plainCitation":"(2013)","noteIndex":0},"citationItems":[{"id":10266,"uris":["http://zotero.org/users/5709166/items/JNTJRXRN"],"itemData":{"id":10266,"type":"article-journal","abstract":"The use of social media creates the opportunity to turn organization-wide knowledge sharing in the workplace from an intermittent, centralized knowledge management process to a continuous online knowledge conversation of strangers, unexpected interpretations and re-uses, and dynamic emergence. We theorize four affordances of social media representing different ways to engage in this publicly visible knowledge conversations: metavoicing, triggered attending, network-informed associating, and generative role-taking. We further theorize mechanisms that affect how people engage in the knowledge conversation, ﬁnding that some mechanisms, when activated, will have positive effects on moving the knowledge conversation forward, but others will have adverse consequences not intended by the organization. These emergent tensions become the basis for the implications we draw.","container-title":"Journal of Computer-Mediated Communication","DOI":"10.1111/jcc4.12030","ISSN":"10836101","issue":"1","journalAbbreviation":"J Comput-Mediat Comm","language":"en","page":"38-55","source":"DOI.org (Crossref)","title":"The Contradictory Influence of Social Media Affordances on Online Communal Knowledge Sharing","volume":"19","author":[{"family":"Majchrzak","given":"Ann"},{"family":"Faraj","given":"Samer"},{"family":"Kane","given":"Gerald C."},{"family":"Azad","given":"Bijan"}],"issued":{"date-parts":[["2013",10]]}},"label":"page","suppress-author":true}],"schema":"https://github.com/citation-style-language/schema/raw/master/csl-citation.json"}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(2013)</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introduce the meta voicing affordance of social media that allow actors to react on each other’s presence and activities and thus develop innovations. This bears resemblance with the proposed notion of instant workaround and sticking abilities which facilitate actors’ enactment of co-creating knowledgeability, while the proposed notion of instant workaround puts more emphasis on the timely responses that can further enhance the effectiveness of innovation. Extant literature also suggests that the use of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such as YouTube, allow actors to rewatch videos several times over so that they are able to explore new insights and stimulate innovation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{"citationID":"rWR1T6T0","properties":{"formattedCitation":"(Saide &amp; Sheng, 2021)","plainCitation":"(Saide &amp; Sheng, 2021)","noteIndex":0},"citationItems":[{"id":10268,"uris":["http://zotero.org/users/5709166/items/UBKUHA74"],"itemData":{"id":10268,"type":"article-journal","abstract":"Education institution closure is considered as an eﬀective way to prevent coronavirus (COVID-19) pandemic. However, there are several challenges concerning teaching and learning activities (knowledge transfer) in crisis times such a COVID-19. This study aims to provide a holistic view of knowledge transfer and information technology scenario in the education sector during COVID-19 or another uncertain environment. A systematic literature review was conducted by several search techniques such as study selection, synthesis of papers, and reporting the results. A total of 290 peer-reviewed research studies were carried out. These articles were ﬁltered, and 51 relevant articles were selected. The study mainly contributes by illustrating the schema or scenario of eﬀective knowledge transfer of the teaching–learning process in the context of coronavirus crisis through maximising the information technology (IT) tools and knowledge management (KM) approach. Several factors namely IT tools of remote and online learning, knowledge exploration–exploitation, education’s knowledge types (tacit-explicit knowledge), and internal–external knowledge in education were identiﬁed. The study further provides the new paradigm for future study. Additionally, several concepts and theories were merged, namely SECI theory and ambidexterity view (knowledge exploration and knowledge exploitation). Future studies may extend the research area to diﬀerent types of organisations and extend this model into empirical tests.","container-title":"Technology Analysis &amp; Strategic Management","DOI":"10.1080/09537325.2020.1854714","ISSN":"0953-7325, 1465-3990","issue":"8","journalAbbreviation":"Technology Analysis &amp; Strategic Management","language":"en","page":"927-942","source":"DOI.org (Crossref)","title":"Knowledge exploration–exploitation and information technology: crisis management of teaching–learning scenario in the COVID-19 outbreak","title-short":"Knowledge exploration–exploitation and information technology","volume":"33","author":[{"family":"Saide","given":"Saide"},{"family":"Sheng","given":"Margaret L."}],"issued":{"date-parts":[["2021",8,3]]}}}],"schema":"https://github.com/citation-style-language/schema/raw/master/csl-citation.json"}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(Saide &amp; Sheng, 2021)</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Such a positive impact of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is confirmed by the reviewing abilities afforded by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identified in the present study which allow actors’ enactment of co-creating knowledgeability. </w:t>
      </w:r>
    </w:p>
    <w:p w14:paraId="74E9C233" w14:textId="43814DA9"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Furthermore, the present study also suggests that the effects of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in the enactment of knowledgeabilities can change across different project stages. This bears resemblance with prior studies that suggest an evolution view of affordance </w:t>
      </w:r>
      <w:r w:rsidRPr="00F153F6">
        <w:rPr>
          <w:rFonts w:ascii="Times New Roman" w:hAnsi="Times New Roman" w:cs="Times New Roman"/>
          <w:sz w:val="24"/>
          <w:szCs w:val="24"/>
        </w:rPr>
        <w:fldChar w:fldCharType="begin"/>
      </w:r>
      <w:r w:rsidR="00B73834" w:rsidRPr="00F153F6">
        <w:rPr>
          <w:rFonts w:ascii="Times New Roman" w:hAnsi="Times New Roman" w:cs="Times New Roman"/>
          <w:sz w:val="24"/>
          <w:szCs w:val="24"/>
        </w:rPr>
        <w:instrText xml:space="preserve"> ADDIN ZOTERO_ITEM CSL_CITATION {"citationID":"CC8O4Kjw","properties":{"formattedCitation":"(C. B. Gibson et al., 2021; Groshek &amp; Tandoc, 2016; Humphreys et al., 2013)","plainCitation":"(C. B. Gibson et al., 2021; Groshek &amp; Tandoc, 2016; Humphreys et al., 2013)","dontUpdate":true,"noteIndex":0},"citationItems":[{"id":9799,"uris":["http://zotero.org/users/5709166/items/2MGCEYF6"],"itemData":{"id":9799,"type":"article-journal","abstract":"Despite the dynamic nature of knowledge-related activities and the availability of a variety of communication technologies, many global teams habitually use technology in the same way across activities. However, as teams move through cycles of accumulating, integrating, and implementing knowledge, the purposes for communication technologies change. Current theorizing and empirical work on team knowledge management has yet to develop a dynamic theory that incorporates these changes. By conducting a multiwave, mixed method analysis of 48 global teams, we develop a theory of how global teams sustain effectiveness through technology affordance processes. We found that effective teams are those that recognize cues indicating change is necessary and coevolve a symbiosis between new activities, new purposes for interaction, and new uses of communication technologies. This coevolution of purpose with technology use forms new affordances, which enable the team to move on to new knowledge management activities and sustain effectiveness. Our theory more realistically models the dynamics of staying connected while sharing, combining, and implementing knowledge across the globe.","container-title":"Organization Science","DOI":"10.1287/orsc.2021.1478","ISSN":"1047-7039, 1526-5455","journalAbbreviation":"Organization Science","language":"en","page":"orsc.2021.1478","source":"DOI.org (Crossref)","title":"Sustaining Effectiveness in Global Teams: The Coevolution of Knowledge Management Activities and Technology Affordances","title-short":"Sustaining Effectiveness in Global Teams","author":[{"family":"Gibson","given":"Cristina B."},{"family":"Dunlop","given":"Patrick D."},{"family":"Majchrzak","given":"Ann"},{"family":"Chia","given":"Terence"}],"issued":{"date-parts":[["2021",8,11]]}}},{"id":10365,"uris":["http://zotero.org/users/5709166/items/WE5GX5Y2"],"itemData":{"id":10365,"type":"paper-conference","abstract":"This study examines contemporary gatekeeping as it intersects with the evolving technological affordances of social media platforms and the ongoing negotiation of professionalized journalistic norms and routines in contentious politics. Beginning with a corpus of just over 4.2 million Tweets about the racially charged Ferguson, Missouri protests, a series of network analyses were applied to track shifts over time and to identify influential actors in this communicative space. These models informed further analyses that indicated legacy news organizations and affiliated journalists were least present and only marginally engaged in covering these events, and that other users on Twitter emerged as far more prominent gatekeepers. Methodological considerations and implications about the importance of dialogic and reciprocal activities for journalism are discussed in building on previous theorizing.","container-title":"Proceedings of the 7th 2016 International Conference on Social Media &amp; Society - SMSociety '16","DOI":"10.1145/2930971.2930993","event-place":"London, United Kingdom","event-title":"the 7th 2016 International Conference","ISBN":"978-1-4503-3938-4","language":"en","page":"1-10","publisher":"ACM Press","publisher-place":"London, United Kingdom","source":"DOI.org (Crossref)","title":"The affordance effect: Gatekeeping and (non)reciprocal journalism on Twitter","title-short":"The affordance effect","URL":"http://dl.acm.org/citation.cfm?doid=2930971.2930993","author":[{"family":"Groshek","given":"Jacob"},{"family":"Tandoc","given":"Edson"}],"accessed":{"date-parts":[["2022",11,2]]},"issued":{"date-parts":[["2016"]]}}},{"id":10363,"uris":["http://zotero.org/users/5709166/items/C38HJRMN"],"itemData":{"id":10363,"type":"article-journal","abstract":"Technological convergence has led to the ability to access the internet from a variety of mobile devices. Drawing on the Mobile Phone Appropriation Model (Wirth, von Pape &amp; Karnowski, 2008), we sought to understand how people conceptualize and use the mobile internet by conducting semistructured interviews with 21 mobile internet users, half American and half German in order to explore cross-cultural differences. Findings suggest little cross-cultural difference in use and understanding of the mobile Internet. Users do not perceive the act of ‘‘going online’’ as a signiﬁcant step, even if it is on a mobile device. They do, however, distinguish between different ways of consuming information online (extractive and immersive), relating them to different situations and devices.","container-title":"Journal of Computer-Mediated Communication","DOI":"10.1111/jcc4.12019","ISSN":"10836101","issue":"4","journalAbbreviation":"J Comput-Mediat Comm","language":"en","page":"491-507","source":"DOI.org (Crossref)","title":"Evolving Mobile Media: Uses and Conceptualizations of the Mobile Internet: Mobile Internet","title-short":"Evolving Mobile Media","volume":"18","author":[{"family":"Humphreys","given":"Lee"},{"family":"Von Pape","given":"Thilo"},{"family":"Karnowski","given":"Veronika"}],"issued":{"date-parts":[["2013",7]]}}}],"schema":"https://github.com/citation-style-language/schema/raw/master/csl-citation.json"}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(Gibson et al., 2021; Groshek &amp; Tandoc, 2016; Humphreys et al., 2013)</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p>
    <w:p w14:paraId="1E95EB56" w14:textId="1D2A80D8" w:rsidR="0015201A" w:rsidRPr="00F153F6" w:rsidRDefault="0015201A" w:rsidP="004424B4">
      <w:pPr>
        <w:spacing w:line="360" w:lineRule="auto"/>
        <w:jc w:val="both"/>
        <w:rPr>
          <w:rFonts w:ascii="Times New Roman" w:hAnsi="Times New Roman" w:cs="Times New Roman"/>
          <w:b/>
          <w:bCs/>
          <w:sz w:val="24"/>
          <w:szCs w:val="24"/>
        </w:rPr>
      </w:pPr>
      <w:r w:rsidRPr="00F153F6">
        <w:rPr>
          <w:rFonts w:ascii="Times New Roman" w:hAnsi="Times New Roman" w:cs="Times New Roman"/>
          <w:b/>
          <w:bCs/>
          <w:sz w:val="24"/>
          <w:szCs w:val="24"/>
        </w:rPr>
        <w:t>The Complexity of the Context for Overall Project</w:t>
      </w:r>
    </w:p>
    <w:p w14:paraId="4A8CDBBE" w14:textId="029D9A0A"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lastRenderedPageBreak/>
        <w:t xml:space="preserve">The findings indicate that the context for ICT-based IOKE practice is shaped by three different contextual layers: inter-organisational, intra-organisational, and wider environmental context. Although how these contexts are shaped by/shape ICT-based IOKE practice is not the focus of this study, the findings suggest that the relationship between these contexts and ICT-based IOKE practice are interactive rather than linear. That is, the shaping of the contextual characteristics such as norms, roles, structures and workplace climate are not immutable or rigid, but very much depend on actions taken by different organisations or the involved actors. For example, the manner of communication between actors in the project can be either flexible or regulated, formal or informal, depending on the specific situations: their working patterns, responding speed, or effectiveness of negotiation. This bears resemblance with the notion of structuration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{"citationID":"yvEGYCGL","properties":{"formattedCitation":"(Giddens, 1984)","plainCitation":"(Giddens, 1984)","noteIndex":0},"citationItems":[{"id":155,"uris":["http://zotero.org/users/5709166/items/F6NKRYDB"],"itemData":{"id":155,"type":"book","abstract":"Anthony Giddens has been in the forefront of developments in social theory for the past decade. In \"The Constitution of Society\" he outlines the distinctive position he has evolved during that period and offers a full statement of a major new perspective in social thought, a synthesis and elaboration of ideas touched on in previous works but described here for the first time in an integrated and comprehensive form. A particular feature is Giddens's concern to connect abstract problems of theory to an interpretation of the nature of empirical method in the social sciences. In presenting his own ideas, Giddens mounts a critical attack on some of the more orthodox sociological views. \"The Constitution of Society\" is an invaluable reference book for all those concerned with the basic issues in contemporary social theory.","ISBN":"978-0-520-05292-5","language":"en","note":"Google-Books-ID: x2bf4g9Z6ZwC","number-of-pages":"448","publisher":"University of California Press","source":"Google Books","title":"The Constitution of Society: Outline of the Theory of Structuration","title-short":"The Constitution of Society","author":[{"family":"Giddens","given":"Anthony"}],"issued":{"date-parts":[["1984"]]}}}],"schema":"https://github.com/citation-style-language/schema/raw/master/csl-citation.json"}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(Giddens, 1984)</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which suggest the structure themselves are interdependent from the actions taken by individuals within the structure – individuals produce and reproduce social structures as they undertake activities, but also are confined and restricted by these structures.</w:t>
      </w:r>
    </w:p>
    <w:p w14:paraId="18D6ED1B" w14:textId="722A4F5C"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The</w:t>
      </w:r>
      <w:r w:rsidR="00B97646" w:rsidRPr="00F153F6">
        <w:rPr>
          <w:rFonts w:ascii="Times New Roman" w:hAnsi="Times New Roman" w:cs="Times New Roman"/>
          <w:sz w:val="24"/>
          <w:szCs w:val="24"/>
        </w:rPr>
        <w:t xml:space="preserve"> present</w:t>
      </w:r>
      <w:r w:rsidRPr="00F153F6">
        <w:rPr>
          <w:rFonts w:ascii="Times New Roman" w:hAnsi="Times New Roman" w:cs="Times New Roman"/>
          <w:sz w:val="24"/>
          <w:szCs w:val="24"/>
        </w:rPr>
        <w:t xml:space="preserve"> findings suggest that the context of ICT-based IOKE practice has diverse patterns</w:t>
      </w:r>
      <w:r w:rsidR="00B97646" w:rsidRPr="00F153F6">
        <w:rPr>
          <w:rFonts w:ascii="Times New Roman" w:hAnsi="Times New Roman" w:cs="Times New Roman"/>
          <w:sz w:val="24"/>
          <w:szCs w:val="24"/>
        </w:rPr>
        <w:t xml:space="preserve"> such as</w:t>
      </w:r>
      <w:r w:rsidRPr="00F153F6">
        <w:rPr>
          <w:rFonts w:ascii="Times New Roman" w:hAnsi="Times New Roman" w:cs="Times New Roman"/>
          <w:sz w:val="24"/>
          <w:szCs w:val="24"/>
        </w:rPr>
        <w:t xml:space="preserve"> structures, roles, routines, culture, workplace climate, </w:t>
      </w:r>
      <w:r w:rsidR="00B97646" w:rsidRPr="00F153F6">
        <w:rPr>
          <w:rFonts w:ascii="Times New Roman" w:hAnsi="Times New Roman" w:cs="Times New Roman"/>
          <w:sz w:val="24"/>
          <w:szCs w:val="24"/>
        </w:rPr>
        <w:t xml:space="preserve">and </w:t>
      </w:r>
      <w:r w:rsidRPr="00F153F6">
        <w:rPr>
          <w:rFonts w:ascii="Times New Roman" w:hAnsi="Times New Roman" w:cs="Times New Roman"/>
          <w:sz w:val="24"/>
          <w:szCs w:val="24"/>
        </w:rPr>
        <w:t>focus. However, different stages may have different patterns. The different stage-based frameworks show that these patterns can also evolve as the project moves forward. For example, at inception stage, the context is rather chaotic and fussy where the focus is more about putting on familiaris</w:t>
      </w:r>
      <w:r w:rsidR="00B97646" w:rsidRPr="00F153F6">
        <w:rPr>
          <w:rFonts w:ascii="Times New Roman" w:hAnsi="Times New Roman" w:cs="Times New Roman"/>
          <w:sz w:val="24"/>
          <w:szCs w:val="24"/>
        </w:rPr>
        <w:t>ation with</w:t>
      </w:r>
      <w:r w:rsidRPr="00F153F6">
        <w:rPr>
          <w:rFonts w:ascii="Times New Roman" w:hAnsi="Times New Roman" w:cs="Times New Roman"/>
          <w:sz w:val="24"/>
          <w:szCs w:val="24"/>
        </w:rPr>
        <w:t xml:space="preserve"> involved actors and cultivating an equal relationship among actors. As the project moves to the middle stage, more intensive collaboration is conducted where a more inclusive and reciprocal environment is created for enabling co-creating activities. For the completed stage, the focus shifts to the sustainability of project values to support further potential collaboration. Such shifting patterns reveals an evolution of context of ICT-based IOKE practice over time.</w:t>
      </w:r>
    </w:p>
    <w:p w14:paraId="5F3E276A" w14:textId="77777777" w:rsidR="00CF539F" w:rsidRPr="00F153F6" w:rsidRDefault="00CF539F" w:rsidP="004424B4">
      <w:pPr>
        <w:spacing w:line="360" w:lineRule="auto"/>
        <w:jc w:val="both"/>
        <w:rPr>
          <w:rFonts w:ascii="Times New Roman" w:hAnsi="Times New Roman" w:cs="Times New Roman"/>
        </w:rPr>
      </w:pPr>
    </w:p>
    <w:p w14:paraId="6D7117FE" w14:textId="732B349E" w:rsidR="0015201A" w:rsidRPr="00F153F6" w:rsidRDefault="0015201A" w:rsidP="000543CB">
      <w:pPr>
        <w:pStyle w:val="Heading3"/>
        <w:spacing w:line="360" w:lineRule="auto"/>
        <w:ind w:firstLine="720"/>
        <w:jc w:val="both"/>
        <w:rPr>
          <w:rFonts w:ascii="Times New Roman" w:hAnsi="Times New Roman" w:cs="Times New Roman"/>
          <w:b/>
          <w:color w:val="auto"/>
          <w:sz w:val="28"/>
          <w:szCs w:val="28"/>
        </w:rPr>
      </w:pPr>
      <w:bookmarkStart w:id="657" w:name="_Toc118371155"/>
      <w:bookmarkStart w:id="658" w:name="_Toc133252181"/>
      <w:r w:rsidRPr="00F153F6">
        <w:rPr>
          <w:rFonts w:ascii="Times New Roman" w:hAnsi="Times New Roman" w:cs="Times New Roman"/>
          <w:b/>
          <w:color w:val="auto"/>
          <w:sz w:val="28"/>
          <w:szCs w:val="28"/>
        </w:rPr>
        <w:t>5.2.2 Inception Stage Framework</w:t>
      </w:r>
      <w:bookmarkEnd w:id="657"/>
      <w:bookmarkEnd w:id="658"/>
    </w:p>
    <w:p w14:paraId="26B24B55" w14:textId="7BA1354B"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The present findings show that shared understanding and interactive commenting are two core knowledgeabilities during the inception stage, conditioned by actors’ inter-connecting knowledgeability and resulting in co-ordinating knowledgeability. The enactment of these knowledgeabilities is mediated by thirteen ICT affordances, seven constraints, and three different contextual layers. Compared to the integrated framework, core knowledgeabilities (interactive learning and co-creating) have two variations (shared understanding and interactive commenting), while conditional (inter-connecting) and resulting knowledgeabilities (co-</w:t>
      </w:r>
      <w:r w:rsidRPr="00F153F6">
        <w:rPr>
          <w:rFonts w:ascii="Times New Roman" w:eastAsiaTheme="minorEastAsia" w:hAnsi="Times New Roman" w:cs="Times New Roman"/>
          <w:sz w:val="24"/>
          <w:szCs w:val="24"/>
        </w:rPr>
        <w:lastRenderedPageBreak/>
        <w:t>ordinating) remain the same.</w:t>
      </w:r>
      <w:r w:rsidR="00CD4963" w:rsidRPr="00F153F6">
        <w:rPr>
          <w:rFonts w:ascii="Times New Roman" w:eastAsiaTheme="minorEastAsia" w:hAnsi="Times New Roman" w:cs="Times New Roman"/>
          <w:sz w:val="24"/>
          <w:szCs w:val="24"/>
        </w:rPr>
        <w:t xml:space="preserve"> The depicted figure for inception stage framework has been placed below as well (Figure 5.2), for signposting the relevant concepts and categories.</w:t>
      </w:r>
    </w:p>
    <w:p w14:paraId="1D5BC0E9" w14:textId="51F8FE72" w:rsidR="007148BA" w:rsidRPr="00F153F6" w:rsidRDefault="0058396B" w:rsidP="007148BA">
      <w:pPr>
        <w:keepNext/>
        <w:spacing w:line="360" w:lineRule="auto"/>
        <w:jc w:val="center"/>
      </w:pPr>
      <w:r w:rsidRPr="00F153F6">
        <w:rPr>
          <w:noProof/>
        </w:rPr>
        <w:drawing>
          <wp:inline distT="0" distB="0" distL="0" distR="0" wp14:anchorId="58463F24" wp14:editId="468F9A10">
            <wp:extent cx="5731510" cy="4559935"/>
            <wp:effectExtent l="0" t="0" r="2540" b="0"/>
            <wp:docPr id="1298426843" name="Picture 129842684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74289" name="Picture 2" descr="Diagram, schematic&#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559935"/>
                    </a:xfrm>
                    <a:prstGeom prst="rect">
                      <a:avLst/>
                    </a:prstGeom>
                    <a:noFill/>
                    <a:ln>
                      <a:noFill/>
                    </a:ln>
                  </pic:spPr>
                </pic:pic>
              </a:graphicData>
            </a:graphic>
          </wp:inline>
        </w:drawing>
      </w:r>
    </w:p>
    <w:p w14:paraId="64045E45" w14:textId="64DD0235" w:rsidR="007148BA" w:rsidRPr="00F153F6" w:rsidRDefault="007148BA" w:rsidP="007148BA">
      <w:pPr>
        <w:pStyle w:val="Caption"/>
        <w:jc w:val="center"/>
        <w:rPr>
          <w:rFonts w:ascii="Times New Roman" w:hAnsi="Times New Roman" w:cs="Times New Roman"/>
          <w:i w:val="0"/>
          <w:iCs w:val="0"/>
          <w:color w:val="auto"/>
          <w:sz w:val="22"/>
          <w:szCs w:val="22"/>
        </w:rPr>
      </w:pPr>
      <w:bookmarkStart w:id="659" w:name="_Toc119448470"/>
      <w:r w:rsidRPr="00F153F6">
        <w:rPr>
          <w:rFonts w:ascii="Times New Roman" w:hAnsi="Times New Roman" w:cs="Times New Roman"/>
          <w:i w:val="0"/>
          <w:iCs w:val="0"/>
          <w:color w:val="auto"/>
          <w:sz w:val="22"/>
          <w:szCs w:val="22"/>
        </w:rPr>
        <w:t xml:space="preserve">Figure 5.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Figure_5.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2</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A Copy of Figure 4.1 ICT-based Inter-organisational Knowledge Exchange Practice (Inception Stage)</w:t>
      </w:r>
      <w:bookmarkEnd w:id="659"/>
    </w:p>
    <w:p w14:paraId="2100D0A0" w14:textId="63B41477" w:rsidR="0015201A" w:rsidRPr="00F153F6" w:rsidRDefault="00CD4963" w:rsidP="000543CB">
      <w:pPr>
        <w:spacing w:line="360" w:lineRule="auto"/>
        <w:jc w:val="center"/>
        <w:rPr>
          <w:rFonts w:ascii="Times New Roman" w:hAnsi="Times New Roman" w:cs="Times New Roman"/>
        </w:rPr>
      </w:pPr>
      <w:r w:rsidRPr="00F153F6">
        <w:rPr>
          <w:rFonts w:ascii="Times New Roman" w:hAnsi="Times New Roman" w:cs="Times New Roman"/>
        </w:rPr>
        <w:fldChar w:fldCharType="begin"/>
      </w:r>
      <w:r w:rsidRPr="00F153F6">
        <w:rPr>
          <w:rFonts w:ascii="Times New Roman" w:hAnsi="Times New Roman" w:cs="Times New Roman"/>
        </w:rPr>
        <w:instrText xml:space="preserve"> INCLUDEPICTURE "https://documents.lucid.app/documents/44d8b9b0-6d41-4b5d-a20d-ee01d91060ef/pages/0_0?a=18319&amp;x=15967&amp;y=-128&amp;w=2480&amp;h=1349&amp;store=1&amp;accept=image%2F*&amp;auth=LCA%202840f6c5978c62d29c21705b6683d3189018e3c2-ts%3D1656795762" \* MERGEFORMATINET </w:instrText>
      </w:r>
      <w:r w:rsidR="00000000">
        <w:rPr>
          <w:rFonts w:ascii="Times New Roman" w:hAnsi="Times New Roman" w:cs="Times New Roman"/>
        </w:rPr>
        <w:fldChar w:fldCharType="separate"/>
      </w:r>
      <w:r w:rsidRPr="00F153F6">
        <w:rPr>
          <w:rFonts w:ascii="Times New Roman" w:hAnsi="Times New Roman" w:cs="Times New Roman"/>
        </w:rPr>
        <w:fldChar w:fldCharType="end"/>
      </w:r>
      <w:r w:rsidRPr="00F153F6">
        <w:rPr>
          <w:rFonts w:ascii="Times New Roman" w:hAnsi="Times New Roman" w:cs="Times New Roman"/>
        </w:rPr>
        <w:fldChar w:fldCharType="begin"/>
      </w:r>
      <w:r w:rsidRPr="00F153F6">
        <w:rPr>
          <w:rFonts w:ascii="Times New Roman" w:hAnsi="Times New Roman" w:cs="Times New Roman"/>
        </w:rPr>
        <w:instrText xml:space="preserve"> INCLUDEPICTURE "https://documents.lucid.app/documents/44d8b9b0-6d41-4b5d-a20d-ee01d91060ef/pages/0_0?a=9899&amp;x=8440&amp;y=-795&amp;w=1760&amp;h=1645&amp;store=1&amp;accept=image%2F*&amp;auth=LCA%20222f100947c6f37b42085a3fdab1446c4fd3644d-ts%3D1643534656" \* MERGEFORMATINET </w:instrText>
      </w:r>
      <w:r w:rsidR="00000000">
        <w:rPr>
          <w:rFonts w:ascii="Times New Roman" w:hAnsi="Times New Roman" w:cs="Times New Roman"/>
        </w:rPr>
        <w:fldChar w:fldCharType="separate"/>
      </w:r>
      <w:r w:rsidRPr="00F153F6">
        <w:rPr>
          <w:rFonts w:ascii="Times New Roman" w:hAnsi="Times New Roman" w:cs="Times New Roman"/>
        </w:rPr>
        <w:fldChar w:fldCharType="end"/>
      </w:r>
    </w:p>
    <w:p w14:paraId="1ED911C8" w14:textId="5B8E7A13" w:rsidR="0015201A" w:rsidRPr="00F153F6" w:rsidRDefault="0015201A" w:rsidP="004424B4">
      <w:pPr>
        <w:spacing w:line="360" w:lineRule="auto"/>
        <w:jc w:val="both"/>
        <w:rPr>
          <w:rFonts w:ascii="Times New Roman" w:eastAsiaTheme="minorEastAsia" w:hAnsi="Times New Roman" w:cs="Times New Roman"/>
          <w:b/>
          <w:bCs/>
          <w:sz w:val="24"/>
          <w:szCs w:val="24"/>
        </w:rPr>
      </w:pPr>
      <w:r w:rsidRPr="00F153F6">
        <w:rPr>
          <w:rFonts w:ascii="Times New Roman" w:eastAsiaTheme="minorEastAsia" w:hAnsi="Times New Roman" w:cs="Times New Roman"/>
          <w:b/>
          <w:bCs/>
          <w:sz w:val="24"/>
          <w:szCs w:val="24"/>
        </w:rPr>
        <w:t>Knowledgeabilities in Inception Stage</w:t>
      </w:r>
    </w:p>
    <w:p w14:paraId="78469CD2" w14:textId="712B10FB" w:rsidR="0015201A" w:rsidRPr="00F153F6" w:rsidRDefault="0015201A" w:rsidP="004424B4">
      <w:pPr>
        <w:spacing w:line="360" w:lineRule="auto"/>
        <w:jc w:val="both"/>
        <w:rPr>
          <w:rFonts w:ascii="Times New Roman" w:eastAsiaTheme="minorEastAsia" w:hAnsi="Times New Roman" w:cs="Times New Roman"/>
          <w:b/>
          <w:bCs/>
          <w:sz w:val="24"/>
          <w:szCs w:val="24"/>
        </w:rPr>
      </w:pPr>
      <w:r w:rsidRPr="00F153F6">
        <w:rPr>
          <w:rFonts w:ascii="Times New Roman" w:eastAsiaTheme="minorEastAsia" w:hAnsi="Times New Roman" w:cs="Times New Roman"/>
          <w:sz w:val="24"/>
          <w:szCs w:val="24"/>
        </w:rPr>
        <w:t xml:space="preserve">At inception stage, actors focus more on establishing and enacting a shared understanding as a variation of interactive learning. This is because at the inception stage, actors from multiple organisations can bring diverse expertise into an inter-organisational collaboration, but the utilisation of this expertise requires actors to establish an initial understanding of their collaborators’ skills and expertise (Meer, 2014). Given the nature of the diversity and equivocality during the inception stage, the present findings show that actors are necessarily for conducting activities such as onboarding and sharing to acquire new knowledge from each other in order to become familiarised with the divergent level of thinking in inter-organisational </w:t>
      </w:r>
      <w:r w:rsidRPr="00F153F6">
        <w:rPr>
          <w:rFonts w:ascii="Times New Roman" w:eastAsiaTheme="minorEastAsia" w:hAnsi="Times New Roman" w:cs="Times New Roman"/>
          <w:sz w:val="24"/>
          <w:szCs w:val="24"/>
        </w:rPr>
        <w:lastRenderedPageBreak/>
        <w:t xml:space="preserve">collaboration and form a mutual understanding of every actor’s expertise. As existing research indicates, cultivating a mutual understanding with project collaborators such as users or technical partners could inform their new </w:t>
      </w:r>
      <w:r w:rsidR="00B97646" w:rsidRPr="00F153F6">
        <w:rPr>
          <w:rFonts w:ascii="Times New Roman" w:eastAsiaTheme="minorEastAsia" w:hAnsi="Times New Roman" w:cs="Times New Roman"/>
          <w:sz w:val="24"/>
          <w:szCs w:val="24"/>
        </w:rPr>
        <w:t>methods</w:t>
      </w:r>
      <w:r w:rsidRPr="00F153F6">
        <w:rPr>
          <w:rFonts w:ascii="Times New Roman" w:eastAsiaTheme="minorEastAsia" w:hAnsi="Times New Roman" w:cs="Times New Roman"/>
          <w:sz w:val="24"/>
          <w:szCs w:val="24"/>
        </w:rPr>
        <w:t xml:space="preserve"> of working and overcome uncertainty of fussiness created by cultural differences or interdisciplinary backgrounds in the inception stage (Herstatt, 2003; Larsen et al., 2021). Such enactment of shared understanding knowledgeability allows actors to iteratively make sense of each other’s work and thereby explore new expertise in their inter-organisational collaborations towards a mutual understood level. The development of knowing how to align expertise in such knowledgeability thus creates symmetry of expertise for project collaborators, which is crucial and the building blocks to the accomplishment of successful collaborative practice (Bruns, 2013). </w:t>
      </w:r>
    </w:p>
    <w:p w14:paraId="09A25CDD" w14:textId="07A05590"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At inception stage, actors emphasise more on enacting interactive commenting as a variation to co-creating from the integrated framework. The theorisation of interactive commenting demonstrates what activities afford actors the ability to stimulate co-creation at the inception stage and how </w:t>
      </w:r>
      <w:r w:rsidR="00964DE8" w:rsidRPr="00F153F6">
        <w:rPr>
          <w:rFonts w:ascii="Times New Roman" w:eastAsiaTheme="minorEastAsia" w:hAnsi="Times New Roman" w:cs="Times New Roman"/>
          <w:sz w:val="24"/>
          <w:szCs w:val="24"/>
        </w:rPr>
        <w:t>ICT</w:t>
      </w:r>
      <w:r w:rsidRPr="00F153F6">
        <w:rPr>
          <w:rFonts w:ascii="Times New Roman" w:eastAsiaTheme="minorEastAsia" w:hAnsi="Times New Roman" w:cs="Times New Roman"/>
          <w:sz w:val="24"/>
          <w:szCs w:val="24"/>
        </w:rPr>
        <w:t xml:space="preserve"> may enable or inhibit the enactment of relevant knowledgeability. The</w:t>
      </w:r>
      <w:r w:rsidR="00B97646" w:rsidRPr="00F153F6">
        <w:rPr>
          <w:rFonts w:ascii="Times New Roman" w:eastAsiaTheme="minorEastAsia" w:hAnsi="Times New Roman" w:cs="Times New Roman"/>
          <w:sz w:val="24"/>
          <w:szCs w:val="24"/>
        </w:rPr>
        <w:t xml:space="preserve"> present</w:t>
      </w:r>
      <w:r w:rsidRPr="00F153F6">
        <w:rPr>
          <w:rFonts w:ascii="Times New Roman" w:eastAsiaTheme="minorEastAsia" w:hAnsi="Times New Roman" w:cs="Times New Roman"/>
          <w:sz w:val="24"/>
          <w:szCs w:val="24"/>
        </w:rPr>
        <w:t xml:space="preserve"> findings shows that interactive commenting demonstrates the capability that actors enact to stimulate innovation through responding to each other’s work. During the inception stage, project activities are carried out mainly to determine and clarify the project’s scope and plan future work, which requires actors to actively negotiate and discuss with each other to explore potential opportunities for innovations (Chappin et al., 2019). The present findings show that the enactment of interactive commenting knowledgeability allows actors to provide feedbacks to each other’s existing solutions so that actors are able to evaluate and promote their ideas towards new solutions. The activities that afford such knowledgeability, such as collaborative writing demonstrates iterative and interactive feedback loops and leads to the inspiration of new knowledge and nurtures creativity. This emphasises a trial-and-error learning process at an early stage due to the complexity and fussiness nature of the context and that collaborators promote their actions as they receive feedback to their prior outcomes (Evans et al., 2018; Chappin et al., 2019; Van De Ven &amp; Polley, 1992). As Chappin et al. (2019) state, actors can generate new knowledge as they receive positive or negative feedback that leads them to modify or preserve their actions. The core role of such enactment of interactive commenting in ICT-based IOKE practice identified in the present study also corresponds to existing understanding of the key components of IOKE and collaboration, such as presented in Bruns’ (2013) work, that indicates the joint assessment and consultation as essential for stimulating innovation and promoting collaboration. </w:t>
      </w:r>
    </w:p>
    <w:p w14:paraId="5CBC36AC" w14:textId="09660E3D"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lastRenderedPageBreak/>
        <w:t xml:space="preserve">To enable the accomplishment of the above core knowledgeabilities at inception stage, it is also necessary to enact inter-connecting knowledgeability as a condition through which actors establish networks with each other and cultivate diverse relationships. The enacted conditional knowledgeability remains the same to the integrated framework, but its comprising activities have changed. At inception stage, actors are in the process of recruiting and involving new collaborators into the project (Obstfeld et al., 2020), and thereby activities such as cultivating partnerships are essential to develop knowledge of how to cultivate initial relationships. The present findings also emphasise the role of intermediaries in this stage which mainly manifest themselves in the enactment of inter-connecting knowledgeability. At inception stage, actors with diverse backgrounds or differing cultures cannot usually exchange their knowledge easily, which requires intermediaries to play a bridging role that introduces different parties or mediates their interactions (Colombo et al., 2015; Howells, 2006; Kim &amp; Wilemon, 2002). The present findings further denotes that the role of intermediaries may vary and shifts as the project moves forward, since at inception stage the role of intermediaries is mainly to introduce different parties for establishing initial networks, while its mediating role becomes more explicit in subsequent stages. </w:t>
      </w:r>
    </w:p>
    <w:p w14:paraId="2239330B" w14:textId="033C859B" w:rsidR="00CF539F"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The </w:t>
      </w:r>
      <w:r w:rsidR="003D2FC9" w:rsidRPr="00F153F6">
        <w:rPr>
          <w:rFonts w:ascii="Times New Roman" w:eastAsiaTheme="minorEastAsia" w:hAnsi="Times New Roman" w:cs="Times New Roman"/>
          <w:sz w:val="24"/>
          <w:szCs w:val="24"/>
        </w:rPr>
        <w:t xml:space="preserve">enacted </w:t>
      </w:r>
      <w:r w:rsidRPr="00F153F6">
        <w:rPr>
          <w:rFonts w:ascii="Times New Roman" w:eastAsiaTheme="minorEastAsia" w:hAnsi="Times New Roman" w:cs="Times New Roman"/>
          <w:sz w:val="24"/>
          <w:szCs w:val="24"/>
        </w:rPr>
        <w:t xml:space="preserve">resulting knowledgeability </w:t>
      </w:r>
      <w:r w:rsidR="003D2FC9" w:rsidRPr="00F153F6">
        <w:rPr>
          <w:rFonts w:ascii="Times New Roman" w:eastAsiaTheme="minorEastAsia" w:hAnsi="Times New Roman" w:cs="Times New Roman"/>
          <w:sz w:val="24"/>
          <w:szCs w:val="24"/>
        </w:rPr>
        <w:t>remains the same</w:t>
      </w:r>
      <w:r w:rsidRPr="00F153F6">
        <w:rPr>
          <w:rFonts w:ascii="Times New Roman" w:eastAsiaTheme="minorEastAsia" w:hAnsi="Times New Roman" w:cs="Times New Roman"/>
          <w:sz w:val="24"/>
          <w:szCs w:val="24"/>
        </w:rPr>
        <w:t xml:space="preserve"> </w:t>
      </w:r>
      <w:r w:rsidR="003D2FC9" w:rsidRPr="00F153F6">
        <w:rPr>
          <w:rFonts w:ascii="Times New Roman" w:eastAsiaTheme="minorEastAsia" w:hAnsi="Times New Roman" w:cs="Times New Roman"/>
          <w:sz w:val="24"/>
          <w:szCs w:val="24"/>
        </w:rPr>
        <w:t>to</w:t>
      </w:r>
      <w:r w:rsidRPr="00F153F6">
        <w:rPr>
          <w:rFonts w:ascii="Times New Roman" w:eastAsiaTheme="minorEastAsia" w:hAnsi="Times New Roman" w:cs="Times New Roman"/>
          <w:sz w:val="24"/>
          <w:szCs w:val="24"/>
        </w:rPr>
        <w:t xml:space="preserve"> the integrated framework, but its comprising activities have changed. The resulting knowledgeability of co-ordinating at inception stage demonstrates actors’ capability to organise project activities and move project forwards as actors accomplish their core knowledgeabilities. The present study finds that as actors initiate the project, the main activities required to direct actors’ next unity of actions and move the project forward, is to awaken collaborators to their roles and responsibilities through staffing and keep their performance on track through controlling and nudging. This helps to reduce the fussiness and ambiguity of their collaboration and contributes to organising their overall learning and knowledge management at an early stage (Blecker &amp; Neumann, 2000; Stevens, 2014).</w:t>
      </w:r>
    </w:p>
    <w:p w14:paraId="7B0B9EAA" w14:textId="0767F3BB" w:rsidR="0015201A" w:rsidRPr="00F153F6" w:rsidRDefault="0015201A" w:rsidP="004424B4">
      <w:pPr>
        <w:spacing w:line="360" w:lineRule="auto"/>
        <w:jc w:val="both"/>
        <w:rPr>
          <w:rFonts w:ascii="Times New Roman" w:eastAsiaTheme="minorEastAsia" w:hAnsi="Times New Roman" w:cs="Times New Roman"/>
          <w:b/>
          <w:bCs/>
          <w:sz w:val="24"/>
          <w:szCs w:val="24"/>
        </w:rPr>
      </w:pPr>
      <w:r w:rsidRPr="00F153F6">
        <w:rPr>
          <w:rFonts w:ascii="Times New Roman" w:eastAsiaTheme="minorEastAsia" w:hAnsi="Times New Roman" w:cs="Times New Roman"/>
          <w:b/>
          <w:bCs/>
          <w:sz w:val="24"/>
          <w:szCs w:val="24"/>
        </w:rPr>
        <w:t>ICT Affordances and Constraints during Inception Stage</w:t>
      </w:r>
    </w:p>
    <w:p w14:paraId="40510D41" w14:textId="6E796E17"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The findings here identified nine ICT-afforded abilities and six ICT-constrained abilities that mediate the enactment of knowledgeabilities of ICT-based IOKE practice, which bears resemblances with prior studies for the inception stage. For example, Gibson et al.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{"citationID":"eVKRo92d","properties":{"formattedCitation":"(2021)","plainCitation":"(2021)","noteIndex":0},"citationItems":[{"id":9799,"uris":["http://zotero.org/users/5709166/items/2MGCEYF6"],"itemData":{"id":9799,"type":"article-journal","abstract":"Despite the dynamic nature of knowledge-related activities and the availability of a variety of communication technologies, many global teams habitually use technology in the same way across activities. However, as teams move through cycles of accumulating, integrating, and implementing knowledge, the purposes for communication technologies change. Current theorizing and empirical work on team knowledge management has yet to develop a dynamic theory that incorporates these changes. By conducting a multiwave, mixed method analysis of 48 global teams, we develop a theory of how global teams sustain effectiveness through technology affordance processes. We found that effective teams are those that recognize cues indicating change is necessary and coevolve a symbiosis between new activities, new purposes for interaction, and new uses of communication technologies. This coevolution of purpose with technology use forms new affordances, which enable the team to move on to new knowledge management activities and sustain effectiveness. Our theory more realistically models the dynamics of staying connected while sharing, combining, and implementing knowledge across the globe.","container-title":"Organization Science","DOI":"10.1287/orsc.2021.1478","ISSN":"1047-7039, 1526-5455","journalAbbreviation":"Organization Science","language":"en","page":"orsc.2021.1478","source":"DOI.org (Crossref)","title":"Sustaining Effectiveness in Global Teams: The Coevolution of Knowledge Management Activities and Technology Affordances","title-short":"Sustaining Effectiveness in Global Teams","author":[{"family":"Gibson","given":"Cristina B."},{"family":"Dunlop","given":"Patrick D."},{"family":"Majchrzak","given":"Ann"},{"family":"Chia","given":"Terence"}],"issued":{"date-parts":[["2021",8,11]]}},"label":"page","suppress-author":true}],"schema":"https://github.com/citation-style-language/schema/raw/master/csl-citation.json"}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(2021)</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argue that at the projects initial stage, stakeholders focus on knowledge accumulation activities and the main ICT affordance is collective attention focusing. In addition, Erhardt et al.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{"citationID":"9v32fxK2","properties":{"formattedCitation":"(2016)","plainCitation":"(2016)","noteIndex":0},"citationItems":[{"id":10291,"uris":["http://zotero.org/users/5709166/items/KV2ABIKV"],"itemData":{"id":10291,"type":"article-journal","abstract":"Scant research has examined the role of information and communication technologies (ICTs) for team learning across time. Drawing on theories of team learning, group development, and technological affordances, we provide a multi-method case analysis of emails and interviews that explores how and when team learning occurs. We analyze 468 emails and 20 interviews collected from a team in a large Swedish insurance company over the course of a 44-week project, from start to completion. The analysis reveals that the affordances of email (asynchronicity, editability, persistence, and replicability) and perceptions of time (time for face-to-face interaction [FtF] and time management) drive three nonlinear cycles of knowledge sharing, co-construction, and constructive conflict across the 44-week life span of the project. The findings challenge existing framings of team learning grounded in FtF contexts and highlight the increasing importance of team learning through ICTs.","container-title":"Small Group Research","DOI":"10.1177/1046496416635823","ISSN":"1046-4964","issue":"3","note":"publisher: SAGE Publications Inc","page":"243-278","source":"SAGE Journals","title":"Exploring Affordances of Email for Team Learning Over Time","volume":"47","author":[{"family":"Erhardt","given":"Niclas"},{"family":"Gibbs","given":"Jennifer"},{"family":"Martin-Rios","given":"Carlos"},{"family":"Sherblom","given":"John"}],"issued":{"date-parts":[["2016",6,1]]}},"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(2016)</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have </w:t>
      </w:r>
      <w:r w:rsidRPr="00F153F6">
        <w:rPr>
          <w:rFonts w:ascii="Times New Roman" w:eastAsiaTheme="minorEastAsia" w:hAnsi="Times New Roman" w:cs="Times New Roman"/>
          <w:sz w:val="24"/>
          <w:szCs w:val="24"/>
        </w:rPr>
        <w:lastRenderedPageBreak/>
        <w:t>suggested three email affordances for project team learning: seeking-giving affordance for knowledge sharing, requesting-expanding for co-construction, conflicting-confirming for constructive conflict. Some of these are articulated by th</w:t>
      </w:r>
      <w:r w:rsidR="00B97646" w:rsidRPr="00F153F6">
        <w:rPr>
          <w:rFonts w:ascii="Times New Roman" w:eastAsiaTheme="minorEastAsia" w:hAnsi="Times New Roman" w:cs="Times New Roman"/>
          <w:sz w:val="24"/>
          <w:szCs w:val="24"/>
        </w:rPr>
        <w:t>e present</w:t>
      </w:r>
      <w:r w:rsidRPr="00F153F6">
        <w:rPr>
          <w:rFonts w:ascii="Times New Roman" w:eastAsiaTheme="minorEastAsia" w:hAnsi="Times New Roman" w:cs="Times New Roman"/>
          <w:sz w:val="24"/>
          <w:szCs w:val="24"/>
        </w:rPr>
        <w:t xml:space="preserve"> study’s inception stage findings. For example, showcasing ability in the present study corresponding to giving affordance in </w:t>
      </w:r>
      <w:r w:rsidR="00B97646" w:rsidRPr="00F153F6">
        <w:rPr>
          <w:rFonts w:ascii="Times New Roman" w:eastAsiaTheme="minorEastAsia" w:hAnsi="Times New Roman" w:cs="Times New Roman"/>
          <w:sz w:val="24"/>
          <w:szCs w:val="24"/>
        </w:rPr>
        <w:t>Erhardt et al.’s</w:t>
      </w:r>
      <w:r w:rsidRPr="00F153F6">
        <w:rPr>
          <w:rFonts w:ascii="Times New Roman" w:eastAsiaTheme="minorEastAsia" w:hAnsi="Times New Roman" w:cs="Times New Roman"/>
          <w:sz w:val="24"/>
          <w:szCs w:val="24"/>
        </w:rPr>
        <w:t xml:space="preserve"> work that enable a shared understanding of each other’s work, and confirming ability afforded by </w:t>
      </w:r>
      <w:r w:rsidR="00964DE8" w:rsidRPr="00F153F6">
        <w:rPr>
          <w:rFonts w:ascii="Times New Roman" w:eastAsiaTheme="minorEastAsia" w:hAnsi="Times New Roman" w:cs="Times New Roman"/>
          <w:sz w:val="24"/>
          <w:szCs w:val="24"/>
        </w:rPr>
        <w:t>ICT</w:t>
      </w:r>
      <w:r w:rsidRPr="00F153F6">
        <w:rPr>
          <w:rFonts w:ascii="Times New Roman" w:eastAsiaTheme="minorEastAsia" w:hAnsi="Times New Roman" w:cs="Times New Roman"/>
          <w:sz w:val="24"/>
          <w:szCs w:val="24"/>
        </w:rPr>
        <w:t xml:space="preserve"> in the present study corresponding to confirming affordance in </w:t>
      </w:r>
      <w:r w:rsidR="00B97646" w:rsidRPr="00F153F6">
        <w:rPr>
          <w:rFonts w:ascii="Times New Roman" w:eastAsiaTheme="minorEastAsia" w:hAnsi="Times New Roman" w:cs="Times New Roman"/>
          <w:sz w:val="24"/>
          <w:szCs w:val="24"/>
        </w:rPr>
        <w:t xml:space="preserve">Erhardt et al.’s </w:t>
      </w:r>
      <w:r w:rsidRPr="00F153F6">
        <w:rPr>
          <w:rFonts w:ascii="Times New Roman" w:eastAsiaTheme="minorEastAsia" w:hAnsi="Times New Roman" w:cs="Times New Roman"/>
          <w:sz w:val="24"/>
          <w:szCs w:val="24"/>
        </w:rPr>
        <w:t xml:space="preserve">work that demonstrates how actors resolve </w:t>
      </w:r>
      <w:r w:rsidR="00964DE8" w:rsidRPr="00F153F6">
        <w:rPr>
          <w:rFonts w:ascii="Times New Roman" w:eastAsiaTheme="minorEastAsia" w:hAnsi="Times New Roman" w:cs="Times New Roman"/>
          <w:sz w:val="24"/>
          <w:szCs w:val="24"/>
        </w:rPr>
        <w:t>conflicts</w:t>
      </w:r>
      <w:r w:rsidRPr="00F153F6">
        <w:rPr>
          <w:rFonts w:ascii="Times New Roman" w:eastAsiaTheme="minorEastAsia" w:hAnsi="Times New Roman" w:cs="Times New Roman"/>
          <w:sz w:val="24"/>
          <w:szCs w:val="24"/>
        </w:rPr>
        <w:t xml:space="preserve"> towards mutual agreement so that the project can move forward. However, their study does not investigated how email may inhibit the project team learning and where the development of knowledge may be constrained. Prior studies have shown that IOKE can be enabled by </w:t>
      </w:r>
      <w:r w:rsidR="00964DE8" w:rsidRPr="00F153F6">
        <w:rPr>
          <w:rFonts w:ascii="Times New Roman" w:eastAsiaTheme="minorEastAsia" w:hAnsi="Times New Roman" w:cs="Times New Roman"/>
          <w:sz w:val="24"/>
          <w:szCs w:val="24"/>
        </w:rPr>
        <w:t>ICT</w:t>
      </w:r>
      <w:r w:rsidRPr="00F153F6">
        <w:rPr>
          <w:rFonts w:ascii="Times New Roman" w:eastAsiaTheme="minorEastAsia" w:hAnsi="Times New Roman" w:cs="Times New Roman"/>
          <w:sz w:val="24"/>
          <w:szCs w:val="24"/>
        </w:rPr>
        <w:t xml:space="preserve"> affordances, while there also exist </w:t>
      </w:r>
      <w:r w:rsidR="00B97646" w:rsidRPr="00F153F6">
        <w:rPr>
          <w:rFonts w:ascii="Times New Roman" w:eastAsiaTheme="minorEastAsia" w:hAnsi="Times New Roman" w:cs="Times New Roman"/>
          <w:sz w:val="24"/>
          <w:szCs w:val="24"/>
        </w:rPr>
        <w:t>creating</w:t>
      </w:r>
      <w:r w:rsidRPr="00F153F6">
        <w:rPr>
          <w:rFonts w:ascii="Times New Roman" w:eastAsiaTheme="minorEastAsia" w:hAnsi="Times New Roman" w:cs="Times New Roman"/>
          <w:sz w:val="24"/>
          <w:szCs w:val="24"/>
        </w:rPr>
        <w:t xml:space="preserve"> barriers for IOKE practices such as: geographic distance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{"citationID":"4YG2h2LM","properties":{"formattedCitation":"(Cramton, 2001)","plainCitation":"(Cramton, 2001)","noteIndex":0},"citationItems":[{"id":10294,"uris":["http://zotero.org/users/5709166/items/2LCHPSME"],"itemData":{"id":10294,"type":"article-journal","abstract":"This paper proposes that maintaining “mutual knowledge” is a central problem of geographically dispersed collaboration and traces the consequences of failure to do so. It presents a model of these processes which is grounded in study of thirteen geographically dispersed teams. Five types of problems constituting failures of mutual knowledge are identiﬁed: failure to communicate and retain contextual information, unevenly distributed information, difﬁculty communicating and understanding the salience of information, differences in speed of access to information, and difﬁculty interpreting the meaning of silence. The frequency of occurrence and severity of each problem in the teams are analyzed. Attribution theory, the concept of cognitive load, and feedback dynamics are harnessed to explain how dispersed partners are likely to interpret failures of mutual knowledge and the consequences of these interpretations for the integrity of the effort. In particular, it is suggested that unrecognized differences in the situations, contexts, and constraints of dispersed collaborators constitute “hidden proﬁles” that can increase the likelihood of dispositional rather than situational attribution, with consequences for cohesion and learning. Moderators and accelerators of these dynamics are identiﬁed, and implications for both dispersed and collocated collaboration are discussed.","container-title":"Organization Science","DOI":"10.1287/orsc.12.3.346.10098","ISSN":"1047-7039, 1526-5455","issue":"3","journalAbbreviation":"Organization Science","language":"en","page":"346-371","source":"DOI.org (Crossref)","title":"The Mutual Knowledge Problem and Its Consequences for Dispersed Collaboration","volume":"12","author":[{"family":"Cramton","given":"Catherine Durnell"}],"issued":{"date-parts":[["2001",6]]}},"label":"page"}],"schema":"https://github.com/citation-style-language/schema/raw/master/csl-citation.json"}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(Cramton, 2001)</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existence of subgroups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{"citationID":"LQ9w6cKG","properties":{"formattedCitation":"(Yilmaz &amp; Pe\\uc0\\u241{}a, 2014)","plainCitation":"(Yilmaz &amp; Peña, 2014)","noteIndex":0},"citationItems":[{"id":10299,"uris":["http://zotero.org/users/5709166/items/YPTFURQB"],"itemData":{"id":10299,"type":"article-journal","abstract":"Subgroup formation within larger virtual teams can lead to biased information sharing and conflict. Given this, the present study examined how social categories (i.e., in-group vs. out-group status) and interpersonal behaviors (i.e., a teammate behaving positively vs. negatively) influenced intentions and attitudes toward subgrouping in short-term virtual teams. One hundred sixty-four participants interacted in four-person teams using a synchronous chat program. The analysis showed that, though both social categories and interpersonal behaviors affected subgrouping choices, interpersonal behaviors had a stronger effect. Additionally, there was no evidence for the ?black sheep hypothesis? predicting that in-group members behaving negatively discourages subgrouping. Overall, this exemplified how minimal categorical cues trigger in-group favoritism and out-group discrimination in virtual teams as anticipated by social identity models. The findings also illustrated how interpersonal behaviors robustly affect virtual team dynamics as stated by social information processing theory.","container-title":"Communication Research","DOI":"10.1177/0093650212443696","ISSN":"0093-6502","issue":"3","note":"publisher: SAGE Publications Inc","page":"333-352","source":"SAGE Journals","title":"The Influence of Social Categories and Interpersonal Behaviors on Future Intentions and Attitudes to Form Subgroups in Virtual Teams","volume":"41","author":[{"family":"Yilmaz","given":"Gamze"},{"family":"Peña","given":"Jorge"}],"issued":{"date-parts":[["2014",4,1]]}}}],"schema":"https://github.com/citation-style-language/schema/raw/master/csl-citation.json"}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hAnsi="Times New Roman" w:cs="Times New Roman"/>
          <w:sz w:val="24"/>
          <w:szCs w:val="24"/>
        </w:rPr>
        <w:t>(Yilmaz &amp; Peña, 2014)</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or cultural differences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{"citationID":"oysk8aWC","properties":{"formattedCitation":"(Bayer &amp; Maier, 2022; Sapuarachchi, 2021)","plainCitation":"(Bayer &amp; Maier, 2022; Sapuarachchi, 2021)","noteIndex":0},"citationItems":[{"id":10297,"uris":["http://zotero.org/users/5709166/items/DU63AHC6"],"itemData":{"id":10297,"type":"article-journal","abstract":"Organizations are increasingly dependent on knowledge assets as primary sources of competitive advantage. Knowledge management typically aims at increasing transparency of knowledge, codifying it and enhancing knowledge sharing in order to improve (re-)use of knowledge assets. However, this also bears the risk that knowledge-based competitive advantages are diluted. This paper defines the concept of knowledge risk, identifies and structures factors influencing intended and unintended knowledge transfer with a special focus on inter-organizational knowledge transfer because here potentials and risks are comparably high. Finally, the paper discusses the consequences for setting governance rules for knowledge risks.","source":"ResearchGate","title":"Knowledge Risks in Inter-Organizational Knowledge Transfer","author":[{"family":"Bayer","given":"Florian"},{"family":"Maier","given":"Ronald"}],"issued":{"date-parts":[["2022",10,18]]}}},{"id":10295,"uris":["http://zotero.org/users/5709166/items/6J7B43AV"],"itemData":{"id":10295,"type":"article-journal","abstract":"Purpose The purpose of this study is to explore a phenomenon in knowledge management that has been given scant attention: the influence of cultural distance on inter-organizational knowledge transfer in the context of multinational companies involving headquarters in the USA and a subsidiary in Sri Lanka. Design/methodology/approach Designed as a qualitative exploratory study, data was collected through in-depth interviews of 15 participants and documents review. Findings The findings of this study implied that the theoretically introduced cultural dimensions shall be relevant to analyze the phenomenon of this study. Consequently, through the findings of this study, it is argued that inter-organizational knowledge transfer in multinational companies is influenced by cultural distance. Research limitations/implications This study theoretically and empirically contributes to the debates on knowledge transfer in knowledge management research in general and, inter-organizational knowledge transfer in multinational companies between headquarters and subsidiaries with respect to the influence of cultural distance in particular, through the light of Trompenaars’ (1993) cultural dimensions theory. Practical implications The findings of this study could motivate the practitioners to take into account: the influence of cultural distance on inter-organizational knowledge transfer, if inter-organizational knowledge transfer happens in similar contexts: multinational companies with a headquarters in the USA (a western context) and a subsidiary in Sri Lanka (a non-western context) in the practical business world. Originality/value This study provides theoretical and empirical insights into the influence of cultural distance on inter-organizational knowledge transfer in multinational companies between headquarters and subsidiaries in the selected context while suggesting various avenues for further research toward the influence of cultural distance on such phenomenon in similar/dissimilar contexts.","container-title":"Journal of Knowledge Management","DOI":"10.1108/JKM-06-2020-0439","ISSN":"1367-3270","issue":"9","note":"publisher: Emerald Publishing Limited","page":"2316-2333","source":"Emerald Insight","title":"Cultural distance and inter-organizational knowledge transfer: a case study of a multinational company","title-short":"Cultural distance and inter-organizational knowledge transfer","volume":"25","author":[{"family":"Sapuarachchi","given":"Dasun Bhagya"}],"issued":{"date-parts":[["2021",1,1]]}}}],"schema":"https://github.com/citation-style-language/schema/raw/master/csl-citation.json"}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(Bayer &amp; Maier, 2022; Sapuarachchi, 2021)</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all of which are under investigated by existing studies that have examined the role of </w:t>
      </w:r>
      <w:r w:rsidR="00964DE8" w:rsidRPr="00F153F6">
        <w:rPr>
          <w:rFonts w:ascii="Times New Roman" w:eastAsiaTheme="minorEastAsia" w:hAnsi="Times New Roman" w:cs="Times New Roman"/>
          <w:sz w:val="24"/>
          <w:szCs w:val="24"/>
        </w:rPr>
        <w:t>ICT</w:t>
      </w:r>
      <w:r w:rsidRPr="00F153F6">
        <w:rPr>
          <w:rFonts w:ascii="Times New Roman" w:eastAsiaTheme="minorEastAsia" w:hAnsi="Times New Roman" w:cs="Times New Roman"/>
          <w:sz w:val="24"/>
          <w:szCs w:val="24"/>
        </w:rPr>
        <w:t xml:space="preserve"> at inception project stage. The present study accordingly provides implications regarding this by demonstrating diverse ICT-constrained abilities (e.g., appealing, implicit signalling) in the accomplishment of knowledgeable works in ICT-based IOKE practice during inception stage. </w:t>
      </w:r>
    </w:p>
    <w:p w14:paraId="560D62E8" w14:textId="39FE1265" w:rsidR="0015201A" w:rsidRPr="00F153F6" w:rsidRDefault="0015201A" w:rsidP="004424B4">
      <w:pPr>
        <w:spacing w:line="360" w:lineRule="auto"/>
        <w:jc w:val="both"/>
        <w:rPr>
          <w:rFonts w:ascii="Times New Roman" w:eastAsiaTheme="minorEastAsia" w:hAnsi="Times New Roman" w:cs="Times New Roman"/>
          <w:b/>
          <w:bCs/>
          <w:sz w:val="24"/>
          <w:szCs w:val="24"/>
        </w:rPr>
      </w:pPr>
      <w:r w:rsidRPr="00F153F6">
        <w:rPr>
          <w:rFonts w:ascii="Times New Roman" w:eastAsiaTheme="minorEastAsia" w:hAnsi="Times New Roman" w:cs="Times New Roman"/>
          <w:b/>
          <w:bCs/>
          <w:sz w:val="24"/>
          <w:szCs w:val="24"/>
        </w:rPr>
        <w:t>Complexity of the Context for Inception Stage</w:t>
      </w:r>
    </w:p>
    <w:p w14:paraId="5A984130" w14:textId="149012AC"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At the inception stage of Living Lab projects, activities in ICT-based IOKE practice are situated in an early initiation process where actors strive for knowledge to probe new possibilities and nurture initial creativity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{"citationID":"rrZqcpHm","properties":{"formattedCitation":"(Juuj\\uc0\\u228{}rvi &amp; Lund, 2016)","plainCitation":"(Juujärvi &amp; Lund, 2016)","noteIndex":0},"citationItems":[{"id":10044,"uris":["http://zotero.org/users/5709166/items/CLNZPX3Q"],"itemData":{"id":10044,"type":"article-journal","container-title":"Technology Innovation Management Review","issue":"1","language":"en","page":"11","source":"Zotero","title":"Enhancing Early Innovation in an Urban Living Lab: Lessons from Espoo, Finland","volume":"6","author":[{"family":"Juujärvi","given":"Soile"},{"family":"Lund","given":"Virpi"}],"issued":{"date-parts":[["2016"]]}}}],"schema":"https://github.com/citation-style-language/schema/raw/master/csl-citation.json"}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hAnsi="Times New Roman" w:cs="Times New Roman"/>
          <w:sz w:val="24"/>
          <w:szCs w:val="24"/>
        </w:rPr>
        <w:t>(Juujärvi &amp; Lund, 2016)</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Compared to the whole </w:t>
      </w:r>
      <w:r w:rsidRPr="00F153F6">
        <w:rPr>
          <w:rFonts w:ascii="Times New Roman" w:eastAsiaTheme="minorEastAsia" w:hAnsi="Times New Roman" w:cs="Times New Roman"/>
          <w:i/>
          <w:iCs/>
          <w:sz w:val="24"/>
          <w:szCs w:val="24"/>
        </w:rPr>
        <w:t>project</w:t>
      </w:r>
      <w:r w:rsidRPr="00F153F6">
        <w:rPr>
          <w:rFonts w:ascii="Times New Roman" w:eastAsiaTheme="minorEastAsia" w:hAnsi="Times New Roman" w:cs="Times New Roman"/>
          <w:sz w:val="24"/>
          <w:szCs w:val="24"/>
        </w:rPr>
        <w:t xml:space="preserve"> perspective, this stage is viewed as </w:t>
      </w:r>
      <w:r w:rsidRPr="00F153F6">
        <w:rPr>
          <w:rFonts w:ascii="Times New Roman" w:eastAsiaTheme="minorEastAsia" w:hAnsi="Times New Roman" w:cs="Times New Roman"/>
          <w:i/>
          <w:iCs/>
          <w:sz w:val="24"/>
          <w:szCs w:val="24"/>
        </w:rPr>
        <w:t>preject</w:t>
      </w:r>
      <w:r w:rsidRPr="00F153F6">
        <w:rPr>
          <w:rFonts w:ascii="Times New Roman" w:eastAsiaTheme="minorEastAsia" w:hAnsi="Times New Roman" w:cs="Times New Roman"/>
          <w:sz w:val="24"/>
          <w:szCs w:val="24"/>
        </w:rPr>
        <w:t xml:space="preserve"> or </w:t>
      </w:r>
      <w:r w:rsidRPr="00F153F6">
        <w:rPr>
          <w:rFonts w:ascii="Times New Roman" w:eastAsiaTheme="minorEastAsia" w:hAnsi="Times New Roman" w:cs="Times New Roman"/>
          <w:i/>
          <w:iCs/>
          <w:sz w:val="24"/>
          <w:szCs w:val="24"/>
        </w:rPr>
        <w:t>front-end</w:t>
      </w:r>
      <w:r w:rsidRPr="00F153F6">
        <w:rPr>
          <w:rFonts w:ascii="Times New Roman" w:eastAsiaTheme="minorEastAsia" w:hAnsi="Times New Roman" w:cs="Times New Roman"/>
          <w:sz w:val="24"/>
          <w:szCs w:val="24"/>
        </w:rPr>
        <w:t xml:space="preserve"> stage where prolonged goal seeking and emergence of open thinking is crucial for radical innovations at the level of knowledge exchange and interactions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{"citationID":"YaqtkZY4","properties":{"formattedCitation":"(Colombo et al., 2015; Dars\\uc0\\u248{}, 2003)","plainCitation":"(Colombo et al., 2015; Darsø, 2003)","noteIndex":0},"citationItems":[{"id":10049,"uris":["http://zotero.org/users/5709166/items/57859CIB"],"itemData":{"id":10049,"type":"article-journal","abstract":"In the ‘knowledge economy’ upheld by the European Lisbon strategy, knowledge-intensive services are considered a key driver for innovation and competitiveness. A category of knowledge-intensive services that has become of utmost importance in the last few decades is new product development (NPD) services, which interconnect distant knowledge domains with the client firms. In addition to NPD service providers, web-based innovation intermediaries have started to help innovative firms access dispersed bodies of knowledge. Despite the heterogeneity of their characteristics, however, a clear typology of the strategies used by traditional NPD service providers and web-based intermediaries to interact with their knowledge sources and with their clients is missing. This typology would be very useful for those firms that are willing to collaborate with innovation intermediaries because it could highlight the typologies of NPD problems different intermediaries are apt to address and the managerial challenges that working with them entails. Developing such a classification framework is the main goal of this paper. The typology proposed in this paper suggests that innovation intermediaries should be distinguished based on the following: (1) the way they access their distributed knowledge sources and (2) the way they deliver value to their clients. By combining these two dimensions, four categories of innovation intermediaries are identified, which are named brokers, mediators, collectors and connectors. A multiple case study analysis involving four innovation intermediaries and 12 of their clients is presented in the paper. The analysis provides exploratory insights into (1) the typologies of NPD problems that each class of intermediaries addresses and (2) the managerial challenges that working with each of them entails. These preliminary findings call for further theoretical and empirical research into the complex interaction among innovation intermediaries, their dispersed sources of knowledge and their clients.","container-title":"R&amp;D Management","DOI":"10.1111/radm.12056","ISSN":"1467-9310","issue":"2","language":"en","note":"_eprint: https://onlinelibrary.wiley.com/doi/pdf/10.1111/radm.12056","page":"126-146","source":"Wiley Online Library","title":"Exploring the contribution of innovation intermediaries to the new product development (NPD) process: a typology and an empirical study","title-short":"Exploring the contribution of innovation intermediaries to the new product development (NPD) process","volume":"45","author":[{"family":"Colombo","given":"Gabriele"},{"family":"Dell'Era","given":"Claudio"},{"family":"Frattini","given":"Federico"}],"issued":{"date-parts":[["2015"]]}}},{"id":10048,"uris":["http://zotero.org/users/5709166/items/6XYK5Q7L"],"itemData":{"id":10048,"type":"article-journal","language":"da","page":"12","source":"Zotero","title":"Findes der en formel for innovation?","author":[{"family":"Darsø","given":"Af Lotte"}],"issued":{"date-parts":[["2003"]]}}}],"schema":"https://github.com/citation-style-language/schema/raw/master/csl-citation.json"}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hAnsi="Times New Roman" w:cs="Times New Roman"/>
          <w:sz w:val="24"/>
          <w:szCs w:val="24"/>
        </w:rPr>
        <w:t>(Colombo et al., 2015; Darsø, 2003)</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w:t>
      </w:r>
      <w:r w:rsidRPr="00F153F6">
        <w:rPr>
          <w:rFonts w:ascii="Times New Roman" w:eastAsiaTheme="minorEastAsia" w:hAnsi="Times New Roman" w:cs="Times New Roman"/>
          <w:i/>
          <w:iCs/>
          <w:sz w:val="24"/>
          <w:szCs w:val="24"/>
        </w:rPr>
        <w:t xml:space="preserve"> </w:t>
      </w:r>
      <w:r w:rsidRPr="00F153F6">
        <w:rPr>
          <w:rFonts w:ascii="Times New Roman" w:eastAsiaTheme="minorEastAsia" w:hAnsi="Times New Roman" w:cs="Times New Roman"/>
          <w:sz w:val="24"/>
          <w:szCs w:val="24"/>
        </w:rPr>
        <w:t xml:space="preserve">This stage of the project lifecycle usually implies an early stage of learning and innovating, and is usually featured as fussiness or chaotic </w:t>
      </w:r>
      <w:r w:rsidRPr="00F153F6">
        <w:rPr>
          <w:rFonts w:ascii="Times New Roman" w:eastAsiaTheme="minorEastAsia" w:hAnsi="Times New Roman" w:cs="Times New Roman"/>
          <w:sz w:val="24"/>
          <w:szCs w:val="24"/>
        </w:rPr>
        <w:fldChar w:fldCharType="begin"/>
      </w:r>
      <w:r w:rsidR="00B73834" w:rsidRPr="00F153F6">
        <w:rPr>
          <w:rFonts w:ascii="Times New Roman" w:eastAsiaTheme="minorEastAsia" w:hAnsi="Times New Roman" w:cs="Times New Roman"/>
          <w:sz w:val="24"/>
          <w:szCs w:val="24"/>
        </w:rPr>
        <w:instrText xml:space="preserve"> ADDIN ZOTERO_ITEM CSL_CITATION {"citationID":"1QuznGtD","properties":{"formattedCitation":"(J. Kim &amp; Wilemon, 2002; M. H. Chappin et al., 2019)","plainCitation":"(J. Kim &amp; Wilemon, 2002; M. H. Chappin et al., 2019)","dontUpdate":true,"noteIndex":0},"citationItems":[{"id":10052,"uris":["http://zotero.org/users/5709166/items/CZNX2WEM"],"itemData":{"id":10052,"type":"article-journal","abstract":"Effectively managing the ‘upfront or fuzzy front–end’ (FFE) of the product development process is one of the most important, difficult challenges facing innovation managers. In this paper, we define the FFE as the period between when an opportunity is first considered and when an idea is judged ready for development. We classify the outcomes of the FFE into product definition, time, and people dimensions. We suggest several strategies to manage the FFE by assigning a FFE manager or team; by providing organizational support for FFE activities; by understanding the sources of FFE ambiguity; by building an information system; and by developing relationships with supporters, partners, and alliances.","container-title":"R&amp;D Management","DOI":"10.1111/1467-9310.00259","ISSN":"1467-9310","issue":"4","language":"en","note":"_eprint: https://onlinelibrary.wiley.com/doi/pdf/10.1111/1467-9310.00259","page":"269-279","source":"Wiley Online Library","title":"Focusing the fuzzy front–end in new product development","volume":"32","author":[{"family":"Kim","given":"Jongbae"},{"family":"Wilemon","given":"David"}],"issued":{"date-parts":[["2002"]]}}},{"id":10040,"uris":["http://zotero.org/users/5709166/items/8STK8GAX"],"itemData":{"id":10040,"type":"article-journal","abstract":"Past research has reported that learning processes in early stage R&amp;D are either chaotic, or absent. We challenge this finding by elaborating Van de Ven et al.’s trial-and-error learning model and explore an alternative conceptualization. We explored the combinations of positive and negative outcomes and action course continuation and modification. We use data gathered in an R&amp;D setting of a 4-years pre-competitive knowledge generation project in the Dutch paper and board industry. Whereas the Van de Ven and Polley (1992) approach applied on our data also would lead us to conclude that ‘no learning’ would happen, our decomposed model identified three distinct learning patterns: (1) a virtuous pattern of positive outcomes resulting in continuations of action courses; (2) a vacuous pattern of negative outcomes resulting in modifications of action courses; and (3) a verification pattern of positive outcomes resulting in modifications of action courses. We observed the virtuous and verification patterns during the first 2 years and virtuous and vacuous learning in the second 2 years. These results might be useful for R&amp;D managers since they provide insight into how an early stage R&amp;D project can develop and where managers might intervene and adjust action courses.","container-title":"R&amp;D Management","DOI":"10.1111/radm.12358","ISSN":"1467-9310","issue":"4","language":"en","note":"_eprint: https://onlinelibrary.wiley.com/doi/pdf/10.1111/radm.12358","page":"684-695","source":"Wiley Online Library","title":"Learning patterns in early stage R&amp;D projects: empirical evidence from the fibre raw material technology project in the Netherlands","title-short":"Learning patterns in early stage R&amp;D projects","volume":"49","author":[{"family":"M. H. Chappin","given":"Maryse"},{"family":"Faber","given":"Jan"},{"family":"T. H. Meeus","given":"Marius"}],"issued":{"date-parts":[["2019"]]}}}],"schema":"https://github.com/citation-style-language/schema/raw/master/csl-citation.json"}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hAnsi="Times New Roman" w:cs="Times New Roman"/>
          <w:sz w:val="24"/>
          <w:szCs w:val="24"/>
        </w:rPr>
        <w:t>(Kim &amp; Wilemon, 2002; Chappin et al., 2019)</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The present findings conform to these arguments by uncovering the characteristics of inter-organisational context of ICT-based IOKE practice where actors at inception stage usually commence with unclear goals of the project, less knowledge about their partners and relationships, and divergent levels of expertise. The findings of this study further indicates that intra-organisational and wider environmental contexts can also have an impact on actors’ knowledge exchange. This is because actors are also situated in their own organisations and wider society thereby being affected by intra-</w:t>
      </w:r>
      <w:r w:rsidRPr="00F153F6">
        <w:rPr>
          <w:rFonts w:ascii="Times New Roman" w:eastAsiaTheme="minorEastAsia" w:hAnsi="Times New Roman" w:cs="Times New Roman"/>
          <w:sz w:val="24"/>
          <w:szCs w:val="24"/>
        </w:rPr>
        <w:lastRenderedPageBreak/>
        <w:t xml:space="preserve">organisational and societal rules and routines, where the equivocality and uncertainty of the front-end surroundings intensifies during inception stage. </w:t>
      </w:r>
    </w:p>
    <w:p w14:paraId="1E09AAC0" w14:textId="77777777" w:rsidR="0015201A" w:rsidRPr="00F153F6" w:rsidRDefault="0015201A" w:rsidP="004424B4">
      <w:pPr>
        <w:spacing w:line="360" w:lineRule="auto"/>
        <w:jc w:val="both"/>
        <w:rPr>
          <w:rFonts w:ascii="Times New Roman" w:eastAsiaTheme="minorEastAsia" w:hAnsi="Times New Roman" w:cs="Times New Roman"/>
        </w:rPr>
      </w:pPr>
    </w:p>
    <w:p w14:paraId="73E85932" w14:textId="77777777" w:rsidR="0015201A" w:rsidRPr="00F153F6" w:rsidRDefault="0015201A" w:rsidP="000543CB">
      <w:pPr>
        <w:pStyle w:val="Heading3"/>
        <w:spacing w:line="360" w:lineRule="auto"/>
        <w:ind w:firstLine="720"/>
        <w:jc w:val="both"/>
        <w:rPr>
          <w:rFonts w:ascii="Times New Roman" w:hAnsi="Times New Roman" w:cs="Times New Roman"/>
          <w:b/>
          <w:color w:val="auto"/>
          <w:sz w:val="28"/>
          <w:szCs w:val="28"/>
        </w:rPr>
      </w:pPr>
      <w:bookmarkStart w:id="660" w:name="_Toc118371156"/>
      <w:bookmarkStart w:id="661" w:name="_Toc133252182"/>
      <w:r w:rsidRPr="00F153F6">
        <w:rPr>
          <w:rFonts w:ascii="Times New Roman" w:hAnsi="Times New Roman" w:cs="Times New Roman"/>
          <w:b/>
          <w:color w:val="auto"/>
          <w:sz w:val="28"/>
          <w:szCs w:val="28"/>
        </w:rPr>
        <w:t>5.2.3 Middle Stage Framework</w:t>
      </w:r>
      <w:bookmarkEnd w:id="660"/>
      <w:bookmarkEnd w:id="661"/>
    </w:p>
    <w:p w14:paraId="33B2BE03" w14:textId="4489E966"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The present findings show that a shared understanding and interactive commenting are two core knowledgeabilities characteristic of middle stage, conditioned by actors’ inter-connecting knowledgeability and resulting in co-ordinating knowledgeability. The enactment of these knowledgeabilities is mediated by thirteen ICT affordances, seven constraints, and three different contextual layers. Compared to the integrated framework, core knowledgeabilities (interactive learning and co-creating) have two variations (expertise accumulating and collaborative problem solving), while conditional (inter-connecting) and resulting knowledgeabilities (co-ordinating) remain the same.</w:t>
      </w:r>
      <w:r w:rsidR="00CD4963" w:rsidRPr="00F153F6">
        <w:rPr>
          <w:rFonts w:ascii="Times New Roman" w:eastAsiaTheme="minorEastAsia" w:hAnsi="Times New Roman" w:cs="Times New Roman"/>
          <w:sz w:val="24"/>
          <w:szCs w:val="24"/>
        </w:rPr>
        <w:t xml:space="preserve"> The depicted figure for middle stage framework has been placed below as well (Figure 5.3), just for signposting the relevant concepts and categories.</w:t>
      </w:r>
    </w:p>
    <w:p w14:paraId="79662F0D" w14:textId="793D6EB1" w:rsidR="007148BA" w:rsidRPr="00F153F6" w:rsidRDefault="00E00ACE" w:rsidP="007148BA">
      <w:pPr>
        <w:keepNext/>
        <w:spacing w:line="360" w:lineRule="auto"/>
        <w:jc w:val="center"/>
      </w:pPr>
      <w:r w:rsidRPr="00F153F6">
        <w:rPr>
          <w:noProof/>
        </w:rPr>
        <w:lastRenderedPageBreak/>
        <w:drawing>
          <wp:inline distT="0" distB="0" distL="0" distR="0" wp14:anchorId="44CC6892" wp14:editId="1E7DC35F">
            <wp:extent cx="5731510" cy="4605020"/>
            <wp:effectExtent l="0" t="0" r="2540" b="5080"/>
            <wp:docPr id="1103716820" name="Picture 11037168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34703" name="Picture 3"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605020"/>
                    </a:xfrm>
                    <a:prstGeom prst="rect">
                      <a:avLst/>
                    </a:prstGeom>
                    <a:noFill/>
                    <a:ln>
                      <a:noFill/>
                    </a:ln>
                  </pic:spPr>
                </pic:pic>
              </a:graphicData>
            </a:graphic>
          </wp:inline>
        </w:drawing>
      </w:r>
    </w:p>
    <w:p w14:paraId="6027F477" w14:textId="746C19EF" w:rsidR="007148BA" w:rsidRPr="00F153F6" w:rsidRDefault="007148BA" w:rsidP="007148BA">
      <w:pPr>
        <w:pStyle w:val="Caption"/>
        <w:jc w:val="center"/>
        <w:rPr>
          <w:rFonts w:ascii="Times New Roman" w:hAnsi="Times New Roman" w:cs="Times New Roman"/>
          <w:i w:val="0"/>
          <w:iCs w:val="0"/>
          <w:color w:val="auto"/>
          <w:sz w:val="22"/>
          <w:szCs w:val="22"/>
        </w:rPr>
      </w:pPr>
      <w:bookmarkStart w:id="662" w:name="_Toc119448471"/>
      <w:r w:rsidRPr="00F153F6">
        <w:rPr>
          <w:rFonts w:ascii="Times New Roman" w:hAnsi="Times New Roman" w:cs="Times New Roman"/>
          <w:i w:val="0"/>
          <w:iCs w:val="0"/>
          <w:color w:val="auto"/>
          <w:sz w:val="22"/>
          <w:szCs w:val="22"/>
        </w:rPr>
        <w:t xml:space="preserve">Figure 5.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Figure_5.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3</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A Copy of Figure 4.2 ICT-based Inter-organisational Knowledge Exchange Practice (Middle Stage)</w:t>
      </w:r>
      <w:bookmarkEnd w:id="662"/>
    </w:p>
    <w:p w14:paraId="5A79051A" w14:textId="27181769" w:rsidR="00CD4963" w:rsidRPr="00F153F6" w:rsidRDefault="00CD4963" w:rsidP="007148BA">
      <w:pPr>
        <w:spacing w:line="360" w:lineRule="auto"/>
        <w:jc w:val="center"/>
        <w:rPr>
          <w:rFonts w:ascii="Times New Roman" w:hAnsi="Times New Roman" w:cs="Times New Roman"/>
        </w:rPr>
      </w:pPr>
      <w:r w:rsidRPr="00F153F6">
        <w:rPr>
          <w:rFonts w:ascii="Times New Roman" w:hAnsi="Times New Roman" w:cs="Times New Roman"/>
        </w:rPr>
        <w:fldChar w:fldCharType="begin"/>
      </w:r>
      <w:r w:rsidRPr="00F153F6">
        <w:rPr>
          <w:rFonts w:ascii="Times New Roman" w:hAnsi="Times New Roman" w:cs="Times New Roman"/>
        </w:rPr>
        <w:instrText xml:space="preserve"> INCLUDEPICTURE "https://documents.lucid.app/documents/44d8b9b0-6d41-4b5d-a20d-ee01d91060ef/pages/0_0?a=10246&amp;x=8440&amp;y=-795&amp;w=1760&amp;h=1645&amp;store=1&amp;accept=image%2F*&amp;auth=LCA%20c3f5dac708199b0b1414d6cd5a8448c15a7bd1d8-ts%3D1643667786" \* MERGEFORMATINET </w:instrText>
      </w:r>
      <w:r w:rsidR="00000000">
        <w:rPr>
          <w:rFonts w:ascii="Times New Roman" w:hAnsi="Times New Roman" w:cs="Times New Roman"/>
        </w:rPr>
        <w:fldChar w:fldCharType="separate"/>
      </w:r>
      <w:r w:rsidRPr="00F153F6">
        <w:rPr>
          <w:rFonts w:ascii="Times New Roman" w:hAnsi="Times New Roman" w:cs="Times New Roman"/>
        </w:rPr>
        <w:fldChar w:fldCharType="end"/>
      </w:r>
    </w:p>
    <w:p w14:paraId="5CDE5694" w14:textId="63146EC7" w:rsidR="0015201A" w:rsidRPr="00F153F6" w:rsidRDefault="0015201A" w:rsidP="004424B4">
      <w:pPr>
        <w:spacing w:line="360" w:lineRule="auto"/>
        <w:jc w:val="both"/>
        <w:rPr>
          <w:rFonts w:ascii="Times New Roman" w:eastAsiaTheme="minorEastAsia" w:hAnsi="Times New Roman" w:cs="Times New Roman"/>
          <w:b/>
          <w:bCs/>
          <w:sz w:val="24"/>
          <w:szCs w:val="24"/>
        </w:rPr>
      </w:pPr>
      <w:r w:rsidRPr="00F153F6">
        <w:rPr>
          <w:rFonts w:ascii="Times New Roman" w:eastAsiaTheme="minorEastAsia" w:hAnsi="Times New Roman" w:cs="Times New Roman"/>
          <w:b/>
          <w:bCs/>
          <w:sz w:val="24"/>
          <w:szCs w:val="24"/>
        </w:rPr>
        <w:t>Essential Knowledgeabilities in Middle Stage</w:t>
      </w:r>
    </w:p>
    <w:p w14:paraId="64FCB136" w14:textId="21EAAA14"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As the project moves to the middle stage, ICT-based IOKE practice is about to move to a more mature stage. The present findings suggests that at the middle stage, actors’ ICT-based knowledge exchange practice emphasis the development of their project collaboration where core knowledgeabilities enacted by actors are thereby changed to expertise accumulating and collaborative problem solving. This is the stage where actors intensively develop their project activities in pursuit of their project goals which has been defined during inception stage. This echoes Calamel et al.’s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{"citationID":"eWKxbl04","properties":{"formattedCitation":"(2012)","plainCitation":"(2012)","noteIndex":0},"citationItems":[{"id":10091,"uris":["http://zotero.org/users/5709166/items/Q6XRNA39"],"itemData":{"id":10091,"type":"article-journal","abstract":"Having received considerable attention from central government and local authorities, French innovation clusters (the so-called ‘pôles de compétitivité’) are beginning to be studied by academic researchers and evaluated by consultants. The core of their activity consists of collaborative projects, which are characterised by specific management and Human Resources practices located at the junction of different cultures and employment statuses. Almost four years after they were launched, what can we say about the dynamic of these collaborative projects? What is the reality of such collaboration when it involves multiple partnerships bringing together employees from different occupational cultures and Human Resources Management systems? The aim of this longitudinal research, which is based on the observation of two collaborative projects in one of the most largest clusters in France, is to discuss management and HR issues in such a setting. A literature review highlights the need to open up the ‘black box’ of collaboration within projects and encourages examination of both manager's coordination efforts and the actors' motivation to cooperate, as well as the role played by HRM practices. Thus observation of the conduct of the projects over two years reveals that collaboration, far from being a given within these projects, is the product of a process of social construction that might be fostered by better managerial support.","container-title":"International Journal of Project Management","DOI":"10.1016/j.ijproman.2011.03.001","ISSN":"0263-7863","issue":"1","journalAbbreviation":"International Journal of Project Management","language":"en","page":"48-59","source":"ScienceDirect","title":"Inter-organisational projects in French innovation clusters: The construction of collaboration","title-short":"Inter-organisational projects in French innovation clusters","volume":"30","author":[{"family":"Calamel","given":"Ludivine"},{"family":"Defélix","given":"Christian"},{"family":"Picq","given":"Thierry"},{"family":"Retour","given":"Didier"}],"issued":{"date-parts":[["2012",1,1]]}},"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(2012)</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findings that the learning process of inter-organisational collaboration moves from an exploratory-oriented to development-oriented process as the project collaboration progresses over time. </w:t>
      </w:r>
    </w:p>
    <w:p w14:paraId="76CD3214" w14:textId="7CB9B90C"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lastRenderedPageBreak/>
        <w:t xml:space="preserve">The enactment of </w:t>
      </w:r>
      <w:r w:rsidRPr="00F153F6">
        <w:rPr>
          <w:rFonts w:ascii="Times New Roman" w:eastAsiaTheme="minorEastAsia" w:hAnsi="Times New Roman" w:cs="Times New Roman"/>
          <w:i/>
          <w:iCs/>
          <w:sz w:val="24"/>
          <w:szCs w:val="24"/>
        </w:rPr>
        <w:t>expertise accumulating</w:t>
      </w:r>
      <w:r w:rsidRPr="00F153F6">
        <w:rPr>
          <w:rFonts w:ascii="Times New Roman" w:eastAsiaTheme="minorEastAsia" w:hAnsi="Times New Roman" w:cs="Times New Roman"/>
          <w:sz w:val="24"/>
          <w:szCs w:val="24"/>
        </w:rPr>
        <w:t xml:space="preserve"> demonstrates the capabilities of actors who learn and understand each other’s work through which actors </w:t>
      </w:r>
      <w:r w:rsidR="00B97646" w:rsidRPr="00F153F6">
        <w:rPr>
          <w:rFonts w:ascii="Times New Roman" w:eastAsiaTheme="minorEastAsia" w:hAnsi="Times New Roman" w:cs="Times New Roman"/>
          <w:sz w:val="24"/>
          <w:szCs w:val="24"/>
        </w:rPr>
        <w:t>explore and internalise</w:t>
      </w:r>
      <w:r w:rsidRPr="00F153F6">
        <w:rPr>
          <w:rFonts w:ascii="Times New Roman" w:eastAsiaTheme="minorEastAsia" w:hAnsi="Times New Roman" w:cs="Times New Roman"/>
          <w:sz w:val="24"/>
          <w:szCs w:val="24"/>
        </w:rPr>
        <w:t xml:space="preserve"> each other’s expertise towards new knowledge acquisition and accumulation. Through activities such as training and sharing, actors can acquire new insights and skills and accordingly understand how they could contribute to the project goals. This bears resemblance with Gibson et al.’s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{"citationID":"8tY2XOxy","properties":{"formattedCitation":"(2021)","plainCitation":"(2021)","noteIndex":0},"citationItems":[{"id":9799,"uris":["http://zotero.org/users/5709166/items/2MGCEYF6"],"itemData":{"id":9799,"type":"article-journal","abstract":"Despite the dynamic nature of knowledge-related activities and the availability of a variety of communication technologies, many global teams habitually use technology in the same way across activities. However, as teams move through cycles of accumulating, integrating, and implementing knowledge, the purposes for communication technologies change. Current theorizing and empirical work on team knowledge management has yet to develop a dynamic theory that incorporates these changes. By conducting a multiwave, mixed method analysis of 48 global teams, we develop a theory of how global teams sustain effectiveness through technology affordance processes. We found that effective teams are those that recognize cues indicating change is necessary and coevolve a symbiosis between new activities, new purposes for interaction, and new uses of communication technologies. This coevolution of purpose with technology use forms new affordances, which enable the team to move on to new knowledge management activities and sustain effectiveness. Our theory more realistically models the dynamics of staying connected while sharing, combining, and implementing knowledge across the globe.","container-title":"Organization Science","DOI":"10.1287/orsc.2021.1478","ISSN":"1047-7039, 1526-5455","journalAbbreviation":"Organization Science","language":"en","page":"orsc.2021.1478","source":"DOI.org (Crossref)","title":"Sustaining Effectiveness in Global Teams: The Coevolution of Knowledge Management Activities and Technology Affordances","title-short":"Sustaining Effectiveness in Global Teams","author":[{"family":"Gibson","given":"Cristina B."},{"family":"Dunlop","given":"Patrick D."},{"family":"Majchrzak","given":"Ann"},{"family":"Chia","given":"Terence"}],"issued":{"date-parts":[["2021",8,11]]}},"label":"page","suppress-author":true}],"schema":"https://github.com/citation-style-language/schema/raw/master/csl-citation.json"}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(2021)</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findings that actors iteratively accumulate their knowledge as they acquire new insights. The present findings suggests that actors can develop their knowing on how to develop capabilities such as skills and expertise as they enact expertise accumulating knowledgeability through guiding and training, which corresponds to Orlikowski’s </w:t>
      </w:r>
      <w:r w:rsidRPr="00F153F6">
        <w:rPr>
          <w:rFonts w:ascii="Times New Roman" w:eastAsiaTheme="minorEastAsia" w:hAnsi="Times New Roman" w:cs="Times New Roman"/>
          <w:sz w:val="24"/>
          <w:szCs w:val="24"/>
        </w:rPr>
        <w:fldChar w:fldCharType="begin"/>
      </w:r>
      <w:r w:rsidR="00B73834" w:rsidRPr="00F153F6">
        <w:rPr>
          <w:rFonts w:ascii="Times New Roman" w:eastAsiaTheme="minorEastAsia" w:hAnsi="Times New Roman" w:cs="Times New Roman"/>
          <w:sz w:val="24"/>
          <w:szCs w:val="24"/>
        </w:rPr>
        <w:instrText xml:space="preserve"> ADDIN ZOTERO_ITEM CSL_CITATION {"citationID":"WwwztbCd","properties":{"formattedCitation":"(2002a)","plainCitation":"(2002a)","noteIndex":0},"citationItems":[{"id":991,"uris":["http://zotero.org/users/5709166/items/LAGNZLDD"],"itemData":{"id":991,"type":"article-journal","abstract":"[In this paper, I outline a perspective on knowing in practice which highlights the essential role of human action in knowing how to get things done in complex organizational work. The perspective suggests that knowing is not a static embedded capability or stable disposition of actors, but rather an ongoing social accomplishment, constituted and reconstituted as actors engage the world in practice. In interpreting the findings of an empirical study conducted in a geographically dispersed high-tech organization, I suggest that the competence to do global product development is both collective and distributed, grounded in the everyday practices of organizational members. I conclude by discussing some of the research implications of a perspective on organizational knowing in practice.]","archive":"JSTOR","container-title":"Organization Science","ISSN":"1047-7039","issue":"3","page":"249-273","source":"JSTOR","title":"Knowing in Practice: Enacting a Collective Capability in Distributed Organizing","title-short":"Knowing in Practice","volume":"13","author":[{"family":"Orlikowski","given":"Wanda J."}],"issued":{"date-parts":[["2002"]]}},"label":"page","suppress-author":true}],"schema":"https://github.com/citation-style-language/schema/raw/master/csl-citation.json"}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00B73834" w:rsidRPr="00F153F6">
        <w:rPr>
          <w:rFonts w:ascii="Times New Roman" w:hAnsi="Times New Roman" w:cs="Times New Roman"/>
          <w:sz w:val="24"/>
          <w:szCs w:val="24"/>
        </w:rPr>
        <w:t>(2002)</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work. Through investigating a project</w:t>
      </w:r>
      <w:r w:rsidR="00B97646" w:rsidRPr="00F153F6">
        <w:rPr>
          <w:rFonts w:ascii="Times New Roman" w:eastAsiaTheme="minorEastAsia" w:hAnsi="Times New Roman" w:cs="Times New Roman"/>
          <w:sz w:val="24"/>
          <w:szCs w:val="24"/>
        </w:rPr>
        <w:t>’s</w:t>
      </w:r>
      <w:r w:rsidRPr="00F153F6">
        <w:rPr>
          <w:rFonts w:ascii="Times New Roman" w:eastAsiaTheme="minorEastAsia" w:hAnsi="Times New Roman" w:cs="Times New Roman"/>
          <w:sz w:val="24"/>
          <w:szCs w:val="24"/>
        </w:rPr>
        <w:t xml:space="preserve"> internal collaboration, Orlikowski </w:t>
      </w:r>
      <w:r w:rsidRPr="00F153F6">
        <w:rPr>
          <w:rFonts w:ascii="Times New Roman" w:eastAsiaTheme="minorEastAsia" w:hAnsi="Times New Roman" w:cs="Times New Roman"/>
          <w:sz w:val="24"/>
          <w:szCs w:val="24"/>
        </w:rPr>
        <w:fldChar w:fldCharType="begin"/>
      </w:r>
      <w:r w:rsidR="00B73834" w:rsidRPr="00F153F6">
        <w:rPr>
          <w:rFonts w:ascii="Times New Roman" w:eastAsiaTheme="minorEastAsia" w:hAnsi="Times New Roman" w:cs="Times New Roman"/>
          <w:sz w:val="24"/>
          <w:szCs w:val="24"/>
        </w:rPr>
        <w:instrText xml:space="preserve"> ADDIN ZOTERO_ITEM CSL_CITATION {"citationID":"wWdq9btT","properties":{"formattedCitation":"(2002a)","plainCitation":"(2002a)","noteIndex":0},"citationItems":[{"id":991,"uris":["http://zotero.org/users/5709166/items/LAGNZLDD"],"itemData":{"id":991,"type":"article-journal","abstract":"[In this paper, I outline a perspective on knowing in practice which highlights the essential role of human action in knowing how to get things done in complex organizational work. The perspective suggests that knowing is not a static embedded capability or stable disposition of actors, but rather an ongoing social accomplishment, constituted and reconstituted as actors engage the world in practice. In interpreting the findings of an empirical study conducted in a geographically dispersed high-tech organization, I suggest that the competence to do global product development is both collective and distributed, grounded in the everyday practices of organizational members. I conclude by discussing some of the research implications of a perspective on organizational knowing in practice.]","archive":"JSTOR","container-title":"Organization Science","ISSN":"1047-7039","issue":"3","page":"249-273","source":"JSTOR","title":"Knowing in Practice: Enacting a Collective Capability in Distributed Organizing","title-short":"Knowing in Practice","volume":"13","author":[{"family":"Orlikowski","given":"Wanda J."}],"issued":{"date-parts":[["2002"]]}},"label":"page","suppress-author":true}],"schema":"https://github.com/citation-style-language/schema/raw/master/csl-citation.json"}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00B73834" w:rsidRPr="00F153F6">
        <w:rPr>
          <w:rFonts w:ascii="Times New Roman" w:hAnsi="Times New Roman" w:cs="Times New Roman"/>
          <w:sz w:val="24"/>
          <w:szCs w:val="24"/>
        </w:rPr>
        <w:t>(2002)</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develops the notion of, and identifies a type of knowing in practice labelled as </w:t>
      </w:r>
      <w:r w:rsidRPr="00F153F6">
        <w:rPr>
          <w:rFonts w:ascii="Times New Roman" w:eastAsiaTheme="minorEastAsia" w:hAnsi="Times New Roman" w:cs="Times New Roman"/>
          <w:i/>
          <w:iCs/>
          <w:sz w:val="24"/>
          <w:szCs w:val="24"/>
        </w:rPr>
        <w:t>learning by doing</w:t>
      </w:r>
      <w:r w:rsidRPr="00F153F6">
        <w:rPr>
          <w:rFonts w:ascii="Times New Roman" w:eastAsiaTheme="minorEastAsia" w:hAnsi="Times New Roman" w:cs="Times New Roman"/>
          <w:sz w:val="24"/>
          <w:szCs w:val="24"/>
        </w:rPr>
        <w:t xml:space="preserve"> through which actors develop their knowing of how to develop capabilities as they conduct activities such as mentoring and training, which leads to actors’ accumulation of new knowledge and skills. Drawing on the practice perspective, the present findings suggest that such accumulation of inter-organisational knowledge only takes place as actors immerse themselves into the interactions with each other over time. This also echoes existing studies on inter-organisational learning and knowledge accumulation that suggests prolonged learning by doing in inter-organisational collaboration is crucial for the acquisition and accumulation of tacit knowledge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{"citationID":"aZB8jb11","properties":{"formattedCitation":"(Avadikyan et al., 2001; Battistella et al., 2016; Mokhtarzadeh &amp; Faghei, 2019)","plainCitation":"(Avadikyan et al., 2001; Battistella et al., 2016; Mokhtarzadeh &amp; Faghei, 2019)","noteIndex":0},"citationItems":[{"id":10097,"uris":["http://zotero.org/users/5709166/items/AJAF6GZ7"],"itemData":{"id":10097,"type":"article-journal","abstract":"The aim of our paper is to analyse the process of collaboration between independent firms linked by a technological agreement in the energy field, with a specific focus on the degree of codification of inter-organisational rules. Considering the agreement as a collection of different types of more or less codified rules, we show that their degree of codification and some other characteristics have an impact on the process of inter-firm cooperation. The paper first provides an analytical framework defining the concept and the types of rules relevant for our purpose. A rule is conceived to solve a problem of allocation or creation of resources; it serves a main function which can be of a cognitive, incentive or coordination nature; it is ambivalent, i.e. it entails side functions in addition to the main one. Two theoretical propositions are then developed and largely confirmed by our empirical research results based on two detailed case studies in the emerging field of fuel cell (FC) technology.","collection-title":"Codification of Knowledge:","container-title":"Research Policy","DOI":"10.1016/S0048-7333(01)00161-5","ISSN":"0048-7333","issue":"9","journalAbbreviation":"Research Policy","language":"en","page":"1443-1458","source":"ScienceDirect","title":"Organisational rules, codification and knowledge creation in inter-organisation cooperative agreements","volume":"30","author":[{"family":"Avadikyan","given":"Arman"},{"family":"Llerena","given":"Patrick"},{"family":"Matt","given":"Mireille"},{"family":"Rozan","given":"Anne"},{"family":"Wolff","given":"Sandrine"}],"issued":{"date-parts":[["2001",12,1]]}}},{"id":2368,"uris":["http://zotero.org/users/5709166/items/2NCWW4TX"],"itemData":{"id":2368,"type":"article-journal","abstract":"This paper aims to provide, through a literature analysis, a solid theoretical foundation that allows identifying the critical factors for technology/knowledge transfer. The literature review allowed to summarize the main contributions collected, to identify the main critical factors for technology/knowledge transfer and to frame them in a simple framework, carrying out a rationalization and classification. We built a reference framework, called “model of technology/knowledge transfer”. The proposed structure considers six categories related to the actors involved (sources, recipients and intermediaries), the relationship between them, the object of the transfer, the channels and mechanisms and the reference context. The factors represent all the main parameters and levers to consider in the design and implementation of an activity of technology/knowledge transfer. This can direct also future research by deepening these factors or the relationship among them.","container-title":"The Journal of Technology Transfer","DOI":"10.1007/s10961-015-9418-7","ISSN":"1573-7047","issue":"5","journalAbbreviation":"J Technol Transf","language":"en","page":"1195-1234","source":"Springer Link","title":"Inter-organisational technology/knowledge transfer: a framework from critical literature review","title-short":"Inter-organisational technology/knowledge transfer","volume":"41","author":[{"family":"Battistella","given":"Cinzia"},{"family":"De Toni","given":"Alberto F."},{"family":"Pillon","given":"Roberto"}],"issued":{"date-parts":[["2016",10,1]]}}},{"id":10100,"uris":["http://zotero.org/users/5709166/items/E496HRSK"],"itemData":{"id":10100,"type":"article-journal","abstract":"Based on the rapid pace of technological changes in the present era, many organisations have come to the conclusion that they have no choice other than cooperating with each other in order to gain knowledge. Technological learning in inter-firm collaboration has turned into a necessity for many organisations. However, organisations have a rudimentary knowledge about its process and the way it materializes. In this review, in order to understand the process of technological learning better, papers with the following characteristics are searched for: 1) they should discuss the process of technological learning; 2) they should have inter-firm collaboration as the level of analysis for their models. As a result, six models were found which are investigated here. First, each of the models is introduced. Then, the level and the definition of technological learning are discussed based on the model. Different models approximately imply the same definition of inter-firm technological learning, however, the level of technological learning in them is different. This review highlights directions for future research with the aim of advancing the literature on inter-firm technological learning.","container-title":"International Journal of Technological Learning Innovation and Development","DOI":"10.1504/IJTLID.2019.10018599","journalAbbreviation":"International Journal of Technological Learning Innovation and Development","page":"78","source":"ResearchGate","title":"Technological learning in inter-firm collaborations: A review and research agenda","title-short":"Technological learning in inter-firm collaborations","volume":"11","author":[{"family":"Mokhtarzadeh","given":"Nima"},{"family":"Faghei","given":"Maryam"}],"issued":{"date-parts":[["2019",1,1]]}}}],"schema":"https://github.com/citation-style-language/schema/raw/master/csl-citation.json"}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(Avadikyan et al., 2001; Battistella et al., 2016; Mokhtarzadeh &amp; Faghei, 2019)</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w:t>
      </w:r>
    </w:p>
    <w:p w14:paraId="0898B38F" w14:textId="1C11B5D5" w:rsidR="00CF539F"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The enactment of collaborative problem solving is another vital component important for actors to perform ICT-based IOKE practice in the middle stage. Compared to the inception stage, the middle stage covers more Living Lab approach informed activities, such as co-creation workshops or real-life experiencing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{"citationID":"EA9Qihxh","properties":{"formattedCitation":"(Gasc\\uc0\\u243{}, 2017; Malmberg et al., 2017)","plainCitation":"(Gascó, 2017; Malmberg et al., 2017)","noteIndex":0},"citationItems":[{"id":2173,"uris":["http://zotero.org/users/5709166/items/A3GLDLXI"],"itemData":{"id":2173,"type":"article-journal","abstract":"Public sector innovation is an important issue in the agenda of policymakers and academics but there is a need for a change of perspective, one that promotes a more open model of innovating, which takes advantage of the possibilities offered by collaboration between citizens, entrepreneurs and civil society as well as of new emerging technologies. Living labs are environments that can support public open innovation processes. This article makes a practical contribution to understand the role of living labs as intermediaries of public open innovation. The analysis focuses on the dynamics of these innovation intermediaries, their outcomes, and their main challenges. In particular, it adopts a qualitative approach (fourteen semi-structured interviews and one focus group were conducted) in order to analyze two living labs: Citilab in the city of Cornellà and the network of fab athenaeums (public fab labs) in the city of Barcelona, both in Spain. After a thorough analysis of the attributes of these living labs, the article concludes that 1) living labs provide the opportunity for public agencies to meet with private sector organizations and thus function as innovation intermediaries, 2) implementing an open innovation perspective is considered more important than obtaining specific innovation results, and 3) scalability and sustainability are the main problems living labs encounter as open innovation intermediaries.","collection-title":"Open Innovation in the Public Sector","container-title":"Government Information Quarterly","DOI":"10.1016/j.giq.2016.09.003","ISSN":"0740-624X","issue":"1","journalAbbreviation":"Government Information Quarterly","language":"en","page":"90-98","source":"ScienceDirect","title":"Living labs: Implementing open innovation in the public sector","title-short":"Living labs","volume":"34","author":[{"family":"Gascó","given":"Mila"}],"issued":{"date-parts":[["2017",1,1]]}}},{"id":1932,"uris":["http://zotero.org/users/5709166/items/N232RVUA"],"itemData":{"id":1932,"type":"article-journal","abstract":"Top experts in Living Lab research and practice from the European Network of Living Labs (ENoLL) have contributed to the Living Lab Methodology Handbook by sharing their knowledge on the most recent findings on the topic. This handbook introduces research background and serves as a practical guidance for researchers and practitioners on Living Lab methodologies, co-creation and user engagement. It also aims to inspire the reader with the lessons learned from thorough research together with practical experiences from real-life cases. The handbook is specifically focusing on the topical area of Internet of Things, and explains how the Living Lab approach can greatly support the research and development activities in that area.\n\nThis handbook was initiated under the coordination and support action “User Engagement for Large Scale Pilots in the Internet of Things” (U4IoT) that provides online and offline toolkits, workshops and other forms of support to actively engage end-users and citizens in the pilot projects of European IoT Large-scale pilots programme. This project has received funding from the European Union’s Horizon 2020 research and innovation programme and the Swiss State Secretariat for Education, Research and Innovation under grant agreement No 732078.","DOI":"10.5281/ZENODO.1146321","language":"en","license":"Creative Commons Attribution 4.0, Open Access","source":"DOI.org (Datacite)","title":"Living Lab Methodology Handbook","URL":"https://zenodo.org/record/1146321","author":[{"family":"Malmberg","given":"Katariina"},{"family":"Vaittinen","given":"Ines"},{"family":"Evans","given":"Penny"},{"family":"Schuurman","given":"Dimitri"},{"family":"Ståhlbröst","given":"Anna"},{"family":"Vervoort","given":"Koen"}],"accessed":{"date-parts":[["2019",11,26]]},"issued":{"date-parts":[["2017",10,16]]}}}],"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hAnsi="Times New Roman" w:cs="Times New Roman"/>
          <w:sz w:val="24"/>
          <w:szCs w:val="24"/>
        </w:rPr>
        <w:t>(Gascó, 2017; Malmberg et al., 2017)</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Actors in this stage may encounter diverse problems in pursuit of their project objectives, while thanks to the divergent and interdisciplinary expertise in inter-organisational collaboration, actors can solve these problems together through the enactment of collaborative problem solving. As Nickerson and Zenger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{"citationID":"R8bDcPAn","properties":{"formattedCitation":"(2004)","plainCitation":"(2004)","noteIndex":0},"citationItems":[{"id":10113,"uris":["http://zotero.org/users/5709166/items/D7FL6PLW"],"itemData":{"id":10113,"type":"article-journal","abstract":"In this paper we develop a knowledge-based theory of the firm. While existing knowledge-based theory focuses on the efficiency of hierarchy in economizing on knowledge exchange, we develop a theory of the firm that focuses on the efficiency of alternative organizational forms in generating knowledge or capability. Our theory begins with the problem as the basic unit of analysis, arguing that a problem's complexity influences the optimal method of solution search and the optimal means of organizing that search. The distinguishing feature that differentiates among organizational alternatives is the different way each resolves conflict over the selection of solution trials, that is, the way it chooses the path of search. Our theory predicts that efficiency demands that these governance alternatives be matched in a discriminating way to problems based on their associated benefits and costs in governing solution search. Thus, our theory is among the first to simultaneously treat both the boundary choice (i.e., internal versus external) and the choice among alternative internal approaches to organizing.","container-title":"Organization Science","DOI":"10.1287/orsc.1040.0093","ISSN":"1047-7039, 1526-5455","issue":"6","journalAbbreviation":"Organization Science","language":"en","page":"617-632","source":"DOI.org (Crossref)","title":"A Knowledge-Based Theory of the Firm—The Problem-Solving Perspective","volume":"15","author":[{"family":"Nickerson","given":"Jack A."},{"family":"Zenger","given":"Todd R."}],"issued":{"date-parts":[["2004",12]]}},"label":"page","suppress-author":true}],"schema":"https://github.com/citation-style-language/schema/raw/master/csl-citation.json"}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(2004)</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state, due to the complex nature of problems, actors are able to generate knowledge as they strive for solutions in dealing with diverse problems. The present findings acknowledge such a problem-solving perspective to knowledge creation, while emphasising the collaborative interactions in inter-organisational settings and contends that collaborative problem solving could lead to knowledge co-creation and stimulate open innovation. As actors solve problems together through activities such as co-designing and collaborative writing, they can inspire each other’s ideas timely and co-create value for the project. These findings </w:t>
      </w:r>
      <w:r w:rsidRPr="00F153F6">
        <w:rPr>
          <w:rFonts w:ascii="Times New Roman" w:eastAsiaTheme="minorEastAsia" w:hAnsi="Times New Roman" w:cs="Times New Roman"/>
          <w:sz w:val="24"/>
          <w:szCs w:val="24"/>
        </w:rPr>
        <w:lastRenderedPageBreak/>
        <w:t xml:space="preserve">conform to existing knowledge of open innovation where increased linkages and access to cross-boundary support supports problem solving that can largely improve innovation outcomes </w:t>
      </w:r>
      <w:r w:rsidRPr="00F153F6">
        <w:rPr>
          <w:rFonts w:ascii="Times New Roman" w:eastAsiaTheme="minorEastAsia" w:hAnsi="Times New Roman" w:cs="Times New Roman"/>
          <w:sz w:val="24"/>
          <w:szCs w:val="24"/>
        </w:rPr>
        <w:fldChar w:fldCharType="begin"/>
      </w:r>
      <w:r w:rsidR="00B73834" w:rsidRPr="00F153F6">
        <w:rPr>
          <w:rFonts w:ascii="Times New Roman" w:eastAsiaTheme="minorEastAsia" w:hAnsi="Times New Roman" w:cs="Times New Roman"/>
          <w:sz w:val="24"/>
          <w:szCs w:val="24"/>
        </w:rPr>
        <w:instrText xml:space="preserve"> ADDIN ZOTERO_ITEM CSL_CITATION {"citationID":"KUjWYW0V","properties":{"formattedCitation":"(Felin &amp; Zenger, 2014; Leckel et al., 2020; S. M. Lee et al., 2012)","plainCitation":"(Felin &amp; Zenger, 2014; Leckel et al., 2020; S. M. Lee et al., 2012)","dontUpdate":true,"noteIndex":0},"citationItems":[{"id":10102,"uris":["http://zotero.org/users/5709166/items/DN2YA4P9"],"itemData":{"id":10102,"type":"article-journal","abstract":"Scholars have recently highlighted the promise of open innovation. In this paper, we treat open innovation—in it's different forms and manifestations—as well as internal or closed innovation, as unique governance forms with different benefits and costs. We discuss how each governance form, whether open or closed, is composed of a set of instruments that access (a) different types of communication channels for knowledge sharing, (b) different types of incentives, and (c) different types of property rights for appropriating value from innovation. We focus on the innovation “problem” as the central unit of analysis, arguing for a match between problem types and governance forms, which vary from open to closed and which support alternative forms of solution search. In all, the goal of this paper is to provide a comparative framework for managing innovation, where we delineate and discuss four categories of open innovation governance forms (markets, partnerships, contests and tournaments and user or community innovation) and compare them with each other and with two internal or closed forms of innovation governance (authority and consensus-based hierarchy).","collection-title":"Open Innovation: New Insights and Evidence","container-title":"Research Policy","DOI":"10.1016/j.respol.2013.09.006","ISSN":"0048-7333","issue":"5","journalAbbreviation":"Research Policy","language":"en","page":"914-925","source":"ScienceDirect","title":"Closed or open innovation? Problem solving and the governance choice","title-short":"Closed or open innovation?","volume":"43","author":[{"family":"Felin","given":"Teppo"},{"family":"Zenger","given":"Todd R."}],"issued":{"date-parts":[["2014",6,1]]}}},{"id":10105,"uris":["http://zotero.org/users/5709166/items/JXVU363D"],"itemData":{"id":10105,"type":"article-journal","abstract":"Our study focuses on how public policy can effectively increase collaboration for innovation among firms, entrepreneurs, research institutions and the public sector in a way that is easily accessible and beneficial for SMEs. In recommending Local Open Innovation (LOI), this paper helps to shape regional innovation policies by strengthening regional networks to efficiently facilitate collaborative innovation. Considering cognitive barriers and constrained resources and capabilities for applying open innovation (OI) in SMEs with unrestricted scope, a local approach offers advantages to facilitating OI. In light of our findings, we present the impact of such a policy mechanism on the adoption of OI, the unique combination of features of the LOI process, and how they affect collaboration. We also present the respective stakeholder relations, barriers preventing SMEs from engaging in OI and potential remedies LOI offers to overcome these barriers. We conclude with varieties of LOI for strengthening regional development in different contexts.","container-title":"Technological Forecasting and Social Change","DOI":"10.1016/j.techfore.2019.119891","ISSN":"0040-1625","journalAbbreviation":"Technological Forecasting and Social Change","language":"en","page":"119891","source":"ScienceDirect","title":"Local Open Innovation: A means for public policy to increase collaboration for innovation in SMEs","title-short":"Local Open Innovation","volume":"153","author":[{"family":"Leckel","given":"Anja"},{"family":"Veilleux","given":"Sophie"},{"family":"Dana","given":"Leo Paul"}],"issued":{"date-parts":[["2020",4,1]]}}},{"id":10108,"uris":["http://zotero.org/users/5709166/items/WBD3NEX7"],"itemData":{"id":10108,"type":"article-journal","abstract":"Purpose – The purpose of this study is to examine the current open innovation practices in the public sector of leading countries. Design/methodology/approach – Using a framework based on the role of the government in open innovation, this study analyses a profile of early open innovation adopters based on collected data from secondary sources. Findings – First, the USA, Australia and Singapore developed open innovation policies at the national level, facilitating a positive innovation climate. Many projects, especially those in online platforms, were established under these policies. Second, although outside‐in open innovation principles seem to be popular, there have been emerging attempts to exploit the value of government data through inside‐out approaches. Research limitations/implications – Most governments are in the early stages of adoption of open innovation and are in the process of understanding relevant issues. Future research should investigate how governments adopt open innovation, in particular inside‐out initiatives. Practical implications – Governments should develop an overarching strategic plan, which would help its employees to recognise that new change is consistent with the needs of their workplace practices. Some organizations and projects led by citizens help the government engage external ideas in solving issues that are beyond its control. Originality/value – This study is the first attempt to examine the current open innovation policies at the government level.","container-title":"Management Decision","DOI":"10.1108/00251741211194921","ISSN":"0025-1747","issue":"1","note":"publisher: Emerald Group Publishing Limited","page":"147-162","source":"Emerald Insight","title":"Open innovation in the public sector of leading countries","volume":"50","author":[{"family":"Lee","given":"Sang M."},{"family":"Hwang","given":"Taewon"},{"family":"Choi","given":"Donghyun"}],"issued":{"date-parts":[["2012",1,1]]}}}],"schema":"https://github.com/citation-style-language/schema/raw/master/csl-citation.json"}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(Felin &amp; Zenger, 2014; Leckel et al., 2020; Lee et al., 2012)</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This study finds that the characteristics of the Living Lab approach, such as co-designing or real-life experiencing enable actors to conduct timely collaboration or reflection, and thereby allows effective problem solving. This corresponds to existing studies that emphasise the role of synchronisation in inter-organisational collaboration and knowledge co-creation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{"citationID":"9q2QMMob","properties":{"formattedCitation":"(Hilbolling et al., 2022; Sharma &amp; Bansal, 2020; Shi et al., 2012)","plainCitation":"(Hilbolling et al., 2022; Sharma &amp; Bansal, 2020; Shi et al., 2012)","noteIndex":0},"citationItems":[{"id":10114,"uris":["http://zotero.org/users/5709166/items/U8YNU8XG"],"itemData":{"id":10114,"type":"article-journal","abstract":"Solving complex societal challenges requires innovation processes that involve heterogeneous organizations collaborating for sustained periods of time. These multiparty collaborations are confronted with incongruent temporal structures, creating temporal complexities that hamper joint action. We draw on an in-depth longitudinal field study of a multiparty collaboration in a ?living lab? initiative that aimed to develop innovative solutions to enhance a city?s nightlife area?s safety and economic viability. We unpack the process of temporal coordination by identifying three temporal coordination mechanisms that enabled parties to address temporal complexities: leveraging serendipitous alignment, temporary exclusion, and aligning on the future. Whereas, prior research has stressed synchronization as a dominant approach to coordination, rooted in a clock-time orientation, these three mechanisms for temporal coordination are rooted in process-time. With a process-time orientation, temporal coordination becomes inherently partial and transient, meaning that temporal complexities may resurface over time and require re-initiation of joint action, building upon emerging outcomes of previous episodes. We discuss implications for the literature on interorganizational collaboration and temporal coordination.","container-title":"Strategic Organization","DOI":"10.1177/1476127021992705","ISSN":"1476-1270","issue":"1","journalAbbreviation":"Strategic Organization","note":"publisher: SAGE Publications","page":"135-163","source":"SAGE Journals","title":"Process-based temporal coordination in multiparty collaboration for societal challenges","volume":"20","author":[{"family":"Hilbolling","given":"Susan"},{"family":"Deken","given":"Fleur"},{"family":"Berends","given":"Hans"},{"family":"Tuertscher","given":"Philipp"}],"issued":{"date-parts":[["2022",2,1]]}}},{"id":10118,"uris":["http://zotero.org/users/5709166/items/NDKWAV9L"],"itemData":{"id":10118,"type":"article-journal","abstract":"The communities of research and practice are embedded in different knowledge systems; research favors rigor, while practice favors relevance. Many management scholars have concluded that cocreating knowledge with these two knowledge systems is difficult and rare, with such criticisms or reservations often being based on an event-based account of cocreation in which the cocreation activities occur over a distinct period of time with a clear beginning and end. However, event-based accounts bring the challenges of cocreation into focus. In the present research, we have assumed a process ontology, which brings the dynamics into focus and recognizes that cocreation is continuous. We observed two projects in which researchers and managers collaborated to generate knowledge related to business sustainability, and conducted 67 interviews with 47 participants in similar projects. We found that, by making the process explicit, participants were better able to cocreate knowledge. Furthermore, we identified two devices that helped to make the process explicit: (1) making temporal connections between events and (2) recognizing the incompleteness of the objects. Our study contributes to prior research on cocreation by showing that cocreation occurs not just within events but also between events, so that rigor and relevance are imbricated over time.","container-title":"Academy of Management Journal","DOI":"10.5465/amj.2016.0487","ISSN":"00014273","issue":"2","note":"publisher: Academy of Management","page":"386-410","source":"EBSCOhost","title":"Cocreating Rigorous and Relevant Knowledge","volume":"63","author":[{"family":"Sharma","given":"Garima"},{"family":"Bansal","given":"Pratima (Tima)"}],"issued":{"date-parts":[["2020",4]]}}},{"id":10116,"uris":["http://zotero.org/users/5709166/items/JKZ3ABTN"],"itemData":{"id":10116,"type":"article-journal","abstract":"The incorporation of a temporal perspective in merger and acquisition (M&amp;A) and alliance research has gained increasing popularity. Since a temporal perspective focuses on the management of time and its consequences, it contributes a unique value proposition to the M&amp;A and alliance stream of research. Over the past 30 years researchers have explored a wide variety of topics and methodological approaches. As a result, research evidence has progressed in a somewhat fragmented manner where its cumulative impact is difficult to discern. The purpose of this review is to systematically assess the underlying logic and contributions of a temporal lens for the M&amp;A and alliance literature as well as identify core temporal constructs, mechanisms, relationships, and promising research directions. The authors? review of 144 published articles not only catalogs the state of the art and accumulated knowledge but also identifies critical hurdles that need to be addressed to chart future research directions.","container-title":"Journal of Management","DOI":"10.1177/0149206311424942","ISSN":"0149-2063","issue":"1","journalAbbreviation":"Journal of Management","note":"publisher: SAGE Publications Inc","page":"164-209","source":"SAGE Journals","title":"A Temporal Perspective of Merger and Acquisition and Strategic Alliance Initiatives: Review and Future Direction","title-short":"A Temporal Perspective of Merger and Acquisition and Strategic Alliance Initiatives","volume":"38","author":[{"family":"Shi","given":"Weilei (Stone)"},{"family":"Sun","given":"Jing"},{"family":"Prescott","given":"John E."}],"issued":{"date-parts":[["2012",1,1]]}}}],"schema":"https://github.com/citation-style-language/schema/raw/master/csl-citation.json"}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(Hilbolling et al., 2022; Sharma &amp; Bansal, 2020; Shi et al., 2012)</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w:t>
      </w:r>
    </w:p>
    <w:p w14:paraId="3B20D22E" w14:textId="77777777" w:rsidR="0015201A" w:rsidRPr="00F153F6" w:rsidRDefault="0015201A" w:rsidP="004424B4">
      <w:pPr>
        <w:spacing w:line="360" w:lineRule="auto"/>
        <w:jc w:val="both"/>
        <w:rPr>
          <w:rFonts w:ascii="Times New Roman" w:eastAsiaTheme="minorEastAsia" w:hAnsi="Times New Roman" w:cs="Times New Roman"/>
          <w:b/>
          <w:bCs/>
          <w:sz w:val="24"/>
          <w:szCs w:val="24"/>
        </w:rPr>
      </w:pPr>
      <w:r w:rsidRPr="00F153F6">
        <w:rPr>
          <w:rFonts w:ascii="Times New Roman" w:eastAsiaTheme="minorEastAsia" w:hAnsi="Times New Roman" w:cs="Times New Roman"/>
          <w:b/>
          <w:bCs/>
          <w:sz w:val="24"/>
          <w:szCs w:val="24"/>
        </w:rPr>
        <w:t>ICT Affordances and Constraints during Middle Stage</w:t>
      </w:r>
    </w:p>
    <w:p w14:paraId="249A6D5D" w14:textId="0C10D3B7" w:rsidR="00CF539F"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The proposed theorisation of the role of </w:t>
      </w:r>
      <w:r w:rsidR="00964DE8" w:rsidRPr="00F153F6">
        <w:rPr>
          <w:rFonts w:ascii="Times New Roman" w:eastAsiaTheme="minorEastAsia" w:hAnsi="Times New Roman" w:cs="Times New Roman"/>
          <w:sz w:val="24"/>
          <w:szCs w:val="24"/>
        </w:rPr>
        <w:t>ICT</w:t>
      </w:r>
      <w:r w:rsidRPr="00F153F6">
        <w:rPr>
          <w:rFonts w:ascii="Times New Roman" w:eastAsiaTheme="minorEastAsia" w:hAnsi="Times New Roman" w:cs="Times New Roman"/>
          <w:sz w:val="24"/>
          <w:szCs w:val="24"/>
        </w:rPr>
        <w:t xml:space="preserve"> in IOKE practice during the middle stage contributes to the existing literature by specifying diverse ICT affordances and constraints in the mediation of the enactment of diverse knowledgeabilities. Prior studies have identified essential knowledge and knowledge exchange practices for the middle project stage. For example, drawing on a knowledge management perspective, Haass and Azizi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{"citationID":"nihPeKxP","properties":{"formattedCitation":"(2019)","plainCitation":"(2019)","noteIndex":0},"citationItems":[{"id":10303,"uris":["http://zotero.org/users/5709166/items/V7B2SVNL"],"itemData":{"id":10303,"type":"article-journal","container-title":"International Journal of Project Organisation and Management","DOI":"10.1504/IJPOM.2019.100575","journalAbbreviation":"International Journal of Project Organisation and Management","page":"171","source":"ResearchGate","title":"Knowledge sharing practice in project-oriented organisations: a practical framework based on project life cycle and project management body of knowledge","title-short":"Knowledge sharing practice in project-oriented organisations","volume":"11","author":[{"family":"Haass","given":"Omid"},{"family":"Azizi","given":"Neda"}],"issued":{"date-parts":[["2019",1,1]]}},"label":"page","suppress-author":true}],"schema":"https://github.com/citation-style-language/schema/raw/master/csl-citation.json"}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(2019)</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identifies four knowledge sharing practices as essential knowledge management activities for the middle stage of projects (identified as executive phase) including: communities of practice, learned lesson, after action review, and mentoring. These activities can be supported by the use of </w:t>
      </w:r>
      <w:r w:rsidR="00964DE8" w:rsidRPr="00F153F6">
        <w:rPr>
          <w:rFonts w:ascii="Times New Roman" w:eastAsiaTheme="minorEastAsia" w:hAnsi="Times New Roman" w:cs="Times New Roman"/>
          <w:sz w:val="24"/>
          <w:szCs w:val="24"/>
        </w:rPr>
        <w:t>ICT</w:t>
      </w:r>
      <w:r w:rsidRPr="00F153F6">
        <w:rPr>
          <w:rFonts w:ascii="Times New Roman" w:eastAsiaTheme="minorEastAsia" w:hAnsi="Times New Roman" w:cs="Times New Roman"/>
          <w:sz w:val="24"/>
          <w:szCs w:val="24"/>
        </w:rPr>
        <w:t xml:space="preserve">, such as convenience and flexibility affordance granted by </w:t>
      </w:r>
      <w:r w:rsidR="00964DE8" w:rsidRPr="00F153F6">
        <w:rPr>
          <w:rFonts w:ascii="Times New Roman" w:eastAsiaTheme="minorEastAsia" w:hAnsi="Times New Roman" w:cs="Times New Roman"/>
          <w:sz w:val="24"/>
          <w:szCs w:val="24"/>
        </w:rPr>
        <w:t>ICT</w:t>
      </w:r>
      <w:r w:rsidRPr="00F153F6">
        <w:rPr>
          <w:rFonts w:ascii="Times New Roman" w:eastAsiaTheme="minorEastAsia" w:hAnsi="Times New Roman" w:cs="Times New Roman"/>
          <w:sz w:val="24"/>
          <w:szCs w:val="24"/>
        </w:rPr>
        <w:t xml:space="preserve"> for online mentoring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{"citationID":"DvXgUHkj","properties":{"formattedCitation":"(Pollard &amp; Kumar, 2021; Schichtel, 2010)","plainCitation":"(Pollard &amp; Kumar, 2021; Schichtel, 2010)","noteIndex":0},"citationItems":[{"id":10308,"uris":["http://zotero.org/users/5709166/items/UXLF2INM"],"itemData":{"id":10308,"type":"article-journal","abstract":"The proliferation of online graduate programs, and more recently, higher education institutions’ moves to online interactions due to the COVID-19 crisis, have led to graduate student mentoring increasingly occurring online. Challenges, strategies, and outcomes associated with online mentoring of graduate students are of primary importance for the individuals within a mentoring dyad and for universities offering online or blended graduate education. The nature of mentoring interactions within an online format presents unique challenges and thus requires strategies specifically adapted to such interactions. There is a need to examine how mentoring relationships have been, and can best be, conducted when little to no faceto-face interaction occurs. This paper undertook a literature review of empirical studies from the last two decades on online master’s and doctoral student mentoring. The main themes were challenges, strategies and best practices, and factors that influence the online mentoring relationship. The findings emphasized the importance of fostering interpersonal aspects of the mentoring relationship, ensuring clarity of expectations and communications as well as competence with technologies, providing access to peer mentor groups or cohorts, and institutional support for online faculty mentors. Within these online mentoring relationships, the faculty member becomes the link to an otherwise absent yet critical experience of academia for the online student, making it imperative to create and foster an effective relationship based on identified strategies and best practices for online mentoring.","container-title":"The International Review of Research in Open and Distributed Learning","DOI":"10.19173/irrodl.v22i2.5093","ISSN":"1492-3831","issue":"2","journalAbbreviation":"IRRODL","language":"en","page":"267-284","source":"DOI.org (Crossref)","title":"Mentoring Graduate Students Online: Strategies and Challenges","title-short":"Mentoring Graduate Students Online","volume":"22","author":[{"family":"Pollard","given":"Rhiannon"},{"family":"Kumar","given":"Swapna"}],"issued":{"date-parts":[["2021",1,18]]}}},{"id":10306,"uris":["http://zotero.org/users/5709166/items/GHAFY5RC"],"itemData":{"id":10306,"type":"article-journal","abstract":"Background: E-mentoring had the potential to improve medical training, patient services, could be cost-effective, and support continued professional development. Research in terms of required core-competences for its effective utilisation in medical education seemed to be inconsistent, fragmented with significant variations in methodological rigor. Aim: The primary aim was to review and synthesise existing evidence in educational science that addressed the question: ‘‘what are the required core-competences in e-mentoring for medical educators?’’\nMethods: A systematic literature search covered 25 literature databases and employed 42 single search terms and concepts and their Boolean combinations. Coverage was improved by Internet searches, further focus on ‘‘Grey literature’’ and the manual searching of library journals and inspecting the bibliographies of the references obtained by these methods.\nResults: A total of 4344 citations from the literature search were identified. Altogether 44 items were finally selected for inclusion in the study. The extant quality of published research was generally weak. The weight of the best available evidence suggested that seven specific e-mentoring core-competence domains were seen as significant.\nConclusions: E-mentoring seemed educationally effective and complemented face-to-face mentoring for continuous professional development. Research in this field needs improvement in terms of rigor and quality.","container-title":"Medical Teacher","DOI":"10.3109/0142159X.2010.489126","ISSN":"0142-159X, 1466-187X","issue":"7","journalAbbreviation":"Medical Teacher","language":"en","page":"e248-e262","source":"DOI.org (Crossref)","title":"Core-competence skills in e-mentoring for medical educators: A conceptual exploration","title-short":"Core-competence skills in e-mentoring for medical educators","volume":"32","author":[{"family":"Schichtel","given":"Markus"}],"issued":{"date-parts":[["2010",7]]}}}],"schema":"https://github.com/citation-style-language/schema/raw/master/csl-citation.json"}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(Pollard &amp; Kumar, 2021; Schichtel, 2010)</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and connectivity, multiplicity, codifiability and programmability affordance granted by </w:t>
      </w:r>
      <w:r w:rsidR="00964DE8" w:rsidRPr="00F153F6">
        <w:rPr>
          <w:rFonts w:ascii="Times New Roman" w:eastAsiaTheme="minorEastAsia" w:hAnsi="Times New Roman" w:cs="Times New Roman"/>
          <w:sz w:val="24"/>
          <w:szCs w:val="24"/>
        </w:rPr>
        <w:t>ICT</w:t>
      </w:r>
      <w:r w:rsidRPr="00F153F6">
        <w:rPr>
          <w:rFonts w:ascii="Times New Roman" w:eastAsiaTheme="minorEastAsia" w:hAnsi="Times New Roman" w:cs="Times New Roman"/>
          <w:sz w:val="24"/>
          <w:szCs w:val="24"/>
        </w:rPr>
        <w:t xml:space="preserve"> for online community of practice </w:t>
      </w:r>
      <w:r w:rsidRPr="00F153F6">
        <w:rPr>
          <w:rFonts w:ascii="Times New Roman" w:eastAsiaTheme="minorEastAsia" w:hAnsi="Times New Roman" w:cs="Times New Roman"/>
          <w:sz w:val="24"/>
          <w:szCs w:val="24"/>
        </w:rPr>
        <w:fldChar w:fldCharType="begin"/>
      </w:r>
      <w:r w:rsidR="00B73834" w:rsidRPr="00F153F6">
        <w:rPr>
          <w:rFonts w:ascii="Times New Roman" w:eastAsiaTheme="minorEastAsia" w:hAnsi="Times New Roman" w:cs="Times New Roman"/>
          <w:sz w:val="24"/>
          <w:szCs w:val="24"/>
        </w:rPr>
        <w:instrText xml:space="preserve"> ADDIN ZOTERO_ITEM CSL_CITATION {"citationID":"jHtlVoCi","properties":{"formattedCitation":"(Gammelgaard, 2010; Jung, 2009; J. Kietzmann et al., 2013; Nithithanatchinnapat et al., 2016)","plainCitation":"(Gammelgaard, 2010; Jung, 2009; J. Kietzmann et al., 2013; Nithithanatchinnapat et al., 2016)","noteIndex":0},"citationItems":[{"id":10313,"uris":["http://zotero.org/users/5709166/items/ICLVMZZE"],"itemData":{"id":10313,"type":"article-journal","container-title":"Behaviour &amp; Information Technology","DOI":"10.1080/01449290903548406","ISSN":"0144-929X, 1362-3001","issue":"4","journalAbbreviation":"Behaviour &amp; Information Technology","language":"en","page":"349-362","source":"DOI.org (Crossref)","title":"Knowledge retrieval through virtual communities of practice","volume":"29","author":[{"family":"Gammelgaard","given":"Jens"}],"issued":{"date-parts":[["2010",7]]}}},{"id":10314,"uris":["http://zotero.org/users/5709166/items/7WW7XA38"],"itemData":{"id":10314,"type":"article-journal","abstract":"Most of the existing personal knowledge management systems have been employing blogging services which is capable of providing various services (e.g., knowledge distribution and knowledge creation) to people. However, automated knowledge delivering service among the systems is difficult to take into account the corresponding context (or semantics) of the knowledge, so that the service can spread irrelevant information into knowledge management systems. In order to solve this problem, this study proposes a novel architecture, called blog context overlay network, to fulfill context matching between blog-based knowledge management systems. It is referred to as detecting ‘shared’ context between knowledge management systems. Thus, with respect to the contexts, we want to identify a community of practice (CoP) on a knowledge blogosphere where a set of blog-based knowledge management systems are incorporating with each other. As a result, newly generated knowledge can be proactively diffused to the blog-based knowledge management systems of which context is relevant to the knowledge, even before the bloggers’ queries are explicitly asked.","container-title":"Expert Systems with Applications","DOI":"10.1016/j.eswa.2009.02.052","ISSN":"0957-4174","issue":"7","journalAbbreviation":"Expert Systems with Applications","language":"en","page":"10627-10633","source":"ScienceDirect","title":"Knowledge distribution via shared context between blog-based knowledge management systems: A case study of collaborative tagging","title-short":"Knowledge distribution via shared context between blog-based knowledge management systems","volume":"36","author":[{"family":"Jung","given":"Jason J."}],"issued":{"date-parts":[["2009",9,1]]}}},{"id":10309,"uris":["http://zotero.org/users/5709166/items/GNF8CMGR"],"itemData":{"id":10309,"type":"article-journal","abstract":"Innovations in mobile technology shape how mobile workers share knowledge and collaborate on the go. We introduce mobile communities of practice (MCOPs) as a lens for understanding how these workers self-organize, and present three MCOP case studies. Working from contextual ambidexterity, we develop a typology of bureaucratic, anarchic, idiosyncratic and adhocratic MCOPs. We discuss how variations in the degree of organizational alignment and individual discretion shape the extent to which these types explore and exploit mobile work practices and approach organizational ambidexterity. This article concludes with important strategic implications for managing mobile work and practical considerations for identifying, creating, and supporting MCOPs.","container-title":"The Journal of Strategic Information Systems","DOI":"10.1016/j.jsis.2013.03.003","ISSN":"0963-8687","issue":"4","journalAbbreviation":"The Journal of Strategic Information Systems","language":"en","page":"282-297","source":"ScienceDirect","title":"Mobility at work: A typology of mobile communities of practice and contextual ambidexterity","title-short":"Mobility at work","volume":"22","author":[{"family":"Kietzmann","given":"Jan"},{"family":"Plangger","given":"Kirk"},{"family":"Eaton","given":"Ben"},{"family":"Heilgenberg","given":"Kerstin"},{"family":"Pitt","given":"Leyland"},{"family":"Berthon","given":"Pierre"}],"issued":{"date-parts":[["2013",12,1]]}}},{"id":10318,"uris":["http://zotero.org/users/5709166/items/F9RCLLED"],"itemData":{"id":10318,"type":"article-journal","abstract":"Information and communications technologies (ICTs) play a key role in supporting Communities of Practice (CoPs). A review of the extant literature reveals six factors that facilitate or constrain the development, sustenance, and effectiveness of CoPs that, in turn, enable generative and degenerative structures and behaviors that affect epistemic environments within Organizational Communities of Practice (orgCoPs). OrgCoPs are accepted as beneficial organizational learning structures and need to be deliberately designed and cultivated. The materiality of ICTs that is used to support orgCoPs may play a role in supporting or opposing seeding structures. The literature review further reveals five material properties that describe the relationship between the orgCoPs and the technologies used to support it. We argue that these distinct but intersecting properties are germane to understanding the role that ICTs play in supporting orgCoPs and propose that the future work on orgCoPs could be nuanced if examined through the lens of ICTs’ materiality.","container-title":"Journal of Organizational Computing and Electronic Commerce","DOI":"10.1080/10919392.2016.1228357","ISSN":"1091-9392, 1532-7744","issue":"4","journalAbbreviation":"Journal of Organizational Computing and Electronic Commerce","language":"en","page":"307-322","source":"DOI.org (Crossref)","title":"Organizational communities of practice: Review, analysis, and role of information and communications technologies","title-short":"Organizational communities of practice","volume":"26","author":[{"family":"Nithithanatchinnapat","given":"Benyawarath"},{"family":"Taylor","given":"Joseph"},{"family":"Joshi","given":"K. D."},{"family":"Weiss","given":"Meredith Leigh"}],"issued":{"date-parts":[["2016",10]]}}}],"schema":"https://github.com/citation-style-language/schema/raw/master/csl-citation.json"}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00B73834" w:rsidRPr="00F153F6">
        <w:rPr>
          <w:rFonts w:ascii="Times New Roman" w:hAnsi="Times New Roman" w:cs="Times New Roman"/>
          <w:sz w:val="24"/>
          <w:szCs w:val="24"/>
        </w:rPr>
        <w:t>(Gammelgaard, 2010; Jung, 2009; Kietzmann et al., 2013; Nithithanatchinnapat et al., 2016)</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In addition, </w:t>
      </w:r>
      <w:r w:rsidRPr="00F153F6">
        <w:rPr>
          <w:rFonts w:ascii="Times New Roman" w:hAnsi="Times New Roman" w:cs="Times New Roman"/>
          <w:sz w:val="24"/>
          <w:szCs w:val="24"/>
        </w:rPr>
        <w:t xml:space="preserve">Beiryaei and Vaghefi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{"citationID":"6jW4pvJb","properties":{"formattedCitation":"(2010)","plainCitation":"(2010)","noteIndex":0},"citationItems":[{"id":10319,"uris":["http://zotero.org/users/5709166/items/WGT4BSA8"],"itemData":{"id":10319,"type":"paper-conference","abstract":"As project managers fail to properly apply knowledge management in projects, firms lose a great deal of knowledge, experiences and lessons learned during projects. This occurs due to the complex nature of the today's projects, high costs and time limitation. To overcome this defect, recently, researchers tried to link knowledge management (KM) practices with those of project management (PM). One way to establish this linkage is to integrate KM and PM processes. Based on theoretical grounds on knowledge management and project management literature, this study introduces a method to implement knowledge management practices, along with project management ones. Using knowledge life cycle phases, we re-define standard project management phases, so that the two processes can be simultaneously and efficiently done.","container-title":"2010 3rd International Conference on Computer Science and Information Technology","DOI":"10.1109/ICCSIT.2010.5564540","event-title":"2010 3rd International Conference on Computer Science and Information Technology","page":"643-647","source":"IEEE Xplore","title":"Implementing knowledge life cycle in the body of project life cycle by using knowledge management system (KLC in PLC)","volume":"9","author":[{"family":"Beiryaei","given":"Hanieh Sadat"},{"family":"Vaghef","given":"Seyed Eshagh Ashraf"}],"issued":{"date-parts":[["2010",7]]}},"label":"page","suppress-author":true}],"schema":"https://github.com/citation-style-language/schema/raw/master/csl-citation.json"}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(2010)</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argue that at this stage, acquisition, refinement and storage are essential knowledge management activities where </w:t>
      </w:r>
      <w:r w:rsidR="00964DE8" w:rsidRPr="00F153F6">
        <w:rPr>
          <w:rFonts w:ascii="Times New Roman" w:eastAsiaTheme="minorEastAsia" w:hAnsi="Times New Roman" w:cs="Times New Roman"/>
          <w:sz w:val="24"/>
          <w:szCs w:val="24"/>
        </w:rPr>
        <w:t>ICT</w:t>
      </w:r>
      <w:r w:rsidRPr="00F153F6">
        <w:rPr>
          <w:rFonts w:ascii="Times New Roman" w:eastAsiaTheme="minorEastAsia" w:hAnsi="Times New Roman" w:cs="Times New Roman"/>
          <w:sz w:val="24"/>
          <w:szCs w:val="24"/>
        </w:rPr>
        <w:t xml:space="preserve"> may play a role such as affording guiding and promoting discussions for knowledge acquisition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{"citationID":"tSnwgxAk","properties":{"formattedCitation":"(Laurillard et al., 2000)","plainCitation":"(Laurillard et al., 2000)","noteIndex":0},"citationItems":[{"id":10323,"uris":["http://zotero.org/users/5709166/items/5LZBI6QW"],"itemData":{"id":10323,"type":"article-journal","abstract":"A multimedia CD makes an impressive resource for the scholar-researcher, but students unfamiliar with the subject-matter may not always work so effectively with such a resource. Without any narrative structure, how does the novice cope? The paper describes how we are investigating the design features that ‘afford’ activities that generate learning: What are the design features that encourage students to practise the role of the scholar? What encourages them to explore, but also to reflect on their analysis of the data they find? What kind of learning takes place when students are allowed to explore at will? The paper goes on to compare the learning experiences of students using commercial CDs with those using material with contrasting designs, in an attempt to identify the design features that afford constructive learning activities. It concludes with an interpretation of the findings, comparing them with work in related educational media, and situating the findings in the context of a conversational framework for learning.","container-title":"Journal of Interactive Media in Education","DOI":"10.5334/2000-2","ISSN":"1365-893X","issue":"2","journalAbbreviation":"JIME","language":"en","page":"2","source":"DOI.org (Crossref)","title":"Affordances for Learning in a Non-linear Narrative Medium","volume":"2000","author":[{"family":"Laurillard","given":"Diana"},{"family":"Stratfold","given":"Matthew"},{"family":"Luckin","given":"Rose"},{"family":"Plowman","given":"Lydia"},{"family":"Taylor","given":"Josie"}],"issued":{"date-parts":[["2000",8,15]]}}}],"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(Laurillard et al., 2000)</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and social mobilisation, </w:t>
      </w:r>
      <w:r w:rsidRPr="00F153F6">
        <w:rPr>
          <w:rFonts w:ascii="Times New Roman" w:hAnsi="Times New Roman" w:cs="Times New Roman"/>
          <w:sz w:val="24"/>
          <w:szCs w:val="24"/>
        </w:rPr>
        <w:t xml:space="preserve">pervasive sharing and browsing afforded by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for knowledge storage</w:t>
      </w:r>
      <w:r w:rsidRPr="00F153F6">
        <w:rPr>
          <w:rFonts w:ascii="Times New Roman" w:eastAsiaTheme="minorEastAsia" w:hAnsi="Times New Roman" w:cs="Times New Roman"/>
          <w:sz w:val="24"/>
          <w:szCs w:val="24"/>
        </w:rPr>
        <w:t xml:space="preserve"> </w:t>
      </w:r>
      <w:r w:rsidRPr="00F153F6">
        <w:rPr>
          <w:rFonts w:ascii="Times New Roman" w:eastAsiaTheme="minorEastAsia" w:hAnsi="Times New Roman" w:cs="Times New Roman"/>
          <w:sz w:val="24"/>
          <w:szCs w:val="24"/>
        </w:rPr>
        <w:fldChar w:fldCharType="begin"/>
      </w:r>
      <w:r w:rsidR="009E1D22" w:rsidRPr="00F153F6">
        <w:rPr>
          <w:rFonts w:ascii="Times New Roman" w:eastAsiaTheme="minorEastAsia" w:hAnsi="Times New Roman" w:cs="Times New Roman"/>
          <w:sz w:val="24"/>
          <w:szCs w:val="24"/>
        </w:rPr>
        <w:instrText xml:space="preserve"> ADDIN ZOTERO_ITEM CSL_CITATION {"citationID":"3P9qFsJw","properties":{"formattedCitation":"(S. B. Nelson et al., 2017; Y. Wang &amp; Lim, 2021)","plainCitation":"(S. B. Nelson et al., 2017; Y. Wang &amp; Lim, 2021)","noteIndex":0},"citationItems":[{"id":1465,"uris":["http://zotero.org/users/5709166/items/AJD6DL55"],"itemData":{"id":1465,"type":"article-journal","abstract":"The focus of this work arises from two needs within information science literature: (1) to understand more, from an empirically driven perspective, about the increasingly visible yet understudied mobile work population, and (2) to address more clearly, from a theoretical standpoint, the ways in which information and communication technologies (ICTs) mediate the work practices of these mobile workers. Drawing on the affordance perspective, this research goes beyond simplistic conceptualizations of technological effects to explore the roles of multiple ICTs in enabling mobile knowledge work. In this paper, the use of ICTs in mobilizing information practices and the ways in which ICTs generate affordances along different mobility dimensions (spatial, temporal, contextual, and social) are examined. The empirical base of this research is a field of study of 33 mobile knowledge workers (MKWs); broadly, it focuses on the ways they employ ICTs to accomplish work in dynamic and unpredictable work conditions. © 2016 Elsevier Ltd","archive":"Scopus","container-title":"International Journal of Information Management","DOI":"10.1016/j.ijinfomgt.2016.11.008","ISSN":"02684012 (ISSN)","issue":"2","journalAbbreviation":"Int J Inf Manage","language":"English","page":"54-62","title":"Mobility of knowledge work and affordances of digital technologies","volume":"37","author":[{"family":"Nelson","given":"S.B."},{"family":"Jarrahi","given":"M.H."},{"family":"Thomson","given":"L."}],"issued":{"date-parts":[["2017"]]}}},{"id":10330,"uris":["http://zotero.org/users/5709166/items/3YXC7926"],"itemData":{"id":10330,"type":"article-journal","abstract":"People are today located in media ecosystems in which a variety of ICT devices and platforms coexist and complement each other to fulfil users? heterogeneous requirements. These multi-media affordances promote a highly hyperlinked and nomadic habit of digital data management which blurs the long-standing boundaries between information storage, sharing and exchange. Specifically, during the pervasive sharing and browsing of fragmentary digital information (e.g. photos, videos, online diaries, news articles) across various platforms, life experiences and knowledge involved are meanwhile classified and stored for future retrieval and collective memory construction. For international migrants who straddle different geographical and cultural contexts, management of various digital materials is particularly complicated as they have to be familiar with and appropriately navigate technological infrastructures of both home and host countries. Drawing on ethnographic observations of 40 Chinese migrant mothers in Singapore, this article delves into their quotidian routines of acquiring, storing, sharing and exchanging digital information across a range of ICT devices and platforms, as well as cultural and emotional implications of these mediated behaviours for their everyday life experiences. A multi-layer and multi-sited repertoire of ?life archiving? was identified among these migrant mothers in which they leave footprints of everyday life through a tactical combination of interactive sharing, pervasive tagging and backup storage of diverse digital content.","container-title":"New Media &amp; Society","DOI":"10.1177/1461444820953507","ISSN":"1461-4448","issue":"4","note":"publisher: SAGE Publications","page":"796-815","source":"SAGE Journals","title":"Nomadic life archiving across platforms: Hyperlinked storage and compartmentalized sharing","title-short":"Nomadic life archiving across platforms","volume":"23","author":[{"family":"Wang","given":"Yang"},{"family":"Lim","given":"Sun Sun"}],"issued":{"date-parts":[["2021",4,1]]}}}],"schema":"https://github.com/citation-style-language/schema/raw/master/csl-citation.json"}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009E1D22" w:rsidRPr="00F153F6">
        <w:rPr>
          <w:rFonts w:ascii="Times New Roman" w:hAnsi="Times New Roman" w:cs="Times New Roman"/>
          <w:sz w:val="24"/>
          <w:szCs w:val="24"/>
        </w:rPr>
        <w:t>(Nelson et al., 2017; Wang &amp; Lim, 2021)</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Many of these affordances have been articulated by the present study, such as ubiquitous ability, similar to pervasive sharing, that allows actors to develop expertise anywhere and anytime.</w:t>
      </w:r>
    </w:p>
    <w:p w14:paraId="7ABF6850" w14:textId="77777777" w:rsidR="000543CB" w:rsidRPr="00F153F6" w:rsidRDefault="0015201A" w:rsidP="004424B4">
      <w:pPr>
        <w:spacing w:line="360" w:lineRule="auto"/>
        <w:jc w:val="both"/>
        <w:rPr>
          <w:rFonts w:ascii="Times New Roman" w:eastAsiaTheme="minorEastAsia" w:hAnsi="Times New Roman" w:cs="Times New Roman"/>
          <w:b/>
          <w:bCs/>
          <w:sz w:val="24"/>
          <w:szCs w:val="24"/>
        </w:rPr>
      </w:pPr>
      <w:r w:rsidRPr="00F153F6">
        <w:rPr>
          <w:rFonts w:ascii="Times New Roman" w:eastAsiaTheme="minorEastAsia" w:hAnsi="Times New Roman" w:cs="Times New Roman"/>
          <w:b/>
          <w:bCs/>
          <w:sz w:val="24"/>
          <w:szCs w:val="24"/>
        </w:rPr>
        <w:t>Complexity of the Context for Middle Stage</w:t>
      </w:r>
    </w:p>
    <w:p w14:paraId="41793757" w14:textId="2F376235" w:rsidR="0015201A" w:rsidRPr="00F153F6" w:rsidRDefault="0015201A" w:rsidP="004424B4">
      <w:pPr>
        <w:spacing w:line="360" w:lineRule="auto"/>
        <w:jc w:val="both"/>
        <w:rPr>
          <w:rFonts w:ascii="Times New Roman" w:eastAsiaTheme="minorEastAsia" w:hAnsi="Times New Roman" w:cs="Times New Roman"/>
          <w:b/>
          <w:bCs/>
          <w:sz w:val="24"/>
          <w:szCs w:val="24"/>
        </w:rPr>
      </w:pPr>
      <w:r w:rsidRPr="00F153F6">
        <w:rPr>
          <w:rFonts w:ascii="Times New Roman" w:eastAsiaTheme="minorEastAsia" w:hAnsi="Times New Roman" w:cs="Times New Roman"/>
          <w:sz w:val="24"/>
          <w:szCs w:val="24"/>
        </w:rPr>
        <w:t xml:space="preserve">The findings indicate an intensive real-life based practice that shapes the context of ICT-based IOKE practice in the middle stage (activities such as embedding in a real-life context and real-life group discussion). This shows real-life experience as an important characteristic in Living </w:t>
      </w:r>
      <w:r w:rsidRPr="00F153F6">
        <w:rPr>
          <w:rFonts w:ascii="Times New Roman" w:eastAsiaTheme="minorEastAsia" w:hAnsi="Times New Roman" w:cs="Times New Roman"/>
          <w:sz w:val="24"/>
          <w:szCs w:val="24"/>
        </w:rPr>
        <w:lastRenderedPageBreak/>
        <w:t xml:space="preserve">Lab methodology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{"citationID":"U7EYOaWJ","properties":{"formattedCitation":"(Hawk et al., 2012)","plainCitation":"(Hawk et al., 2012)","noteIndex":0},"citationItems":[{"id":2183,"uris":["http://zotero.org/users/5709166/items/2UTWQ64I"],"itemData":{"id":2183,"type":"article-journal","abstract":"The living lab (LL) is an open innovation ecosystem serving to provide opportunities for local stakeholders to practice research and to experiment with meaningful improvements for cities and other organizations. Living labs aim at involving the user as a cocreator. In this article the relationship between the LLs and a variety of stakeholders is discussed. Aspects of the leadership structures of LLs are critically analyzed and discussed, identifying opportunities and challenges. Examples of a LL in action are given. Recommendations for future development of the LLs are discussed in the concluding part of the article. [PUBLICATION ABSTRACT]","container-title":"Quarterly Review of Distance Education; Charlotte","ISSN":"15283518","issue":"4","language":"English","license":"Copyright Information Age Publishing, Inc. Winter 2012","page":"225-231,269-270","source":"ProQuest","title":"THE LIVING LABS: Innovation in Real-Life Settings","title-short":"THE LIVING LABS","volume":"13","author":[{"family":"Hawk","given":"Nathan"},{"family":"Romine","given":"Martha"},{"family":"Bartle","given":"Gamin"}],"issued":{"date-parts":[["2012"]],"season":"Winter"}}}],"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(Hawk et al., 2012)</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Co-creation appears more explicitly and intensively in a context where there are many co-creation sessions organised at this stage. As one of significant procedure in Living Lab methodology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{"citationID":"9q2s7Q6z","properties":{"formattedCitation":"(Hagy et al., 2017)","plainCitation":"(Hagy et al., 2017)","noteIndex":0},"citationItems":[{"id":10125,"uris":["http://zotero.org/users/5709166/items/7T7RJTLS"],"itemData":{"id":10125,"type":"chapter","abstract":"Living Labs are places for open innovation where co-creation is a method for addressing real-life issues through the attribution of knowledge from science and society, the latter being a form of transdisciplinary social learning. In a Living Lab the representatives from business, society and academia, as well as citizens, have different value perceptions and propositions, providing heterogeneity across the stakeholder value spectrum. This provides a rich set of ideas and values for co-creation which can be used for both the operational phase and the integral shaping and creating the design for the physical infrastructure of the Living Lab itself. The use of co-creation workshops are demonstrated for ideation amongst the stakeholders for the HSB Living Lab. This is exemplified in the development of the social washing room which will be prototyped and tested in a fit-for-purpose multifunctional design space.","container-title":"Living Labs: Design and Assessment of Sustainable Living","event-place":"Cham","ISBN":"978-3-319-33527-8","language":"en","note":"DOI: 10.1007/978-3-319-33527-8_13","page":"169-178","publisher":"Springer International Publishing","publisher-place":"Cham","source":"Springer Link","title":"Co-creation in Living Labs","URL":"https://doi.org/10.1007/978-3-319-33527-8_13","author":[{"family":"Hagy","given":"Shea"},{"family":"Morrison","given":"Gregory M."},{"family":"Elfstrand","given":"Peter"}],"editor":[{"family":"Keyson","given":"David V."},{"family":"Guerra-Santin","given":"Olivia"},{"family":"Lockton","given":"Dan"}],"accessed":{"date-parts":[["2022",8,20]]},"issued":{"date-parts":[["2017"]]}}}],"schema":"https://github.com/citation-style-language/schema/raw/master/csl-citation.json"}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(Hagy et al., 2017)</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co-creation in our findings demonstrates an open, reciprocal, and inclusive environment for actors’ inter-organisational collaborations. This bears resemblance with open innovation studies that suggest the significance of open and respective relationship for cultivating creativity and innovation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{"citationID":"mQExTLYH","properties":{"formattedCitation":"(Elmquist et al., 2016; Gasc\\uc0\\u243{}, 2017)","plainCitation":"(Elmquist et al., 2016; Gascó, 2017)","noteIndex":0},"citationItems":[{"id":537,"uris":["http://zotero.org/users/5709166/items/9BW9MQVI"],"itemData":{"id":537,"type":"article-journal","abstract":"The open innovation paradigm has created opportunities for the emergence of new actors to provide support for open innovation. It is acknowledged that knowledge creation is pivotal to innovation, but this has yet to be discussed in the context of open innovation intermediation. This paper based on a longitudinal study of SAFER, a traffic and vehicle safety research centre in Sweden, explores the role of an actor whose objective is to support joint knowledge creation in open innovation. Theoretical models of knowledge creation are used in the analysis and the identified activities go beyond intermediation, and include peer collaboration and mobilisation of a collective strategic body. These activities are fundamental to an open innovation arena - here introduced as a new type of actor. The paper challenges the established focal firm perspective in open innovation and introduces the open innovation arena to underline knowledge creation among peers. © Copyright 2016 Inderscience Enterprises Ltd.","archive":"Scopus","container-title":"International Journal of Technology Management","DOI":"10.1504/IJTM.2016.081573","ISSN":"02675730 (ISSN)","issue":"4","journalAbbreviation":"Int J Technol Manage","language":"English","page":"273-295","title":"Beyond intermediation: The open innovation arena as an actor enabling joint knowledge creation","volume":"72","author":[{"family":"Elmquist","given":"M."},{"family":"Ollila","given":"S."},{"family":"Yström","given":"A."}],"issued":{"date-parts":[["2016"]]}}},{"id":2173,"uris":["http://zotero.org/users/5709166/items/A3GLDLXI"],"itemData":{"id":2173,"type":"article-journal","abstract":"Public sector innovation is an important issue in the agenda of policymakers and academics but there is a need for a change of perspective, one that promotes a more open model of innovating, which takes advantage of the possibilities offered by collaboration between citizens, entrepreneurs and civil society as well as of new emerging technologies. Living labs are environments that can support public open innovation processes. This article makes a practical contribution to understand the role of living labs as intermediaries of public open innovation. The analysis focuses on the dynamics of these innovation intermediaries, their outcomes, and their main challenges. In particular, it adopts a qualitative approach (fourteen semi-structured interviews and one focus group were conducted) in order to analyze two living labs: Citilab in the city of Cornellà and the network of fab athenaeums (public fab labs) in the city of Barcelona, both in Spain. After a thorough analysis of the attributes of these living labs, the article concludes that 1) living labs provide the opportunity for public agencies to meet with private sector organizations and thus function as innovation intermediaries, 2) implementing an open innovation perspective is considered more important than obtaining specific innovation results, and 3) scalability and sustainability are the main problems living labs encounter as open innovation intermediaries.","collection-title":"Open Innovation in the Public Sector","container-title":"Government Information Quarterly","DOI":"10.1016/j.giq.2016.09.003","ISSN":"0740-624X","issue":"1","journalAbbreviation":"Government Information Quarterly","language":"en","page":"90-98","source":"ScienceDirect","title":"Living labs: Implementing open innovation in the public sector","title-short":"Living labs","volume":"34","author":[{"family":"Gascó","given":"Mila"}],"issued":{"date-parts":[["2017",1,1]]}}}],"schema":"https://github.com/citation-style-language/schema/raw/master/csl-citation.json"}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hAnsi="Times New Roman" w:cs="Times New Roman"/>
          <w:sz w:val="24"/>
          <w:szCs w:val="24"/>
        </w:rPr>
        <w:t>(Elmquist et al., 2016; Gascó, 2017)</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w:t>
      </w:r>
    </w:p>
    <w:p w14:paraId="135E50F8" w14:textId="77777777" w:rsidR="00CF539F" w:rsidRPr="00F153F6" w:rsidRDefault="00CF539F" w:rsidP="004424B4">
      <w:pPr>
        <w:spacing w:line="360" w:lineRule="auto"/>
        <w:jc w:val="both"/>
        <w:rPr>
          <w:rFonts w:ascii="Times New Roman" w:eastAsiaTheme="minorEastAsia" w:hAnsi="Times New Roman" w:cs="Times New Roman"/>
        </w:rPr>
      </w:pPr>
    </w:p>
    <w:p w14:paraId="624CE470" w14:textId="77777777" w:rsidR="0015201A" w:rsidRPr="00F153F6" w:rsidRDefault="0015201A" w:rsidP="000543CB">
      <w:pPr>
        <w:pStyle w:val="Heading3"/>
        <w:spacing w:line="360" w:lineRule="auto"/>
        <w:ind w:firstLine="720"/>
        <w:jc w:val="both"/>
        <w:rPr>
          <w:rFonts w:ascii="Times New Roman" w:hAnsi="Times New Roman" w:cs="Times New Roman"/>
          <w:b/>
          <w:color w:val="auto"/>
          <w:sz w:val="28"/>
          <w:szCs w:val="28"/>
        </w:rPr>
      </w:pPr>
      <w:bookmarkStart w:id="663" w:name="_Toc118371157"/>
      <w:bookmarkStart w:id="664" w:name="_Toc133252183"/>
      <w:r w:rsidRPr="00F153F6">
        <w:rPr>
          <w:rFonts w:ascii="Times New Roman" w:hAnsi="Times New Roman" w:cs="Times New Roman"/>
          <w:b/>
          <w:color w:val="auto"/>
          <w:sz w:val="28"/>
          <w:szCs w:val="28"/>
        </w:rPr>
        <w:t>5.2.4 Completed Stage Framework</w:t>
      </w:r>
      <w:bookmarkEnd w:id="663"/>
      <w:bookmarkEnd w:id="664"/>
    </w:p>
    <w:p w14:paraId="7CC2CEE1" w14:textId="27A511B1" w:rsidR="00CD4963"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The present findings show that shared understanding and interactive commenting are two core knowledgeabilities </w:t>
      </w:r>
      <w:r w:rsidR="00A55433" w:rsidRPr="00F153F6">
        <w:rPr>
          <w:rFonts w:ascii="Times New Roman" w:eastAsiaTheme="minorEastAsia" w:hAnsi="Times New Roman" w:cs="Times New Roman"/>
          <w:sz w:val="24"/>
          <w:szCs w:val="24"/>
        </w:rPr>
        <w:t xml:space="preserve">found </w:t>
      </w:r>
      <w:r w:rsidRPr="00F153F6">
        <w:rPr>
          <w:rFonts w:ascii="Times New Roman" w:eastAsiaTheme="minorEastAsia" w:hAnsi="Times New Roman" w:cs="Times New Roman"/>
          <w:sz w:val="24"/>
          <w:szCs w:val="24"/>
        </w:rPr>
        <w:t>during the completed stage, conditioned by actors’ inter-connecting knowledgeability and resulting in co-ordinating knowledgeability. The enactment of these knowledgeabilities is mediated by nine ICT affordances, three constraints, and three different contextual layers. Compared to the integrated framework, core knowledgeabilities (interactive learning and co-creating) have two variations (Insights Spreading and Co-constructing), while conditional (inter-connecting) and resulting knowledgeabilities (co-ordinating) remain the same.</w:t>
      </w:r>
      <w:r w:rsidR="00CD4963" w:rsidRPr="00F153F6">
        <w:rPr>
          <w:rFonts w:ascii="Times New Roman" w:eastAsiaTheme="minorEastAsia" w:hAnsi="Times New Roman" w:cs="Times New Roman"/>
          <w:sz w:val="24"/>
          <w:szCs w:val="24"/>
        </w:rPr>
        <w:t xml:space="preserve"> The depicted figure for completed stage framework has been placed below as well (Figure 5.4), just for signposting the relevant concepts and categories.</w:t>
      </w:r>
    </w:p>
    <w:p w14:paraId="5C800C13" w14:textId="021054DC" w:rsidR="007148BA" w:rsidRPr="00F153F6" w:rsidRDefault="00E00ACE" w:rsidP="007148BA">
      <w:pPr>
        <w:keepNext/>
        <w:spacing w:line="360" w:lineRule="auto"/>
        <w:jc w:val="center"/>
      </w:pPr>
      <w:r w:rsidRPr="00F153F6">
        <w:rPr>
          <w:noProof/>
        </w:rPr>
        <w:lastRenderedPageBreak/>
        <w:drawing>
          <wp:inline distT="0" distB="0" distL="0" distR="0" wp14:anchorId="47943551" wp14:editId="3E519389">
            <wp:extent cx="5731510" cy="4636135"/>
            <wp:effectExtent l="0" t="0" r="2540" b="0"/>
            <wp:docPr id="1050907657" name="Picture 10509076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32827" name="Picture 4"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636135"/>
                    </a:xfrm>
                    <a:prstGeom prst="rect">
                      <a:avLst/>
                    </a:prstGeom>
                    <a:noFill/>
                    <a:ln>
                      <a:noFill/>
                    </a:ln>
                  </pic:spPr>
                </pic:pic>
              </a:graphicData>
            </a:graphic>
          </wp:inline>
        </w:drawing>
      </w:r>
    </w:p>
    <w:p w14:paraId="375C1556" w14:textId="632C5DC1" w:rsidR="007148BA" w:rsidRPr="00F153F6" w:rsidRDefault="007148BA" w:rsidP="007148BA">
      <w:pPr>
        <w:pStyle w:val="Caption"/>
        <w:jc w:val="center"/>
        <w:rPr>
          <w:rFonts w:ascii="Times New Roman" w:hAnsi="Times New Roman" w:cs="Times New Roman"/>
          <w:i w:val="0"/>
          <w:iCs w:val="0"/>
          <w:color w:val="auto"/>
          <w:sz w:val="22"/>
          <w:szCs w:val="22"/>
        </w:rPr>
      </w:pPr>
      <w:bookmarkStart w:id="665" w:name="_Toc119448472"/>
      <w:r w:rsidRPr="00F153F6">
        <w:rPr>
          <w:rFonts w:ascii="Times New Roman" w:hAnsi="Times New Roman" w:cs="Times New Roman"/>
          <w:i w:val="0"/>
          <w:iCs w:val="0"/>
          <w:color w:val="auto"/>
          <w:sz w:val="22"/>
          <w:szCs w:val="22"/>
        </w:rPr>
        <w:t xml:space="preserve">Figure 5. </w:t>
      </w:r>
      <w:r w:rsidRPr="00F153F6">
        <w:rPr>
          <w:rFonts w:ascii="Times New Roman" w:hAnsi="Times New Roman" w:cs="Times New Roman"/>
          <w:i w:val="0"/>
          <w:iCs w:val="0"/>
          <w:color w:val="auto"/>
          <w:sz w:val="22"/>
          <w:szCs w:val="22"/>
        </w:rPr>
        <w:fldChar w:fldCharType="begin"/>
      </w:r>
      <w:r w:rsidRPr="00F153F6">
        <w:rPr>
          <w:rFonts w:ascii="Times New Roman" w:hAnsi="Times New Roman" w:cs="Times New Roman"/>
          <w:i w:val="0"/>
          <w:iCs w:val="0"/>
          <w:color w:val="auto"/>
          <w:sz w:val="22"/>
          <w:szCs w:val="22"/>
        </w:rPr>
        <w:instrText xml:space="preserve"> SEQ Figure_5. \* ARABIC </w:instrText>
      </w:r>
      <w:r w:rsidRPr="00F153F6">
        <w:rPr>
          <w:rFonts w:ascii="Times New Roman" w:hAnsi="Times New Roman" w:cs="Times New Roman"/>
          <w:i w:val="0"/>
          <w:iCs w:val="0"/>
          <w:color w:val="auto"/>
          <w:sz w:val="22"/>
          <w:szCs w:val="22"/>
        </w:rPr>
        <w:fldChar w:fldCharType="separate"/>
      </w:r>
      <w:r w:rsidRPr="00F153F6">
        <w:rPr>
          <w:rFonts w:ascii="Times New Roman" w:hAnsi="Times New Roman" w:cs="Times New Roman"/>
          <w:i w:val="0"/>
          <w:iCs w:val="0"/>
          <w:noProof/>
          <w:color w:val="auto"/>
          <w:sz w:val="22"/>
          <w:szCs w:val="22"/>
        </w:rPr>
        <w:t>4</w:t>
      </w:r>
      <w:r w:rsidRPr="00F153F6">
        <w:rPr>
          <w:rFonts w:ascii="Times New Roman" w:hAnsi="Times New Roman" w:cs="Times New Roman"/>
          <w:i w:val="0"/>
          <w:iCs w:val="0"/>
          <w:color w:val="auto"/>
          <w:sz w:val="22"/>
          <w:szCs w:val="22"/>
        </w:rPr>
        <w:fldChar w:fldCharType="end"/>
      </w:r>
      <w:r w:rsidRPr="00F153F6">
        <w:rPr>
          <w:rFonts w:ascii="Times New Roman" w:hAnsi="Times New Roman" w:cs="Times New Roman"/>
          <w:i w:val="0"/>
          <w:iCs w:val="0"/>
          <w:color w:val="auto"/>
          <w:sz w:val="22"/>
          <w:szCs w:val="22"/>
        </w:rPr>
        <w:t xml:space="preserve"> A Copy of Figure 4.3 ICT-based Inter-organisational Knowledge Exchange Practice (Completed Stage)</w:t>
      </w:r>
      <w:bookmarkEnd w:id="665"/>
    </w:p>
    <w:p w14:paraId="49848A84" w14:textId="3815965F" w:rsidR="00CD4963" w:rsidRPr="00F153F6" w:rsidRDefault="00CD4963" w:rsidP="007148BA">
      <w:pPr>
        <w:spacing w:line="360" w:lineRule="auto"/>
        <w:jc w:val="center"/>
        <w:rPr>
          <w:rFonts w:ascii="Times New Roman" w:hAnsi="Times New Roman" w:cs="Times New Roman"/>
        </w:rPr>
      </w:pPr>
      <w:r w:rsidRPr="00F153F6">
        <w:rPr>
          <w:rFonts w:ascii="Times New Roman" w:hAnsi="Times New Roman" w:cs="Times New Roman"/>
        </w:rPr>
        <w:fldChar w:fldCharType="begin"/>
      </w:r>
      <w:r w:rsidRPr="00F153F6">
        <w:rPr>
          <w:rFonts w:ascii="Times New Roman" w:hAnsi="Times New Roman" w:cs="Times New Roman"/>
        </w:rPr>
        <w:instrText xml:space="preserve"> INCLUDEPICTURE "https://documents.lucid.app/documents/44d8b9b0-6d41-4b5d-a20d-ee01d91060ef/pages/0_0?a=10246&amp;x=8440&amp;y=-795&amp;w=1760&amp;h=1645&amp;store=1&amp;accept=image%2F*&amp;auth=LCA%20c3f5dac708199b0b1414d6cd5a8448c15a7bd1d8-ts%3D1643667786" \* MERGEFORMATINET </w:instrText>
      </w:r>
      <w:r w:rsidR="00000000">
        <w:rPr>
          <w:rFonts w:ascii="Times New Roman" w:hAnsi="Times New Roman" w:cs="Times New Roman"/>
        </w:rPr>
        <w:fldChar w:fldCharType="separate"/>
      </w:r>
      <w:r w:rsidRPr="00F153F6">
        <w:rPr>
          <w:rFonts w:ascii="Times New Roman" w:hAnsi="Times New Roman" w:cs="Times New Roman"/>
        </w:rPr>
        <w:fldChar w:fldCharType="end"/>
      </w:r>
    </w:p>
    <w:p w14:paraId="1819154A" w14:textId="46D9AFE4" w:rsidR="0015201A" w:rsidRPr="00F153F6" w:rsidRDefault="0015201A" w:rsidP="004424B4">
      <w:pPr>
        <w:spacing w:line="360" w:lineRule="auto"/>
        <w:jc w:val="both"/>
        <w:rPr>
          <w:rFonts w:ascii="Times New Roman" w:eastAsiaTheme="minorEastAsia" w:hAnsi="Times New Roman" w:cs="Times New Roman"/>
          <w:b/>
          <w:bCs/>
          <w:sz w:val="24"/>
          <w:szCs w:val="24"/>
        </w:rPr>
      </w:pPr>
      <w:r w:rsidRPr="00F153F6">
        <w:rPr>
          <w:rFonts w:ascii="Times New Roman" w:eastAsiaTheme="minorEastAsia" w:hAnsi="Times New Roman" w:cs="Times New Roman"/>
          <w:b/>
          <w:bCs/>
          <w:sz w:val="24"/>
          <w:szCs w:val="24"/>
        </w:rPr>
        <w:t>Knowledgeabilities during Completed Stage</w:t>
      </w:r>
    </w:p>
    <w:p w14:paraId="19C76DBD" w14:textId="283DA84E"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The present findings suggests that at the completed stage, actors’ ICT-based knowledge exchange practice tends to become publication-oriented and focuses on the integration and propagation of their project achievements where core knowledgeabilities enacted by actors are insights spreading and co-constructing. Since actors have nearly achieved most of their project objectives and are delivering the outcome at this stage, the publication and spreading of their achievements becomes prominent to their ICT-based knowledge exchange practice in order to sustain their projects value as a result of their inter-organisational collaboration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{"citationID":"jdJKy8Ek","properties":{"formattedCitation":"(Mirzabeiki et al., 2022)","plainCitation":"(Mirzabeiki et al., 2022)","noteIndex":0},"citationItems":[{"id":10131,"uris":["http://zotero.org/users/5709166/items/MBEXBS7U"],"itemData":{"id":10131,"type":"article-journal","abstract":"Co-opetition is gaining increasing attention as a potentially useful form of inter-organisational collaboration model to improve firms’ sustainable performance. However, limited previous studies have provided a clear substantive theory or offered empirical evidence for the process of sustainabilitydriven co-opetition. This paper explores how competing companies can collaborate in their supply chains (SCs) to achieve a higher level of sustainability performance by identifying drivers, facilitators and barriers of co-opetition. Based on two explorative case studies of co-opetition in the UK, the findings of this paper lead to a number of propositions and a theoretical framework for sustainabilitydriven co-opetition in SCs. This study contributes to the literature by providing a more in-depth understanding of co-opetition as a strategic capability for firms. This paper also proves the feasibility of a combined use of Resource-Based View and Network Theory perspectives in explaining a paradoxical inter-organisational relationship like co-opetition. A road map for sustainability-driven co-opetition in SCs is also provided as a heuristic decision model for practitioners.","container-title":"International Journal of Production Research","DOI":"10.1080/00207543.2021.1988749","ISSN":"0020-7543, 1366-588X","journalAbbreviation":"International Journal of Production Research","language":"en","page":"1-27","source":"DOI.org (Crossref)","title":"Sustainability-driven co-opetition in supply chains as strategic capabilities: drivers, facilitators, and barriers","title-short":"Sustainability-driven co-opetition in supply chains as strategic capabilities","author":[{"family":"Mirzabeiki","given":"Vahid"},{"family":"He","given":"Qile"},{"family":"Sarpong","given":"David"}],"issued":{"date-parts":[["2022",2,27]]}}}],"schema":"https://github.com/citation-style-language/schema/raw/master/csl-citation.json"}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(Mirzabeiki et al., 2022)</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w:t>
      </w:r>
    </w:p>
    <w:p w14:paraId="5CBCA9F2" w14:textId="5BED9F24"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The enactment of insights spreading demonstrates the capability of actors extend the impact of their project achievements. As the project moves to the completed stage, an actor’s </w:t>
      </w:r>
      <w:r w:rsidRPr="00F153F6">
        <w:rPr>
          <w:rFonts w:ascii="Times New Roman" w:eastAsiaTheme="minorEastAsia" w:hAnsi="Times New Roman" w:cs="Times New Roman"/>
          <w:sz w:val="24"/>
          <w:szCs w:val="24"/>
        </w:rPr>
        <w:lastRenderedPageBreak/>
        <w:t xml:space="preserve">achievement is communicated widely with not only internal collaborators, but also external audiences such as the public. Through disseminating and circulating activities at this stage, actors are able to exchange their knowledge with each other to scale up the impact of their expertise and spread their insights across different contexts to inform larger audiences about their insights, which entails a publication-informed learning process as the project value is sustained. The present findings thus advocates the significant role of sustainability in the ICT-based IOKE practice at the project completion stage, which conforms to existing literature that suggests incorporating sustainability into project management to sustain innovation and knowledge management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{"citationID":"1f1lHGD8","properties":{"formattedCitation":"(Achterkamp &amp; Vos, 2006; Khalifeh et al., 2020; Martins et al., 2019)","plainCitation":"(Achterkamp &amp; Vos, 2006; Khalifeh et al., 2020; Martins et al., 2019)","noteIndex":0},"citationItems":[{"id":10142,"uris":["http://zotero.org/users/5709166/items/BQEV5JF4"],"itemData":{"id":10142,"type":"article-journal","abstract":"This article presents a framework that can serve as a first step towards managing stakeholder involvement in sustainable innovation projects. This framework is based on the questions of which stakeholders ought to be involved, in which phase of the innovation project, and how. The underlying idea is that stakeholder involvement serves two goals: to clarify the local criteria for sustainable outcomes, and to activate organisational practices according to these criteria. In the framework we combine a new perspective on sustainability, 'the reduction of offload', with the well-known Triple P-perspective, to designate certain types of stakeholders. These stakeholders should be consulted to clarify criteria for sustainable innovation. Active participation of organisational members in stakeholder involvement might lead to the commitment needed for the actual use of these criteria in different phases of the innovation process. In this way stakeholder involvement can also lead to organisational practices consistent with sustainability criteria.","container-title":"International Journal of Environmental Technology and Management","DOI":"10.1504/IJETM.2006.011895","journalAbbreviation":"International Journal of Environmental Technology and Management","source":"ResearchGate","title":"A framework for making sense of sustainable innovation through stakeholder involvement","volume":"6","author":[{"family":"Achterkamp","given":"Marjolein"},{"family":"Vos","given":"Janita"}],"issued":{"date-parts":[["2006",1,1]]}}},{"id":10140,"uris":["http://zotero.org/users/5709166/items/5T23RCV7"],"itemData":{"id":10140,"type":"article-journal","abstract":"Purpose The purpose of this paper is to answer the research question: “does the incorporation of sustainability as a new school of thought in project management support project success?” The authors carried out a systematic literature review (SLR) on relevant empirical studies before 2018 to answer this question. Design/methodology/approach The authors carried out an SLR by selecting, extracting, analysing and critically appraising relevant literature that met pre-specified criteria by using transparent, well-organised and replicable steps. The main sources are publications in peer-reviewed journals regardless of their impact factor because the topic of incorporating sustainability in project management practices is restrained by a lack of research. Findings Based on the analysis, it seems that incorporating sustainability into project management may support project success. However, more evidence is required to support this finding as there are too few relevant empirical studies in the literature. Research limitations/implications Therefore, considering sustainability as a new school of thought in project management is premature, and there are recommendations for further research at the end of this study. There are several limitations to the studies chosen, which may have significantly affected results, and thus may affect outcomes in this study. Originality/value Project success needs to be the main endeavour when incorporating sustainability into project management, and it should be a key criterion when considering sustainability as a new school of thought in managing projects. The most challenging elements of project success that need to be addressed are cost and time. This study contributes to a better understanding of the impact of PSM on project success. It facilitates decision making in considering sustainability as a new school of thought in project management. Furthermore, it defines a need for more research work in this potential paradigm shift in managing projects.","container-title":"Journal of Management Development","DOI":"10.1108/JMD-02-2019-0045","ISSN":"0262-1711","issue":"4","note":"publisher: Emerald Publishing Limited","page":"453-474","source":"Emerald Insight","title":"The impact of project sustainability management (PSM) on project success: A systematic literature review","title-short":"The impact of project sustainability management (PSM) on project success","volume":"39","author":[{"family":"Khalifeh","given":"Amin"},{"family":"Farrell","given":"Peter"},{"family":"Al-edenat","given":"Malek"}],"issued":{"date-parts":[["2020",1,1]]}},"label":"page"},{"id":10144,"uris":["http://zotero.org/users/5709166/items/G63DTWTK"],"itemData":{"id":10144,"type":"article-journal","abstract":"The use of knowledge management in the context of sustainability has been increasingly important over the years. Despite this importance, it is observed that this area is still little explored and there are many possibilities of academic research. Following a structured research protocol, the authors of this article performed a systematic review of the literature and identified plausible gaps to be explored in the development of future research. These gaps are presented in relation to the themes, strategies, objectives and research approach. From the point of view of the themes, there are opportunities related to the study of sustainability in small and medium enterprises, in relation to the potential of universities as engines for the generation of knowledge and in concerning the insertion of knowledge management to propose guidelines for obtaining productive systems. Regarding research strategies, the lack of studies that use action research as central focus stands out. Focusing on the objectives, there are many research approaches used with the goal of developing models and specific tools directed to the sharing of information. Finally, regarding the approach, there are few studies with a quantitative approach. We believe that the information presented here can contribute to the evolution of knowledge management focused on sustainability. No similar studies were found in the literature.","container-title":"Journal of Cleaner Production","DOI":"10.1016/j.jclepro.2019.04.354","ISSN":"0959-6526","journalAbbreviation":"Journal of Cleaner Production","language":"en","page":"489-500","source":"ScienceDirect","title":"Knowledge management in the context of sustainability: Literature review and opportunities for future research","title-short":"Knowledge management in the context of sustainability","volume":"229","author":[{"family":"Martins","given":"V. W. B."},{"family":"Rampasso","given":"I. S."},{"family":"Anholon","given":"R."},{"family":"Quelhas","given":"O. L. G."},{"family":"Leal Filho","given":"W."}],"issued":{"date-parts":[["2019",8,20]]}},"label":"page"}],"schema":"https://github.com/citation-style-language/schema/raw/master/csl-citation.json"}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(Achterkamp &amp; Vos, 2006; Khalifeh et al., 2020; Martins et al., 2019)</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The wider audiences at this stage are not seen as irrelevant stakeholders to the project, rather they are viewed as potential actors or potential collaborators who take part in the publication-oriented phase of their ICT-based IOKE practice at completed stage and have the potentials to further sustain the value of the project. Therefore, contrary to prior studies that hold a closed-ended view to study inter-organisational collaboration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{"citationID":"oQLypN7m","properties":{"formattedCitation":"(Kubler et al., 2016; Le Pennec &amp; Raufflet, 2018; Tidstr\\uc0\\u246{}m &amp; \\uc0\\u197{}hman, 2006)","plainCitation":"(Kubler et al., 2016; Le Pennec &amp; Raufflet, 2018; Tidström &amp; Åhman, 2006)","noteIndex":0},"citationItems":[{"id":10132,"uris":["http://zotero.org/users/5709166/items/93Y2SWZ8"],"itemData":{"id":10132,"type":"paper-conference","abstract":"In the past few years, the architecture, engineering and construction (AEC) industry has carried out efforts to develop BIM (Building Information Modelling) facilitating tools and standards for enhanced collaborative working and information sharing. Lessons learnt from other industries and tools such as PLM (Product Lifecycle Management) – established tool in manufacturing to manage the engineering change process – revealed interesting potential to manage more efficiently the building design and construction processes. Nonetheless, one of the remaining challenges consists in closing the information loop between multiple building lifecycle phases, e.g. by capturing information from middle-of-life processes (i.e., use and maintenance) to re-use it in end-of-life processes (e.g., to guide disposal decision making). Our research addresses this lack of closed-loop system in the AEC industry by proposing an open and interoperable Web-based building lifecycle management system. This paper gives (i) an overview of the requirement engineering process that has been set up to integrate efforts, standards and directives of both the AEC and PLM industries, and (ii) first proofs-of-concept of our system implemented on two distinct campus.","collection-title":"IFIP Advances in Information and Communication Technology","container-title":"Product Lifecycle Management for Digital Transformation of Industries","DOI":"10.1007/978-3-319-54660-5_38","event-place":"Cham","ISBN":"978-3-319-54660-5","language":"en","page":"423-432","publisher":"Springer International Publishing","publisher-place":"Cham","source":"Springer Link","title":"Building Lifecycle Management System for Enhanced Closed Loop Collaboration","author":[{"family":"Kubler","given":"Sylvain"},{"family":"Buda","given":"Andrea"},{"family":"Robert","given":"Jérémy"},{"family":"Främling","given":"Kary"},{"family":"Le Traon","given":"Yves"}],"editor":[{"family":"Harik","given":"Ramy"},{"family":"Rivest","given":"Louis"},{"family":"Bernard","given":"Alain"},{"family":"Eynard","given":"Benoit"},{"family":"Bouras","given":"Abdelaziz"}],"issued":{"date-parts":[["2016"]]}}},{"id":1043,"uris":["http://zotero.org/users/5709166/items/LMFRAPH7"],"itemData":{"id":1043,"type":"article-journal","abstract":"Over the last decade, businesses, policymakers, and researchers alike have advocated the need for (and potential of) value creation through inter-organizational collaboration. Researchers have widely argued that organizations that are engaged in collaborative processes create value. Because researchers have tended to focus on the identification of organizational motivations and on key success factors for collaboration, however, both the nature and processes of value creation in inter-organizational collaboration have yet to be examined. A recent theory by Austin and Seitanidi (Nonprofit Volunt Sect Q 41(5):726–758, 2012a; Nonprofit Volunt Sect Q 41(6):929–968, 2012b) has proposed an analytical framework for analyzing value creation in inter-organizational collaboration, based on four types of value. The purpose of this current study is to empirically test this framework, and to provide key pointers for analyzing the nature of value, particularly in relation to learning. Our detailed empirical research is based on a 6-year retrospective case study of an inter-organizational partnership within an international development project for local economic development in Guatemala. The study’s contributions are twofold. First, it provides evidence of the critical path of the creation of diverse types of values in a collaborative process; second, it links the different types of value creation with the types of learning that occur in an inter-organizational process. © 2016, Springer Science+Business Media Dordrecht.","archive":"Scopus","container-title":"Journal of Business Ethics","DOI":"10.1007/s10551-015-3012-7","ISSN":"01674544 (ISSN)","issue":"4","journalAbbreviation":"J. Bus. Ethics","language":"English","page":"817-834","title":"Value Creation in Inter-Organizational Collaboration: An Empirical Study","volume":"148","author":[{"family":"Le Pennec","given":"M."},{"family":"Raufflet","given":"E."}],"issued":{"date-parts":[["2018"]]}}},{"id":10138,"uris":["http://zotero.org/users/5709166/items/CBI8LGZC"],"itemData":{"id":10138,"type":"article-journal","abstract":"Purpose – The purpose of this study is to increase the understanding of the process of ending inter‐organizational cooperation by identifying the underlying reasons and stages of the ending. Design/methodology/approach – The empirical context of this study is a joint company amongst a group of competitors. The findings of this paper are based on a longitudinal case study within the construction industry in the region of Ostrobothnia in Finland. Interviews with managing directors were carried out in 1998, 2000 and 2004. Findings – The reasons for ending a co‐operational relationship can be found on three levels: external, relational, and organizational. When taking into consideration the underlying reasons as well as time, the process consists of the following stages: pre‐start, harmony, consideration, disengagement, communication and post‐ending. Research limitations/implications – There are rare opportunities for generalizations, resulting in a risk of a fairly case specific study. Further research on this subject should focus on whether and under which circumstances do similar reasons and stages of the process exist. Practical implications – The process of ending inter‐organizational cooperation may start at the very beginning of the cooperation. Although a stage of harmony exists the ending process may already have begun. There is a need to invest more resources in order to preserve cooperation. Originality/value – The empirical context of cooperation between competitors is both unique and important within the research of business relationship ending. A longitudinal perspective was used and the stages of the ending process are based on identified reasons for the ending. Thereby a holistic view of the ending of business relationships is presented.","container-title":"Journal of Business &amp; Industrial Marketing","DOI":"10.1108/08858620610681588","ISSN":"0885-8624","issue":"5","note":"publisher: Emerald Group Publishing Limited","page":"281-290","source":"Emerald Insight","title":"The process of ending inter‐organizational cooperation","volume":"21","author":[{"family":"Tidström","given":"Annika"},{"family":"Åhman","given":"Sara"}],"issued":{"date-parts":[["2006",1,1]]}}}],"schema":"https://github.com/citation-style-language/schema/raw/master/csl-citation.json"}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hAnsi="Times New Roman" w:cs="Times New Roman"/>
          <w:sz w:val="24"/>
          <w:szCs w:val="24"/>
        </w:rPr>
        <w:t>(Kubler et al., 2016; Le Pennec &amp; Raufflet, 2018; Tidström &amp; Åhman, 2006)</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the present findings suggests an open-ended view </w:t>
      </w:r>
      <w:r w:rsidR="00A55433" w:rsidRPr="00F153F6">
        <w:rPr>
          <w:rFonts w:ascii="Times New Roman" w:eastAsiaTheme="minorEastAsia" w:hAnsi="Times New Roman" w:cs="Times New Roman"/>
          <w:sz w:val="24"/>
          <w:szCs w:val="24"/>
        </w:rPr>
        <w:t>on</w:t>
      </w:r>
      <w:r w:rsidRPr="00F153F6">
        <w:rPr>
          <w:rFonts w:ascii="Times New Roman" w:eastAsiaTheme="minorEastAsia" w:hAnsi="Times New Roman" w:cs="Times New Roman"/>
          <w:sz w:val="24"/>
          <w:szCs w:val="24"/>
        </w:rPr>
        <w:t xml:space="preserve"> inter-organisational collaboration and knowledge management, and highlights the role of potential collaborators in the sustainability of the ICT-based IOKE practice at this stage. </w:t>
      </w:r>
    </w:p>
    <w:p w14:paraId="4CD0885F" w14:textId="70BF04EA"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The other core knowledgeability at completed stage, co-constructing, demonstrates the capability that actors construct new insights together towards a combined form. At this stage, since actors may have accomplished achievements which may exist in diverse forms, combining and integrating this distributed knowledge allows actors to explore in greater depth their lessons learnt and explore the hidden value of the project. This thus can inform the co-creation of new knowledge as actors enact co-creating knowledgeability at this stage. Gibson et al.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{"citationID":"Fql1jTiz","properties":{"formattedCitation":"(2021)","plainCitation":"(2021)","noteIndex":0},"citationItems":[{"id":9799,"uris":["http://zotero.org/users/5709166/items/2MGCEYF6"],"itemData":{"id":9799,"type":"article-journal","abstract":"Despite the dynamic nature of knowledge-related activities and the availability of a variety of communication technologies, many global teams habitually use technology in the same way across activities. However, as teams move through cycles of accumulating, integrating, and implementing knowledge, the purposes for communication technologies change. Current theorizing and empirical work on team knowledge management has yet to develop a dynamic theory that incorporates these changes. By conducting a multiwave, mixed method analysis of 48 global teams, we develop a theory of how global teams sustain effectiveness through technology affordance processes. We found that effective teams are those that recognize cues indicating change is necessary and coevolve a symbiosis between new activities, new purposes for interaction, and new uses of communication technologies. This coevolution of purpose with technology use forms new affordances, which enable the team to move on to new knowledge management activities and sustain effectiveness. Our theory more realistically models the dynamics of staying connected while sharing, combining, and implementing knowledge across the globe.","container-title":"Organization Science","DOI":"10.1287/orsc.2021.1478","ISSN":"1047-7039, 1526-5455","journalAbbreviation":"Organization Science","language":"en","page":"orsc.2021.1478","source":"DOI.org (Crossref)","title":"Sustaining Effectiveness in Global Teams: The Coevolution of Knowledge Management Activities and Technology Affordances","title-short":"Sustaining Effectiveness in Global Teams","author":[{"family":"Gibson","given":"Cristina B."},{"family":"Dunlop","given":"Patrick D."},{"family":"Majchrzak","given":"Ann"},{"family":"Chia","given":"Terence"}],"issued":{"date-parts":[["2021",8,11]]}},"label":"page","suppress-author":true}],"schema":"https://github.com/citation-style-language/schema/raw/master/csl-citation.json"}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(2021)</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claims that iterative integration of knowledge leads to the synthesis of team</w:t>
      </w:r>
      <w:r w:rsidR="00A55433" w:rsidRPr="00F153F6">
        <w:rPr>
          <w:rFonts w:ascii="Times New Roman" w:eastAsiaTheme="minorEastAsia" w:hAnsi="Times New Roman" w:cs="Times New Roman"/>
          <w:sz w:val="24"/>
          <w:szCs w:val="24"/>
        </w:rPr>
        <w:t xml:space="preserve"> capability’s</w:t>
      </w:r>
      <w:r w:rsidRPr="00F153F6">
        <w:rPr>
          <w:rFonts w:ascii="Times New Roman" w:eastAsiaTheme="minorEastAsia" w:hAnsi="Times New Roman" w:cs="Times New Roman"/>
          <w:sz w:val="24"/>
          <w:szCs w:val="24"/>
        </w:rPr>
        <w:t xml:space="preserve"> variety, which allows actors to collaborate in a way that accounts for team respects and incorporates diversity into the team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{"citationID":"QDDr3UtE","properties":{"formattedCitation":"(Harvey, 2014)","plainCitation":"(Harvey, 2014)","noteIndex":0},"citationItems":[{"id":10147,"uris":["http://zotero.org/users/5709166/items/PGGGXSU9"],"itemData":{"id":10147,"type":"article-journal","abstract":"This article provides insight into how some groups achieve extraordinary levels of creativity by reconsidering the collective process through which new ideas develop. Previous research has been premised on a model in which idea generation stimulated by divergent input increases the variance in ideas a group generates and therefore increases the chance that one of the group's ideas will be a radical, breakthrough creative product. In contrast, I present a dialectical model in which the integration of group members' perspectives (which I label creative synthesis) is the foundation for new ideas. I propose that the process of creative synthesis improves the chance that each of a group's ideas is a breakthrough. I elaborate the process facilitators of creative synthesis and the implications of the dialectical model for understanding extraordinary group creativity. Creative synthesis provides an alternative way for groups to combine their cognitive, social, and environmental resources into extraordinary output.","container-title":"The Academy of Management Review","DOI":"10.5465/amr.2012.0224","journalAbbreviation":"The Academy of Management Review","source":"ResearchGate","title":"Creative Synthesis: Exploring the Process of Extraordinary Group Creativity","title-short":"Creative Synthesis","volume":"39","author":[{"family":"Harvey","given":"Sarah"}],"issued":{"date-parts":[["2014",2,14]]}}}],"schema":"https://github.com/citation-style-language/schema/raw/master/csl-citation.json"}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(Harvey, 2014)</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Engaging in such an integration process ensures every actor’s voice is heard and leads to further exploration of new insights, which creates more opportunities for co-creation of meanings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{"citationID":"64as1FVO","properties":{"formattedCitation":"(Cronin &amp; Weingart, 2007; Harvey, 2014)","plainCitation":"(Cronin &amp; Weingart, 2007; Harvey, 2014)","noteIndex":0},"citationItems":[{"id":10150,"uris":["http://zotero.org/users/5709166/items/WWA9HACM"],"itemData":{"id":10150,"type":"article-journal","container-title":"Academy of Management Review","DOI":"10.5465/amr.2007.25275511","ISSN":"0363-7425, 1930-3807","issue":"3","journalAbbreviation":"AMR","language":"en","page":"761-773","source":"DOI.org (Crossref)","title":"Representational gaps, information processing, and conflict in functionally diverse teams","volume":"32","author":[{"family":"Cronin","given":"Matthew A."},{"family":"Weingart","given":"Laurie R."}],"issued":{"date-parts":[["2007",7]]}}},{"id":10147,"uris":["http://zotero.org/users/5709166/items/PGGGXSU9"],"itemData":{"id":10147,"type":"article-journal","abstract":"This article provides insight into how some groups achieve extraordinary levels of creativity by reconsidering the collective process through which new ideas develop. Previous research has been premised on a model in which idea generation stimulated by divergent input increases the variance in ideas a group generates and therefore increases the chance that one of the group's ideas will be a radical, breakthrough creative product. In contrast, I present a dialectical model in which the integration of group members' perspectives (which I label creative synthesis) is the foundation for new ideas. I propose that the process of creative synthesis improves the chance that each of a group's ideas is a breakthrough. I elaborate the process facilitators of creative synthesis and the implications of the dialectical model for understanding extraordinary group creativity. Creative synthesis provides an alternative way for groups to combine their cognitive, social, and environmental resources into extraordinary output.","container-title":"The Academy of Management Review","DOI":"10.5465/amr.2012.0224","journalAbbreviation":"The Academy of Management Review","source":"ResearchGate","title":"Creative Synthesis: Exploring the Process of Extraordinary Group Creativity","title-short":"Creative Synthesis","volume":"39","author":[{"family":"Harvey","given":"Sarah"}],"issued":{"date-parts":[["2014",2,14]]}}}],"schema":"https://github.com/citation-style-language/schema/raw/master/csl-citation.json"}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(Cronin &amp; Weingart, 2007; Harvey, 2014)</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The present study thus contends that the co-constructing is an important knowledgeability to stimulate creativity in ICT-based IOKE practice for sustaining the value of inter-organisational collaboration at project completed stage.  </w:t>
      </w:r>
    </w:p>
    <w:p w14:paraId="770C8E15" w14:textId="77777777" w:rsidR="0015201A" w:rsidRPr="00F153F6" w:rsidRDefault="0015201A" w:rsidP="004424B4">
      <w:pPr>
        <w:spacing w:line="360" w:lineRule="auto"/>
        <w:jc w:val="both"/>
        <w:rPr>
          <w:rFonts w:ascii="Times New Roman" w:eastAsiaTheme="minorEastAsia" w:hAnsi="Times New Roman" w:cs="Times New Roman"/>
          <w:sz w:val="24"/>
          <w:szCs w:val="24"/>
        </w:rPr>
      </w:pPr>
    </w:p>
    <w:p w14:paraId="37B3B936" w14:textId="77777777" w:rsidR="0015201A" w:rsidRPr="00F153F6" w:rsidRDefault="0015201A" w:rsidP="004424B4">
      <w:pPr>
        <w:spacing w:line="360" w:lineRule="auto"/>
        <w:jc w:val="both"/>
        <w:rPr>
          <w:rFonts w:ascii="Times New Roman" w:eastAsiaTheme="minorEastAsia" w:hAnsi="Times New Roman" w:cs="Times New Roman"/>
          <w:b/>
          <w:bCs/>
          <w:sz w:val="24"/>
          <w:szCs w:val="24"/>
        </w:rPr>
      </w:pPr>
      <w:r w:rsidRPr="00F153F6">
        <w:rPr>
          <w:rFonts w:ascii="Times New Roman" w:eastAsiaTheme="minorEastAsia" w:hAnsi="Times New Roman" w:cs="Times New Roman"/>
          <w:b/>
          <w:bCs/>
          <w:sz w:val="24"/>
          <w:szCs w:val="24"/>
        </w:rPr>
        <w:lastRenderedPageBreak/>
        <w:t>ICT Affordances and Constraints during Completed Stage</w:t>
      </w:r>
    </w:p>
    <w:p w14:paraId="7CE9CDEF" w14:textId="3C0986A6"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The proposed theorisation of the role of </w:t>
      </w:r>
      <w:r w:rsidR="00964DE8" w:rsidRPr="00F153F6">
        <w:rPr>
          <w:rFonts w:ascii="Times New Roman" w:eastAsiaTheme="minorEastAsia" w:hAnsi="Times New Roman" w:cs="Times New Roman"/>
          <w:sz w:val="24"/>
          <w:szCs w:val="24"/>
        </w:rPr>
        <w:t>ICT</w:t>
      </w:r>
      <w:r w:rsidRPr="00F153F6">
        <w:rPr>
          <w:rFonts w:ascii="Times New Roman" w:eastAsiaTheme="minorEastAsia" w:hAnsi="Times New Roman" w:cs="Times New Roman"/>
          <w:sz w:val="24"/>
          <w:szCs w:val="24"/>
        </w:rPr>
        <w:t xml:space="preserve"> in ICT-based IOKE practice during the completion stage contributes to the existing literature by specifying diverse ICT affordances and constraints in the mediation of the enactment of diverse knowledgeabilities. Prior studies have identified essential knowledge and knowledge exchange practices for the completed project stage. For example, </w:t>
      </w:r>
      <w:r w:rsidRPr="00F153F6">
        <w:rPr>
          <w:rFonts w:ascii="Times New Roman" w:hAnsi="Times New Roman" w:cs="Times New Roman"/>
          <w:sz w:val="24"/>
          <w:szCs w:val="24"/>
        </w:rPr>
        <w:t xml:space="preserve">Beiryaei and Vaghefi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{"citationID":"ECYZZRbF","properties":{"formattedCitation":"(2010)","plainCitation":"(2010)","noteIndex":0},"citationItems":[{"id":10319,"uris":["http://zotero.org/users/5709166/items/WGT4BSA8"],"itemData":{"id":10319,"type":"paper-conference","abstract":"As project managers fail to properly apply knowledge management in projects, firms lose a great deal of knowledge, experiences and lessons learned during projects. This occurs due to the complex nature of the today's projects, high costs and time limitation. To overcome this defect, recently, researchers tried to link knowledge management (KM) practices with those of project management (PM). One way to establish this linkage is to integrate KM and PM processes. Based on theoretical grounds on knowledge management and project management literature, this study introduces a method to implement knowledge management practices, along with project management ones. Using knowledge life cycle phases, we re-define standard project management phases, so that the two processes can be simultaneously and efficiently done.","container-title":"2010 3rd International Conference on Computer Science and Information Technology","DOI":"10.1109/ICCSIT.2010.5564540","event-title":"2010 3rd International Conference on Computer Science and Information Technology","page":"643-647","source":"IEEE Xplore","title":"Implementing knowledge life cycle in the body of project life cycle by using knowledge management system (KLC in PLC)","volume":"9","author":[{"family":"Beiryaei","given":"Hanieh Sadat"},{"family":"Vaghef","given":"Seyed Eshagh Ashraf"}],"issued":{"date-parts":[["2010",7]]}},"label":"page","suppress-author":true}],"schema":"https://github.com/citation-style-language/schema/raw/master/csl-citation.json"}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(2010)</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argue that at this stage, utilisation and organisation performance are essential knowledge management activities where ICT may play a role such as, embedding knowledge into organisational routines </w:t>
      </w:r>
      <w:r w:rsidRPr="00F153F6">
        <w:rPr>
          <w:rFonts w:ascii="Times New Roman" w:eastAsiaTheme="minorEastAsia" w:hAnsi="Times New Roman" w:cs="Times New Roman"/>
          <w:sz w:val="24"/>
          <w:szCs w:val="24"/>
        </w:rPr>
        <w:fldChar w:fldCharType="begin"/>
      </w:r>
      <w:r w:rsidR="00B73834" w:rsidRPr="00F153F6">
        <w:rPr>
          <w:rFonts w:ascii="Times New Roman" w:eastAsiaTheme="minorEastAsia" w:hAnsi="Times New Roman" w:cs="Times New Roman"/>
          <w:sz w:val="24"/>
          <w:szCs w:val="24"/>
        </w:rPr>
        <w:instrText xml:space="preserve"> ADDIN ZOTERO_ITEM CSL_CITATION {"citationID":"eVYCv278","properties":{"formattedCitation":"(Beiryaei &amp; Vaghef, 2010; Brainin &amp; Arazy, 2016; Leonardi, 2011a)","plainCitation":"(Beiryaei &amp; Vaghef, 2010; Brainin &amp; Arazy, 2016; Leonardi, 2011a)","noteIndex":0},"citationItems":[{"id":10319,"uris":["http://zotero.org/users/5709166/items/WGT4BSA8"],"itemData":{"id":10319,"type":"paper-conference","abstract":"As project managers fail to properly apply knowledge management in projects, firms lose a great deal of knowledge, experiences and lessons learned during projects. This occurs due to the complex nature of the today's projects, high costs and time limitation. To overcome this defect, recently, researchers tried to link knowledge management (KM) practices with those of project management (PM). One way to establish this linkage is to integrate KM and PM processes. Based on theoretical grounds on knowledge management and project management literature, this study introduces a method to implement knowledge management practices, along with project management ones. Using knowledge life cycle phases, we re-define standard project management phases, so that the two processes can be simultaneously and efficiently done.","container-title":"2010 3rd International Conference on Computer Science and Information Technology","DOI":"10.1109/ICCSIT.2010.5564540","event-title":"2010 3rd International Conference on Computer Science and Information Technology","page":"643-647","source":"IEEE Xplore","title":"Implementing knowledge life cycle in the body of project life cycle by using knowledge management system (KLC in PLC)","volume":"9","author":[{"family":"Beiryaei","given":"Hanieh Sadat"},{"family":"Vaghef","given":"Seyed Eshagh Ashraf"}],"issued":{"date-parts":[["2010",7]]}},"label":"page"},{"id":144,"uris":["http://zotero.org/users/5709166/items/EV9BWJX7"],"itemData":{"id":144,"type":"article-journal","container-title":"Informatics","DOI":"10.3390/informatics3030012","ISSN":"2227-9709","issue":"3","journalAbbreviation":"Informatics","language":"en","page":"12","source":"DOI.org (Crossref)","title":"When Wiki Technology Meets Corporate Knowledge Management Routines: A Sociomateriality Perspective","title-short":"When Wiki Technology Meets Corporate Knowledge Management Routines","volume":"3","author":[{"family":"Brainin","given":"Esther"},{"family":"Arazy","given":"Ofer"}],"issued":{"date-parts":[["2016",7,28]]}}},{"id":143,"uris":["http://zotero.org/users/5709166/items/HGCGFAQC"],"itemData":{"id":143,"type":"article-journal","container-title":"MIS Quarterly","DOI":"10.2307/23043493","ISSN":"02767783","issue":"1","journalAbbreviation":"MIS Quarterly","page":"147","source":"DOI.org (Crossref)","title":"When Flexible Routines Meet Flexible Technologies: Affordance, Constraint, and the Imbrication of Human and Material Agencies","title-short":"When Flexible Routines Meet Flexible Technologies","volume":"35","author":[{"literal":"Leonardi"}],"issued":{"date-parts":[["2011"]]}}}],"schema":"https://github.com/citation-style-language/schema/raw/master/csl-citation.json"}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00B73834" w:rsidRPr="00F153F6">
        <w:rPr>
          <w:rFonts w:ascii="Times New Roman" w:hAnsi="Times New Roman" w:cs="Times New Roman"/>
          <w:sz w:val="24"/>
          <w:szCs w:val="24"/>
        </w:rPr>
        <w:t>(Beiryaei &amp; Vaghef, 2010; Brainin &amp; Arazy, 2016; Leonardi, 2011)</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and collective public codification affordance </w:t>
      </w:r>
      <w:r w:rsidRPr="00F153F6">
        <w:rPr>
          <w:rFonts w:ascii="Times New Roman" w:eastAsiaTheme="minorEastAsia" w:hAnsi="Times New Roman" w:cs="Times New Roman"/>
          <w:sz w:val="24"/>
          <w:szCs w:val="24"/>
        </w:rPr>
        <w:fldChar w:fldCharType="begin"/>
      </w:r>
      <w:r w:rsidR="00B73834" w:rsidRPr="00F153F6">
        <w:rPr>
          <w:rFonts w:ascii="Times New Roman" w:eastAsiaTheme="minorEastAsia" w:hAnsi="Times New Roman" w:cs="Times New Roman"/>
          <w:sz w:val="24"/>
          <w:szCs w:val="24"/>
        </w:rPr>
        <w:instrText xml:space="preserve"> ADDIN ZOTERO_ITEM CSL_CITATION {"citationID":"MNMy78TE","properties":{"formattedCitation":"(C. B. Gibson et al., 2021)","plainCitation":"(C. B. Gibson et al., 2021)","dontUpdate":true,"noteIndex":0},"citationItems":[{"id":9799,"uris":["http://zotero.org/users/5709166/items/2MGCEYF6"],"itemData":{"id":9799,"type":"article-journal","abstract":"Despite the dynamic nature of knowledge-related activities and the availability of a variety of communication technologies, many global teams habitually use technology in the same way across activities. However, as teams move through cycles of accumulating, integrating, and implementing knowledge, the purposes for communication technologies change. Current theorizing and empirical work on team knowledge management has yet to develop a dynamic theory that incorporates these changes. By conducting a multiwave, mixed method analysis of 48 global teams, we develop a theory of how global teams sustain effectiveness through technology affordance processes. We found that effective teams are those that recognize cues indicating change is necessary and coevolve a symbiosis between new activities, new purposes for interaction, and new uses of communication technologies. This coevolution of purpose with technology use forms new affordances, which enable the team to move on to new knowledge management activities and sustain effectiveness. Our theory more realistically models the dynamics of staying connected while sharing, combining, and implementing knowledge across the globe.","container-title":"Organization Science","DOI":"10.1287/orsc.2021.1478","ISSN":"1047-7039, 1526-5455","journalAbbreviation":"Organization Science","language":"en","page":"orsc.2021.1478","source":"DOI.org (Crossref)","title":"Sustaining Effectiveness in Global Teams: The Coevolution of Knowledge Management Activities and Technology Affordances","title-short":"Sustaining Effectiveness in Global Teams","author":[{"family":"Gibson","given":"Cristina B."},{"family":"Dunlop","given":"Patrick D."},{"family":"Majchrzak","given":"Ann"},{"family":"Chia","given":"Terence"}],"issued":{"date-parts":[["2021",8,11]]}}}],"schema":"https://github.com/citation-style-language/schema/raw/master/csl-citation.json"}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(Gibson et al., 2021)</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for knowledge utilisation. The present study drawing on a practice perspective argues that even in the projects ending stage, actors are developing a diverse range of knowledgeable practices and knowledge utilisation is integrated with these practices as knowledge is always in use. The present findings suggest nine ICT afforded abilities and three ICT constrained abilities that enable or inhibit actors to accomplish their diverse knowing in practice (inter-connecting, impact spreading, co-constructing, and co-ordinating) in inter-organisational projects completed stage. This combines insights of knowledge management, ICT, and project management into an integrated framework, and delineates the effects of </w:t>
      </w:r>
      <w:r w:rsidR="00964DE8" w:rsidRPr="00F153F6">
        <w:rPr>
          <w:rFonts w:ascii="Times New Roman" w:eastAsiaTheme="minorEastAsia" w:hAnsi="Times New Roman" w:cs="Times New Roman"/>
          <w:sz w:val="24"/>
          <w:szCs w:val="24"/>
        </w:rPr>
        <w:t>ICT</w:t>
      </w:r>
      <w:r w:rsidRPr="00F153F6">
        <w:rPr>
          <w:rFonts w:ascii="Times New Roman" w:eastAsiaTheme="minorEastAsia" w:hAnsi="Times New Roman" w:cs="Times New Roman"/>
          <w:sz w:val="24"/>
          <w:szCs w:val="24"/>
        </w:rPr>
        <w:t xml:space="preserve"> on knowledgeable works at project completion stage. </w:t>
      </w:r>
    </w:p>
    <w:p w14:paraId="5FC5E8C0" w14:textId="07CEB4DE" w:rsidR="0015201A" w:rsidRPr="00F153F6" w:rsidRDefault="0015201A" w:rsidP="004424B4">
      <w:pPr>
        <w:spacing w:line="360" w:lineRule="auto"/>
        <w:jc w:val="both"/>
        <w:rPr>
          <w:rFonts w:ascii="Times New Roman" w:eastAsiaTheme="minorEastAsia" w:hAnsi="Times New Roman" w:cs="Times New Roman"/>
          <w:b/>
          <w:bCs/>
          <w:sz w:val="24"/>
          <w:szCs w:val="24"/>
        </w:rPr>
      </w:pPr>
      <w:r w:rsidRPr="00F153F6">
        <w:rPr>
          <w:rFonts w:ascii="Times New Roman" w:eastAsiaTheme="minorEastAsia" w:hAnsi="Times New Roman" w:cs="Times New Roman"/>
          <w:b/>
          <w:bCs/>
          <w:sz w:val="24"/>
          <w:szCs w:val="24"/>
        </w:rPr>
        <w:t>Complexity of the Context for Completed Stage</w:t>
      </w:r>
    </w:p>
    <w:p w14:paraId="467EFF57" w14:textId="2FCE4B35"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As a project moves to the completed stage, the findings here emphases the role of sustainability and how sustainability is developed as actors use </w:t>
      </w:r>
      <w:r w:rsidR="00964DE8" w:rsidRPr="00F153F6">
        <w:rPr>
          <w:rFonts w:ascii="Times New Roman" w:eastAsiaTheme="minorEastAsia" w:hAnsi="Times New Roman" w:cs="Times New Roman"/>
          <w:sz w:val="24"/>
          <w:szCs w:val="24"/>
        </w:rPr>
        <w:t>ICT</w:t>
      </w:r>
      <w:r w:rsidRPr="00F153F6">
        <w:rPr>
          <w:rFonts w:ascii="Times New Roman" w:eastAsiaTheme="minorEastAsia" w:hAnsi="Times New Roman" w:cs="Times New Roman"/>
          <w:sz w:val="24"/>
          <w:szCs w:val="24"/>
        </w:rPr>
        <w:t xml:space="preserve"> for their knowledgeable works. This indicates that the sustainability of the project is becoming significant for the context of inter-organisational collaboration and project innovation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{"citationID":"nyKgCIpe","properties":{"formattedCitation":"(Bendix et al., 2017; Hansen &amp; Klewitz, 2012; Mirzabeiki et al., 2022)","plainCitation":"(Bendix et al., 2017; Hansen &amp; Klewitz, 2012; Mirzabeiki et al., 2022)","noteIndex":0},"citationItems":[{"id":10126,"uris":["http://zotero.org/users/5709166/items/5SEEH68M"],"itemData":{"id":10126,"type":"book","abstract":"At once a slogan and a vision for future scholarship, interdisciplinarity promises to break through barriers to address today's complex challenges. Yet even high-stakes projects often falter, undone by poor communication, strong feelings, bureaucratic frameworks, and contradictory incentives. This new book shows newcomers and veteran researchers how to craft associations that will lead to rich mutual learning under inevitably tricky conditions. Strikingly candid and always grounded, the authors draw a wealth of profound, practical lessons from an in-depth case study of a multiyear funded project on cultural property. Examining the social dynamics of collaboration, they show readers how to anticipate sources of conflict, nurture trust, and jump-start thinking across disciplines. Researchers and institutions alike will learn to plan for each phase of a project life cycle, capturing insights and shepherding involvement along the way.","ISBN":"978-0-252-09939-7","language":"en","note":"Google-Books-ID: XIebDgAAQBAJ","number-of-pages":"146","publisher":"University of Illinois Press","source":"Google Books","title":"Sustaining Interdisciplinary Collaboration: A Guide for the Academy","title-short":"Sustaining Interdisciplinary Collaboration","author":[{"family":"Bendix","given":"Regina"},{"family":"Bizer","given":"Kilian"},{"family":"Noyes","given":"Dorothy"}],"issued":{"date-parts":[["2017",3,28]]}}},{"id":10128,"uris":["http://zotero.org/users/5709166/items/86AIKLUU"],"itemData":{"id":10128,"type":"chapter","ISBN":"978-1-906093-73-0","page":"254-278","source":"ResearchGate","title":"Publicly Mediated Inter-Organizational Networks: A Solution for Sustainability-Oriented Innovation in SMEs ?","title-short":"Publicly Mediated Inter-Organizational Networks","author":[{"family":"Hansen","given":"Erik"},{"family":"Klewitz","given":"Johanna"}],"issued":{"date-parts":[["2012",1,1]]}}},{"id":10131,"uris":["http://zotero.org/users/5709166/items/MBEXBS7U"],"itemData":{"id":10131,"type":"article-journal","abstract":"Co-opetition is gaining increasing attention as a potentially useful form of inter-organisational collaboration model to improve firms’ sustainable performance. However, limited previous studies have provided a clear substantive theory or offered empirical evidence for the process of sustainabilitydriven co-opetition. This paper explores how competing companies can collaborate in their supply chains (SCs) to achieve a higher level of sustainability performance by identifying drivers, facilitators and barriers of co-opetition. Based on two explorative case studies of co-opetition in the UK, the findings of this paper lead to a number of propositions and a theoretical framework for sustainabilitydriven co-opetition in SCs. This study contributes to the literature by providing a more in-depth understanding of co-opetition as a strategic capability for firms. This paper also proves the feasibility of a combined use of Resource-Based View and Network Theory perspectives in explaining a paradoxical inter-organisational relationship like co-opetition. A road map for sustainability-driven co-opetition in SCs is also provided as a heuristic decision model for practitioners.","container-title":"International Journal of Production Research","DOI":"10.1080/00207543.2021.1988749","ISSN":"0020-7543, 1366-588X","journalAbbreviation":"International Journal of Production Research","language":"en","page":"1-27","source":"DOI.org (Crossref)","title":"Sustainability-driven co-opetition in supply chains as strategic capabilities: drivers, facilitators, and barriers","title-short":"Sustainability-driven co-opetition in supply chains as strategic capabilities","author":[{"family":"Mirzabeiki","given":"Vahid"},{"family":"He","given":"Qile"},{"family":"Sarpong","given":"David"}],"issued":{"date-parts":[["2022",2,27]]}}}],"schema":"https://github.com/citation-style-language/schema/raw/master/csl-citation.json"}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(Bendix et al., 2017; Hansen &amp; Klewitz, 2012; Mirzabeiki et al., 2022)</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In addition, due to the increased maturity of collaboration, actors </w:t>
      </w:r>
      <w:r w:rsidR="00A55433" w:rsidRPr="00F153F6">
        <w:rPr>
          <w:rFonts w:ascii="Times New Roman" w:eastAsiaTheme="minorEastAsia" w:hAnsi="Times New Roman" w:cs="Times New Roman"/>
          <w:sz w:val="24"/>
          <w:szCs w:val="24"/>
        </w:rPr>
        <w:t>are enacting</w:t>
      </w:r>
      <w:r w:rsidRPr="00F153F6">
        <w:rPr>
          <w:rFonts w:ascii="Times New Roman" w:eastAsiaTheme="minorEastAsia" w:hAnsi="Times New Roman" w:cs="Times New Roman"/>
          <w:sz w:val="24"/>
          <w:szCs w:val="24"/>
        </w:rPr>
        <w:t xml:space="preserve"> regulated routines and structure</w:t>
      </w:r>
      <w:r w:rsidR="00A55433" w:rsidRPr="00F153F6">
        <w:rPr>
          <w:rFonts w:ascii="Times New Roman" w:eastAsiaTheme="minorEastAsia" w:hAnsi="Times New Roman" w:cs="Times New Roman"/>
          <w:sz w:val="24"/>
          <w:szCs w:val="24"/>
        </w:rPr>
        <w:t>s</w:t>
      </w:r>
      <w:r w:rsidRPr="00F153F6">
        <w:rPr>
          <w:rFonts w:ascii="Times New Roman" w:eastAsiaTheme="minorEastAsia" w:hAnsi="Times New Roman" w:cs="Times New Roman"/>
          <w:sz w:val="24"/>
          <w:szCs w:val="24"/>
        </w:rPr>
        <w:t xml:space="preserve"> for their ICT-based IOKE practice. This echoes with the findings of previous studies that indicate regulatory norms for inter-organisational relations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{"citationID":"qthm6soO","properties":{"formattedCitation":"(Lie, 2011; Marchington &amp; Vincent, 2004)","plainCitation":"(Lie, 2011; Marchington &amp; Vincent, 2004)","noteIndex":0},"citationItems":[{"id":10369,"uris":["http://zotero.org/users/5709166/items/FHU7VXW4"],"itemData":{"id":10369,"type":"article-journal","abstract":"In 2004 Norway implemented a food safety reform programme aimed at enhancing inter-organizational coordination processes and outcomes. Has this programme affected inter-organizational coordination processes and outcomes, both vertically and horizontally – and if so how? This article employs the concept of inter-organizational coordination as an analytical tool, examining it in the light of two theoretical perspectives and coupling it with the empirical findings. The argument presented is that the chances of strong coordination outcomes may increase if inter-organizational processes feature a clear division of labour, arenas for coordination, active leadership, a lack of major conflicting goals, and shared obligations.","container-title":"Public Administration","DOI":"10.1111/j.1467-9299.2010.01845.x","ISSN":"1467-9299","issue":"2","language":"en","note":"_eprint: https://onlinelibrary.wiley.com/doi/pdf/10.1111/j.1467-9299.2010.01845.x","page":"401-417","source":"Wiley Online Library","title":"Coordination Processes and Outcomes in the Public Service: The Challenge of Inter-Organizational Food Safety Coordination in Norway","title-short":"Coordination Processes and Outcomes in the Public Service","volume":"89","author":[{"family":"Lie","given":"Amund"}],"issued":{"date-parts":[["2011"]]}}},{"id":10366,"uris":["http://zotero.org/users/5709166/items/5BI2LT7A"],"itemData":{"id":10366,"type":"article-journal","abstract":"Much of the literature on inter-organizational relations assumes that firms operate as relatively autonomous and cohesive units that are (1) unimpeded by wider institutional norms governing the industry as a whole, and (2) allow little or no role for the boundary spanning agents who oversee and monitor ‘contracts’ on a daily basis. This perspective is not surprising given that so many studies rely solely on questionnaires completed by a single respondent within one or more of the organizations. Nor has there been much recognition of the dynamic interplay between forces at the institutional, organizational and interpersonal levels. In order to address these issues, we propose a framework that explicitly focuses on forces at these three levels, as well as the interplay between them, in order to analyse how and why inter-organizational relations take the forms they do. We argue that trusting, OCR-type relations are more likely to be produced and reproduced when there are strong institutional forces promoting common obligations on both parties, and there is a relative mutuality of power relations between the organizations. However, because the contract is maintained by boundary spanning agents, agreed norms at the institutional and organizational levels are a necessary but not sufficient factor for OCR to develop. Conversely, in the absence of these forces, there is less incentive for either organization to establish and maintain close interpersonal relations, and indeed ACR-type, distant relations may be beneficial for organizations and individuals that wish to dispense with existing contracts.","container-title":"Journal of Management Studies","DOI":"10.1111/j.1467-6486.2004.00465.x","ISSN":"1467-6486","issue":"6","language":"en","note":"_eprint: https://onlinelibrary.wiley.com/doi/pdf/10.1111/j.1467-6486.2004.00465.x","page":"1029-1056","source":"Wiley Online Library","title":"Analysing the Influence of Institutional, Organizational and Interpersonal Forces in Shaping Inter-Organizational Relations*","volume":"41","author":[{"family":"Marchington","given":"Mick"},{"family":"Vincent","given":"Steven"}],"issued":{"date-parts":[["2004"]]}}}],"schema":"https://github.com/citation-style-language/schema/raw/master/csl-citation.json"}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(Lie, 2011; Marchington &amp; Vincent, 2004)</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Environmental forces continually affect actors’ knowledge exchange practices, such as the pandemic inhibiting actors physical spreading of their insights. However, actors at completion stage demonstrate their ability to identify alternative approaches against environmental barriers, such as using digital books to spread their works. This bears resemblance with previous studies that indicate the ongoing </w:t>
      </w:r>
      <w:r w:rsidRPr="00F153F6">
        <w:rPr>
          <w:rFonts w:ascii="Times New Roman" w:eastAsiaTheme="minorEastAsia" w:hAnsi="Times New Roman" w:cs="Times New Roman"/>
          <w:sz w:val="24"/>
          <w:szCs w:val="24"/>
        </w:rPr>
        <w:lastRenderedPageBreak/>
        <w:t xml:space="preserve">environmental forces in the shaping inter-organisational knowledgeable practices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{"citationID":"HghDpgN4","properties":{"formattedCitation":"(Bdeir et al., 2013; Dooley &amp; Gubbins, 2019)","plainCitation":"(Bdeir et al., 2013; Dooley &amp; Gubbins, 2019)","noteIndex":0},"citationItems":[{"id":10375,"uris":["http://zotero.org/users/5709166/items/EEWY3F76"],"itemData":{"id":10375,"type":"article-journal","abstract":"When multiple agencies respond to a disease outbreak (i.e., H1N1 and SARS), the coordination of actions is complex and evolves over time. There has not been any systematic empirical study of the dynamics of emerging coordination behaviour and knowledge transfer process during a disease outbreak. In this paper, we first introduce our approach for the analysis of multi-agency intervention during a disease outbreak using the study of social networks. Using social networks and its analytic framework, we explore questions such as: How does the multi-agency coordination emerge for supporting the complex knowledge transfer process during different phases of disease outbreak? How effective are these formal and informal coordination mechanisms in achieving a robust outcome in response coordination through effective knowledge transfer process during the outbreak? What are the key lessons learned by studying the emerging coordination and knowledge transfer process during past disease outbreak in improving the multi-agency preparedness for dealing with future outbreaks? The discussion is supported by a qualitative study of the implementation of the results of the analysis. We reveal that profound understanding of social network behaviour and emerging coordination concepts are pivotal to the optimisation of knowledge transfer process which is a prerequisite for successful outbreak intervention. We look qualitatively at how Hunter New England Area Health Services applied these concepts to lead a successful coordination plan during an H1N109 endemic.","container-title":"Knowledge Management Research &amp; Practice","DOI":"10.1057/kmrp.2012.1","ISSN":"1477-8238, 1477-8246","issue":"3","journalAbbreviation":"Knowledge Management Research &amp; Practice","language":"en","page":"241-254","source":"DOI.org (Crossref)","title":"Emerging coordination and knowledge transfer process during disease outbreak","volume":"11","author":[{"family":"Bdeir","given":"Fadl"},{"family":"Hossain","given":"Liaquat"},{"family":"Crawford","given":"John"}],"issued":{"date-parts":[["2013",8]]}}},{"id":10372,"uris":["http://zotero.org/users/5709166/items/K9BBBC6T"],"itemData":{"id":10372,"type":"article-journal","abstract":"Purpose Despite growth in use of inter-organisational relationships for knowledge co-creation, many collaborations struggle to realise the synergistic benefits of these networks. This paper aims to explore the evolving dialectic tensions evident within an inter-organisational relationship and the governance consideration to optimise the knowledge process. Design/methodology/approach A longitudinal case of a university-industry knowledge network is selected for study. The single case analysis aligns with the dialectical epistemology, which dismisses the expectation of homogeny or constancy across network cases. Findings The research highlights the circular condition between dialectic tensions evident within inter-organisational relations and the governance mechanisms developed to synthesis the network knowledge discovery capability. The research shows that these tensions are a natural part of the network existence and often advantageous to knowledge creation. The research also highlights that governance is required at multiple levels within the network entity to optimise knowledge exchange and discovery. Originality/value The research adds to the limited application of dialectical thinking to inter-organisational networks. It highlights the structural and relational governance mechanisms that interplay to optimise their knowledge process capability. The research also highlights the multiple levels within networks at which tensions can originate, requiring knowledge governance at the micro, meso and macro level to address the complexity of the inter-organisational relationship. This research provides a better understanding of how knowledge within inter-organisational relations can be managed for mutual benefit and value creation.","container-title":"Journal of Knowledge Management","DOI":"10.1108/JKM-06-2018-0343","ISSN":"1367-3270","issue":"10","note":"publisher: Emerald Publishing Limited","page":"2113-2134","source":"Emerald Insight","title":"Inter-organisational knowledge networks: synthesising dialectic tensions of university-industry knowledge discovery","title-short":"Inter-organisational knowledge networks","volume":"23","author":[{"family":"Dooley","given":"Lawrence"},{"family":"Gubbins","given":"Claire"}],"issued":{"date-parts":[["2019",1,1]]}}}],"schema":"https://github.com/citation-style-language/schema/raw/master/csl-citation.json"}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(Bdeir et al., 2013; Dooley &amp; Gubbins, 2019)</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w:t>
      </w:r>
    </w:p>
    <w:p w14:paraId="11169489" w14:textId="77777777" w:rsidR="0015201A" w:rsidRPr="00F153F6" w:rsidRDefault="0015201A" w:rsidP="004424B4">
      <w:pPr>
        <w:spacing w:line="360" w:lineRule="auto"/>
        <w:jc w:val="both"/>
        <w:rPr>
          <w:rFonts w:ascii="Times New Roman" w:hAnsi="Times New Roman" w:cs="Times New Roman"/>
        </w:rPr>
      </w:pPr>
    </w:p>
    <w:p w14:paraId="668A09D3" w14:textId="1FFD56F5" w:rsidR="0015201A" w:rsidRPr="00F153F6" w:rsidRDefault="0015201A" w:rsidP="004424B4">
      <w:pPr>
        <w:pStyle w:val="Heading2"/>
        <w:spacing w:line="360" w:lineRule="auto"/>
        <w:rPr>
          <w:rFonts w:ascii="Times New Roman" w:hAnsi="Times New Roman" w:cs="Times New Roman"/>
          <w:sz w:val="32"/>
          <w:szCs w:val="32"/>
        </w:rPr>
      </w:pPr>
      <w:bookmarkStart w:id="666" w:name="_Toc118371158"/>
      <w:bookmarkStart w:id="667" w:name="_Toc133252184"/>
      <w:r w:rsidRPr="00F153F6">
        <w:rPr>
          <w:rFonts w:ascii="Times New Roman" w:hAnsi="Times New Roman" w:cs="Times New Roman"/>
          <w:sz w:val="32"/>
          <w:szCs w:val="32"/>
        </w:rPr>
        <w:t>5.3 Re-conceptualisation of ICT-based IOKE Practice</w:t>
      </w:r>
      <w:bookmarkEnd w:id="666"/>
      <w:bookmarkEnd w:id="667"/>
    </w:p>
    <w:p w14:paraId="58A7D1F2" w14:textId="58B81357"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In light of the present findings (the proposed stage-based frameworks), the present study is able to reconceptualise ICT-based IOKE practice. The key contributions of the proposed </w:t>
      </w:r>
      <w:r w:rsidR="003D2FC9" w:rsidRPr="00F153F6">
        <w:rPr>
          <w:rFonts w:ascii="Times New Roman" w:eastAsiaTheme="minorEastAsia" w:hAnsi="Times New Roman" w:cs="Times New Roman"/>
          <w:sz w:val="24"/>
          <w:szCs w:val="24"/>
        </w:rPr>
        <w:t>re-conceptualisation</w:t>
      </w:r>
      <w:r w:rsidRPr="00F153F6">
        <w:rPr>
          <w:rFonts w:ascii="Times New Roman" w:eastAsiaTheme="minorEastAsia" w:hAnsi="Times New Roman" w:cs="Times New Roman"/>
          <w:sz w:val="24"/>
          <w:szCs w:val="24"/>
        </w:rPr>
        <w:t xml:space="preserve"> to earlier works are: 1) </w:t>
      </w:r>
      <w:r w:rsidR="003D2FC9" w:rsidRPr="00F153F6">
        <w:rPr>
          <w:rFonts w:ascii="Times New Roman" w:eastAsiaTheme="minorEastAsia" w:hAnsi="Times New Roman" w:cs="Times New Roman"/>
          <w:sz w:val="24"/>
          <w:szCs w:val="24"/>
        </w:rPr>
        <w:t xml:space="preserve">ICT-based IOKE practice is </w:t>
      </w:r>
      <w:r w:rsidR="00C03D67" w:rsidRPr="00F153F6">
        <w:rPr>
          <w:rFonts w:ascii="Times New Roman" w:eastAsiaTheme="minorEastAsia" w:hAnsi="Times New Roman" w:cs="Times New Roman"/>
          <w:sz w:val="24"/>
          <w:szCs w:val="24"/>
        </w:rPr>
        <w:t>a</w:t>
      </w:r>
      <w:r w:rsidRPr="00F153F6">
        <w:rPr>
          <w:rFonts w:ascii="Times New Roman" w:eastAsiaTheme="minorEastAsia" w:hAnsi="Times New Roman" w:cs="Times New Roman"/>
          <w:sz w:val="24"/>
          <w:szCs w:val="24"/>
        </w:rPr>
        <w:t xml:space="preserve"> dynamic </w:t>
      </w:r>
      <w:r w:rsidR="00C03D67" w:rsidRPr="00F153F6">
        <w:rPr>
          <w:rFonts w:ascii="Times New Roman" w:eastAsiaTheme="minorEastAsia" w:hAnsi="Times New Roman" w:cs="Times New Roman"/>
          <w:sz w:val="24"/>
          <w:szCs w:val="24"/>
        </w:rPr>
        <w:t xml:space="preserve">co-evolutionary process </w:t>
      </w:r>
      <w:r w:rsidRPr="00F153F6">
        <w:rPr>
          <w:rFonts w:ascii="Times New Roman" w:eastAsiaTheme="minorEastAsia" w:hAnsi="Times New Roman" w:cs="Times New Roman"/>
          <w:sz w:val="24"/>
          <w:szCs w:val="24"/>
        </w:rPr>
        <w:t xml:space="preserve">in its nature, and 2) </w:t>
      </w:r>
      <w:r w:rsidR="00C03D67" w:rsidRPr="00F153F6">
        <w:rPr>
          <w:rFonts w:ascii="Times New Roman" w:eastAsiaTheme="minorEastAsia" w:hAnsi="Times New Roman" w:cs="Times New Roman"/>
          <w:sz w:val="24"/>
          <w:szCs w:val="24"/>
        </w:rPr>
        <w:t>Human k</w:t>
      </w:r>
      <w:r w:rsidRPr="00F153F6">
        <w:rPr>
          <w:rFonts w:ascii="Times New Roman" w:eastAsiaTheme="minorEastAsia" w:hAnsi="Times New Roman" w:cs="Times New Roman"/>
          <w:sz w:val="24"/>
          <w:szCs w:val="24"/>
        </w:rPr>
        <w:t xml:space="preserve">nowledgeabilities </w:t>
      </w:r>
      <w:r w:rsidR="00C03D67" w:rsidRPr="00F153F6">
        <w:rPr>
          <w:rFonts w:ascii="Times New Roman" w:eastAsiaTheme="minorEastAsia" w:hAnsi="Times New Roman" w:cs="Times New Roman"/>
          <w:sz w:val="24"/>
          <w:szCs w:val="24"/>
        </w:rPr>
        <w:t xml:space="preserve">are sociomaterial and </w:t>
      </w:r>
      <w:r w:rsidRPr="00F153F6">
        <w:rPr>
          <w:rFonts w:ascii="Times New Roman" w:eastAsiaTheme="minorEastAsia" w:hAnsi="Times New Roman" w:cs="Times New Roman"/>
          <w:sz w:val="24"/>
          <w:szCs w:val="24"/>
        </w:rPr>
        <w:t xml:space="preserve">can </w:t>
      </w:r>
      <w:r w:rsidR="00C825D4" w:rsidRPr="00F153F6">
        <w:rPr>
          <w:rFonts w:ascii="Times New Roman" w:eastAsiaTheme="minorEastAsia" w:hAnsi="Times New Roman" w:cs="Times New Roman"/>
          <w:sz w:val="24"/>
          <w:szCs w:val="24"/>
        </w:rPr>
        <w:t>be enacted by</w:t>
      </w:r>
      <w:r w:rsidRPr="00F153F6">
        <w:rPr>
          <w:rFonts w:ascii="Times New Roman" w:eastAsiaTheme="minorEastAsia" w:hAnsi="Times New Roman" w:cs="Times New Roman"/>
          <w:sz w:val="24"/>
          <w:szCs w:val="24"/>
        </w:rPr>
        <w:t xml:space="preserve"> ICT affordances/constraints in ICT-based IOKE practice; and </w:t>
      </w:r>
      <w:r w:rsidR="00C825D4" w:rsidRPr="00F153F6">
        <w:rPr>
          <w:rFonts w:ascii="Times New Roman" w:eastAsiaTheme="minorEastAsia" w:hAnsi="Times New Roman" w:cs="Times New Roman"/>
          <w:sz w:val="24"/>
          <w:szCs w:val="24"/>
        </w:rPr>
        <w:t>3</w:t>
      </w:r>
      <w:r w:rsidRPr="00F153F6">
        <w:rPr>
          <w:rFonts w:ascii="Times New Roman" w:eastAsiaTheme="minorEastAsia" w:hAnsi="Times New Roman" w:cs="Times New Roman"/>
          <w:sz w:val="24"/>
          <w:szCs w:val="24"/>
        </w:rPr>
        <w:t>)</w:t>
      </w:r>
      <w:r w:rsidR="00C825D4" w:rsidRPr="00F153F6">
        <w:rPr>
          <w:rFonts w:ascii="Times New Roman" w:eastAsiaTheme="minorEastAsia" w:hAnsi="Times New Roman" w:cs="Times New Roman"/>
          <w:sz w:val="24"/>
          <w:szCs w:val="24"/>
        </w:rPr>
        <w:t xml:space="preserve"> The context underlying</w:t>
      </w:r>
      <w:r w:rsidRPr="00F153F6">
        <w:rPr>
          <w:rFonts w:ascii="Times New Roman" w:eastAsiaTheme="minorEastAsia" w:hAnsi="Times New Roman" w:cs="Times New Roman"/>
          <w:sz w:val="24"/>
          <w:szCs w:val="24"/>
        </w:rPr>
        <w:t xml:space="preserve"> </w:t>
      </w:r>
      <w:r w:rsidR="00C825D4" w:rsidRPr="00F153F6">
        <w:rPr>
          <w:rFonts w:ascii="Times New Roman" w:eastAsiaTheme="minorEastAsia" w:hAnsi="Times New Roman" w:cs="Times New Roman"/>
          <w:sz w:val="24"/>
          <w:szCs w:val="24"/>
        </w:rPr>
        <w:t>ICT-based IOKE is a multi-layer context, constituting in practice and can evolve over time</w:t>
      </w:r>
      <w:r w:rsidRPr="00F153F6">
        <w:rPr>
          <w:rFonts w:ascii="Times New Roman" w:eastAsiaTheme="minorEastAsia" w:hAnsi="Times New Roman" w:cs="Times New Roman"/>
          <w:sz w:val="24"/>
          <w:szCs w:val="24"/>
        </w:rPr>
        <w:t>. These contributions are extensively discussed in related to extant literature in ensuing subsections.</w:t>
      </w:r>
    </w:p>
    <w:p w14:paraId="392E1924" w14:textId="77777777" w:rsidR="0015201A" w:rsidRPr="00F153F6" w:rsidRDefault="0015201A" w:rsidP="004424B4">
      <w:pPr>
        <w:spacing w:line="360" w:lineRule="auto"/>
        <w:jc w:val="both"/>
        <w:rPr>
          <w:rFonts w:ascii="Times New Roman" w:eastAsiaTheme="minorEastAsia" w:hAnsi="Times New Roman" w:cs="Times New Roman"/>
        </w:rPr>
      </w:pPr>
    </w:p>
    <w:p w14:paraId="388746F5" w14:textId="49674895" w:rsidR="0015201A" w:rsidRPr="00F153F6" w:rsidRDefault="0015201A" w:rsidP="000543CB">
      <w:pPr>
        <w:pStyle w:val="Heading3"/>
        <w:spacing w:line="360" w:lineRule="auto"/>
        <w:ind w:firstLine="720"/>
        <w:jc w:val="both"/>
        <w:rPr>
          <w:rFonts w:ascii="Times New Roman" w:hAnsi="Times New Roman" w:cs="Times New Roman"/>
          <w:b/>
          <w:color w:val="auto"/>
        </w:rPr>
      </w:pPr>
      <w:bookmarkStart w:id="668" w:name="_Toc118371159"/>
      <w:bookmarkStart w:id="669" w:name="_Toc133252185"/>
      <w:r w:rsidRPr="00F153F6">
        <w:rPr>
          <w:rFonts w:ascii="Times New Roman" w:hAnsi="Times New Roman" w:cs="Times New Roman"/>
          <w:b/>
          <w:color w:val="auto"/>
          <w:sz w:val="28"/>
          <w:szCs w:val="28"/>
        </w:rPr>
        <w:t xml:space="preserve">5.3.1 The </w:t>
      </w:r>
      <w:r w:rsidR="00F4778A" w:rsidRPr="00F153F6">
        <w:rPr>
          <w:rFonts w:ascii="Times New Roman" w:hAnsi="Times New Roman" w:cs="Times New Roman"/>
          <w:b/>
          <w:color w:val="auto"/>
          <w:sz w:val="28"/>
          <w:szCs w:val="28"/>
        </w:rPr>
        <w:t xml:space="preserve">Evolving </w:t>
      </w:r>
      <w:r w:rsidRPr="00F153F6">
        <w:rPr>
          <w:rFonts w:ascii="Times New Roman" w:hAnsi="Times New Roman" w:cs="Times New Roman"/>
          <w:b/>
          <w:color w:val="auto"/>
          <w:sz w:val="28"/>
          <w:szCs w:val="28"/>
        </w:rPr>
        <w:t>Dynamic Nature of ICT-based IOKE Practice</w:t>
      </w:r>
      <w:bookmarkEnd w:id="668"/>
      <w:bookmarkEnd w:id="669"/>
      <w:r w:rsidRPr="00F153F6">
        <w:rPr>
          <w:rFonts w:ascii="Times New Roman" w:hAnsi="Times New Roman" w:cs="Times New Roman"/>
          <w:b/>
          <w:color w:val="auto"/>
          <w:sz w:val="28"/>
          <w:szCs w:val="28"/>
        </w:rPr>
        <w:t xml:space="preserve"> </w:t>
      </w:r>
    </w:p>
    <w:p w14:paraId="4EC9604D" w14:textId="7D62BF94" w:rsidR="0015201A" w:rsidRPr="00F153F6" w:rsidRDefault="0015201A" w:rsidP="004424B4">
      <w:pPr>
        <w:spacing w:line="360" w:lineRule="auto"/>
        <w:jc w:val="both"/>
        <w:rPr>
          <w:rFonts w:ascii="Times New Roman" w:eastAsiaTheme="minorEastAsia" w:hAnsi="Times New Roman" w:cs="Times New Roman"/>
          <w:b/>
          <w:bCs/>
          <w:sz w:val="24"/>
          <w:szCs w:val="24"/>
        </w:rPr>
      </w:pPr>
      <w:r w:rsidRPr="00F153F6">
        <w:rPr>
          <w:rFonts w:ascii="Times New Roman" w:eastAsiaTheme="minorEastAsia" w:hAnsi="Times New Roman" w:cs="Times New Roman"/>
          <w:sz w:val="24"/>
          <w:szCs w:val="24"/>
        </w:rPr>
        <w:t xml:space="preserve">Previous studies have indicated that understanding the process of knowledge exchange </w:t>
      </w:r>
      <w:r w:rsidR="00B73834" w:rsidRPr="00F153F6">
        <w:rPr>
          <w:rFonts w:ascii="Times New Roman" w:eastAsiaTheme="minorEastAsia" w:hAnsi="Times New Roman" w:cs="Times New Roman"/>
          <w:sz w:val="24"/>
          <w:szCs w:val="24"/>
        </w:rPr>
        <w:t xml:space="preserve">and how ICT </w:t>
      </w:r>
      <w:r w:rsidR="00354762" w:rsidRPr="00F153F6">
        <w:rPr>
          <w:rFonts w:ascii="Times New Roman" w:eastAsiaTheme="minorEastAsia" w:hAnsi="Times New Roman" w:cs="Times New Roman"/>
          <w:sz w:val="24"/>
          <w:szCs w:val="24"/>
        </w:rPr>
        <w:t xml:space="preserve">plays </w:t>
      </w:r>
      <w:r w:rsidR="00B73834" w:rsidRPr="00F153F6">
        <w:rPr>
          <w:rFonts w:ascii="Times New Roman" w:eastAsiaTheme="minorEastAsia" w:hAnsi="Times New Roman" w:cs="Times New Roman"/>
          <w:sz w:val="24"/>
          <w:szCs w:val="24"/>
        </w:rPr>
        <w:t xml:space="preserve">a role in the process </w:t>
      </w:r>
      <w:r w:rsidRPr="00F153F6">
        <w:rPr>
          <w:rFonts w:ascii="Times New Roman" w:eastAsiaTheme="minorEastAsia" w:hAnsi="Times New Roman" w:cs="Times New Roman"/>
          <w:sz w:val="24"/>
          <w:szCs w:val="24"/>
        </w:rPr>
        <w:t xml:space="preserve">is significant for </w:t>
      </w:r>
      <w:r w:rsidR="00B73834" w:rsidRPr="00F153F6">
        <w:rPr>
          <w:rFonts w:ascii="Times New Roman" w:eastAsiaTheme="minorEastAsia" w:hAnsi="Times New Roman" w:cs="Times New Roman"/>
          <w:sz w:val="24"/>
          <w:szCs w:val="24"/>
        </w:rPr>
        <w:t xml:space="preserve">organising and </w:t>
      </w:r>
      <w:r w:rsidRPr="00F153F6">
        <w:rPr>
          <w:rFonts w:ascii="Times New Roman" w:eastAsiaTheme="minorEastAsia" w:hAnsi="Times New Roman" w:cs="Times New Roman"/>
          <w:sz w:val="24"/>
          <w:szCs w:val="24"/>
        </w:rPr>
        <w:t xml:space="preserve">management in a collaboration context </w:t>
      </w:r>
      <w:r w:rsidRPr="00F153F6">
        <w:rPr>
          <w:rFonts w:ascii="Times New Roman" w:eastAsiaTheme="minorEastAsia" w:hAnsi="Times New Roman" w:cs="Times New Roman"/>
          <w:sz w:val="24"/>
          <w:szCs w:val="24"/>
        </w:rPr>
        <w:fldChar w:fldCharType="begin"/>
      </w:r>
      <w:r w:rsidR="00B73834" w:rsidRPr="00F153F6">
        <w:rPr>
          <w:rFonts w:ascii="Times New Roman" w:eastAsiaTheme="minorEastAsia" w:hAnsi="Times New Roman" w:cs="Times New Roman"/>
          <w:sz w:val="24"/>
          <w:szCs w:val="24"/>
        </w:rPr>
        <w:instrText xml:space="preserve"> ADDIN ZOTERO_ITEM CSL_CITATION {"citationID":"IJPqZdkI","properties":{"formattedCitation":"(Bouncken &amp; Aslam, 2019; J. J. Davenport, 2018; Hislop et al., 2018)","plainCitation":"(Bouncken &amp; Aslam, 2019; J. J. Davenport, 2018; Hislop et al., 2018)","noteIndex":0},"citationItems":[{"id":2547,"uris":["http://zotero.org/users/5709166/items/HRNZ6K59"],"itemData":{"id":2547,"type":"article-journal","abstract":"Purpose Coworking spaces use the idea of spatial co-location that improves communication and knowledge sharing among independent knowledge professionals. Fluid work structures and a sense of community can facilitate work satisfaction, creativity and entrepreneurship. Fundamentals to those positive outcomes are the knowledge sharing processes between users of coworking spaces. The purpose of this study is to explore the knowledge sharing processes in this setting where researchers still have very little understanding. Design/methodology/approach Based on an inductive research methodology, qualitative data were collected through observations and interviews with a variety of users (including freelancers, entrepreneurs and firms) incumbent in various coworking spaces in Germany. Findings Co-location of individuals in coworking spaces is first about physical proximity and second about socialization and collaboration opportunities, which then advance cognitive proximity. Thus, co-location can facilitate tacit knowledge exchange, ignite the social disembodiment of ideas, synthesize domain-related knowledge sharing and promote inter-domain learning. The institutionalization of knowledge management services will allow coworking spaces to increase these positive outcomes. Practical implications Findings of this study are interesting for managers of shared spaces and traditional firms that use spatial co-location. The authors propose institutionalized knowledge management services to enable multifaceted and multidisciplinary knowledge creation in organizations. Originality/value This paper sheds light on the role of spatial co-location in knowledge sharing processes among independent knowledge professionals in shared office spaces. Thereby, this study provides valuable insights into a phenomenon that has received little attention even though its practical importance is high.","container-title":"Journal of Knowledge Management","DOI":"10.1108/JKM-05-2018-0316","ISSN":"1367-3270","issue":"10","note":"publisher: Emerald Publishing Limited","page":"2067-2085","source":"Emerald Insight","title":"Understanding knowledge exchange processes among diverse users of coworking-spaces","volume":"23","author":[{"family":"Bouncken","given":"Ricarda"},{"family":"Aslam","given":"Muhammad Mahmood"}],"issued":{"date-parts":[["2019",1,1]]}},"label":"page"},{"id":1969,"uris":["http://zotero.org/users/5709166/items/JB4TW4YQ"],"itemData":{"id":1969,"type":"article-journal","language":"en","page":"427","source":"Zotero","title":"Exploring the Theory and Practice of Knowledge Exchange: intention, context and characteristics","author":[{"family":"Davenport","given":"Jeremy John"}],"issued":{"date-parts":[["2018"]]}},"label":"page"},{"id":475,"uris":["http://zotero.org/users/5709166/items/K99MV3Q7"],"itemData":{"id":475,"type":"book","abstract":"Knowledge Management in Organizations is the most comprehensive and critical textbook on the subject. Encompassing a number of perspectives - including organizational behaviour, HRM, systems, and sociocultural factors - the text introduces the concept of knowledge before examining how it can be effectively managed within the organizations in which we work. The international author team ensure the broad theoretical coverage is brought to life with practical illustrations and case studies exploring topics such as knowledge sharing via social media, knowledge transfer in different cultural contexts, and the interaction of leadership, culture, and knowledge management in Australian SMEs. Examples are diverse, international, and highly relevant to each chapter, showcasing the significance of knowledge management in all types of organizational settings. 'Time to Reflect' boxes, review and discussion questions, and a question or activity to accompany every illustration and case study ensure students are challenged to engage with the subject critically and reflectively. Despite the critical approach and depth of coverage, the text remains accessible through its widely praised writing style, coherent structure, in-chapter definition boxes, and manageable size. This book is accompanied by a selection of online resources: For students: Extra online casesWeb links to additional resources and relevant websitesExtension questions For lecturers: Suggested exam questions Suggested essay/coursework questionsSuggestions for classroom activities Figures and tables from the book","ISBN":"978-0-19-872401-8","language":"en","note":"Google-Books-ID: fhFQDwAAQBAJ","number-of-pages":"345","publisher":"Oxford University Press","source":"Google Books","title":"Knowledge Management in Organizations: A Critical Introduction","title-short":"Knowledge Management in Organizations","author":[{"family":"Hislop","given":"Donald"},{"family":"Bosua","given":"Rachelle"},{"family":"Helms","given":"Remko"}],"issued":{"date-parts":[["2018",3,29]]}}}],"schema":"https://github.com/citation-style-language/schema/raw/master/csl-citation.json"}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00B73834" w:rsidRPr="00F153F6">
        <w:rPr>
          <w:rFonts w:ascii="Times New Roman" w:hAnsi="Times New Roman" w:cs="Times New Roman"/>
          <w:sz w:val="24"/>
          <w:szCs w:val="24"/>
        </w:rPr>
        <w:t>(Bouncken &amp; Aslam, 2019; Davenport, 2018; Hislop et al., 2018)</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However, prior research has often studied knowledge exchange throughout the whole collaboration progress</w:t>
      </w:r>
      <w:r w:rsidR="00B73834" w:rsidRPr="00F153F6">
        <w:rPr>
          <w:rFonts w:ascii="Times New Roman" w:eastAsiaTheme="minorEastAsia" w:hAnsi="Times New Roman" w:cs="Times New Roman"/>
          <w:sz w:val="24"/>
          <w:szCs w:val="24"/>
        </w:rPr>
        <w:t xml:space="preserve">, and with less emphasis </w:t>
      </w:r>
      <w:r w:rsidR="00692A3C" w:rsidRPr="00F153F6">
        <w:rPr>
          <w:rFonts w:ascii="Times New Roman" w:eastAsiaTheme="minorEastAsia" w:hAnsi="Times New Roman" w:cs="Times New Roman"/>
          <w:sz w:val="24"/>
          <w:szCs w:val="24"/>
        </w:rPr>
        <w:t>on its interaction with the dynamic</w:t>
      </w:r>
      <w:r w:rsidR="00B73834" w:rsidRPr="00F153F6">
        <w:rPr>
          <w:rFonts w:ascii="Times New Roman" w:eastAsiaTheme="minorEastAsia" w:hAnsi="Times New Roman" w:cs="Times New Roman"/>
          <w:sz w:val="24"/>
          <w:szCs w:val="24"/>
        </w:rPr>
        <w:t xml:space="preserve"> nature of ICT</w:t>
      </w:r>
      <w:r w:rsidRPr="00F153F6">
        <w:rPr>
          <w:rFonts w:ascii="Times New Roman" w:eastAsiaTheme="minorEastAsia" w:hAnsi="Times New Roman" w:cs="Times New Roman"/>
          <w:sz w:val="24"/>
          <w:szCs w:val="24"/>
        </w:rPr>
        <w:t xml:space="preserve">. There is </w:t>
      </w:r>
      <w:r w:rsidR="00692A3C" w:rsidRPr="00F153F6">
        <w:rPr>
          <w:rFonts w:ascii="Times New Roman" w:eastAsiaTheme="minorEastAsia" w:hAnsi="Times New Roman" w:cs="Times New Roman"/>
          <w:sz w:val="24"/>
          <w:szCs w:val="24"/>
        </w:rPr>
        <w:t xml:space="preserve">also </w:t>
      </w:r>
      <w:r w:rsidRPr="00F153F6">
        <w:rPr>
          <w:rFonts w:ascii="Times New Roman" w:eastAsiaTheme="minorEastAsia" w:hAnsi="Times New Roman" w:cs="Times New Roman"/>
          <w:sz w:val="24"/>
          <w:szCs w:val="24"/>
        </w:rPr>
        <w:t xml:space="preserve">limited research </w:t>
      </w:r>
      <w:r w:rsidR="00692A3C" w:rsidRPr="00F153F6">
        <w:rPr>
          <w:rFonts w:ascii="Times New Roman" w:eastAsiaTheme="minorEastAsia" w:hAnsi="Times New Roman" w:cs="Times New Roman"/>
          <w:sz w:val="24"/>
          <w:szCs w:val="24"/>
        </w:rPr>
        <w:t xml:space="preserve">that </w:t>
      </w:r>
      <w:r w:rsidR="00AC5AB3" w:rsidRPr="00F153F6">
        <w:rPr>
          <w:rFonts w:ascii="Times New Roman" w:eastAsiaTheme="minorEastAsia" w:hAnsi="Times New Roman" w:cs="Times New Roman"/>
          <w:sz w:val="24"/>
          <w:szCs w:val="24"/>
        </w:rPr>
        <w:t>investigate</w:t>
      </w:r>
      <w:r w:rsidR="00354762" w:rsidRPr="00F153F6">
        <w:rPr>
          <w:rFonts w:ascii="Times New Roman" w:eastAsiaTheme="minorEastAsia" w:hAnsi="Times New Roman" w:cs="Times New Roman"/>
          <w:sz w:val="24"/>
          <w:szCs w:val="24"/>
        </w:rPr>
        <w:t>s</w:t>
      </w:r>
      <w:r w:rsidR="00692A3C" w:rsidRPr="00F153F6">
        <w:rPr>
          <w:rFonts w:ascii="Times New Roman" w:eastAsiaTheme="minorEastAsia" w:hAnsi="Times New Roman" w:cs="Times New Roman"/>
          <w:sz w:val="24"/>
          <w:szCs w:val="24"/>
        </w:rPr>
        <w:t xml:space="preserve"> ICT, knowledge, and context in conjunction to show their dynamic relations</w:t>
      </w:r>
      <w:r w:rsidR="00983A80" w:rsidRPr="00F153F6">
        <w:rPr>
          <w:rFonts w:ascii="Times New Roman" w:eastAsiaTheme="minorEastAsia" w:hAnsi="Times New Roman" w:cs="Times New Roman"/>
          <w:sz w:val="24"/>
          <w:szCs w:val="24"/>
        </w:rPr>
        <w:t xml:space="preserve"> throughout the </w:t>
      </w:r>
      <w:r w:rsidR="00A55433" w:rsidRPr="00F153F6">
        <w:rPr>
          <w:rFonts w:ascii="Times New Roman" w:eastAsiaTheme="minorEastAsia" w:hAnsi="Times New Roman" w:cs="Times New Roman"/>
          <w:sz w:val="24"/>
          <w:szCs w:val="24"/>
        </w:rPr>
        <w:t xml:space="preserve">lifecycle of </w:t>
      </w:r>
      <w:r w:rsidRPr="00F153F6">
        <w:rPr>
          <w:rFonts w:ascii="Times New Roman" w:eastAsiaTheme="minorEastAsia" w:hAnsi="Times New Roman" w:cs="Times New Roman"/>
          <w:sz w:val="24"/>
          <w:szCs w:val="24"/>
        </w:rPr>
        <w:t>inter-organisation</w:t>
      </w:r>
      <w:r w:rsidR="00983A80" w:rsidRPr="00F153F6">
        <w:rPr>
          <w:rFonts w:ascii="Times New Roman" w:eastAsiaTheme="minorEastAsia" w:hAnsi="Times New Roman" w:cs="Times New Roman"/>
          <w:sz w:val="24"/>
          <w:szCs w:val="24"/>
        </w:rPr>
        <w:t>s</w:t>
      </w:r>
      <w:r w:rsidRPr="00F153F6">
        <w:rPr>
          <w:rFonts w:ascii="Times New Roman" w:eastAsiaTheme="minorEastAsia" w:hAnsi="Times New Roman" w:cs="Times New Roman"/>
          <w:sz w:val="24"/>
          <w:szCs w:val="24"/>
        </w:rPr>
        <w:t>.</w:t>
      </w:r>
      <w:r w:rsidR="00AC5AB3" w:rsidRPr="00F153F6">
        <w:rPr>
          <w:rFonts w:ascii="Times New Roman" w:eastAsiaTheme="minorEastAsia" w:hAnsi="Times New Roman" w:cs="Times New Roman"/>
          <w:sz w:val="24"/>
          <w:szCs w:val="24"/>
        </w:rPr>
        <w:t xml:space="preserve"> To address the gap,</w:t>
      </w:r>
      <w:r w:rsidRPr="00F153F6">
        <w:rPr>
          <w:rFonts w:ascii="Times New Roman" w:eastAsiaTheme="minorEastAsia" w:hAnsi="Times New Roman" w:cs="Times New Roman"/>
          <w:sz w:val="24"/>
          <w:szCs w:val="24"/>
        </w:rPr>
        <w:t xml:space="preserve"> </w:t>
      </w:r>
      <w:r w:rsidR="00AC5AB3" w:rsidRPr="00F153F6">
        <w:rPr>
          <w:rFonts w:ascii="Times New Roman" w:eastAsiaTheme="minorEastAsia" w:hAnsi="Times New Roman" w:cs="Times New Roman"/>
          <w:sz w:val="24"/>
          <w:szCs w:val="24"/>
        </w:rPr>
        <w:t>t</w:t>
      </w:r>
      <w:r w:rsidR="00692A3C" w:rsidRPr="00F153F6">
        <w:rPr>
          <w:rFonts w:ascii="Times New Roman" w:eastAsiaTheme="minorEastAsia" w:hAnsi="Times New Roman" w:cs="Times New Roman"/>
          <w:sz w:val="24"/>
          <w:szCs w:val="24"/>
        </w:rPr>
        <w:t xml:space="preserve">he present study </w:t>
      </w:r>
      <w:r w:rsidR="00AC5AB3" w:rsidRPr="00F153F6">
        <w:rPr>
          <w:rFonts w:ascii="Times New Roman" w:eastAsiaTheme="minorEastAsia" w:hAnsi="Times New Roman" w:cs="Times New Roman"/>
          <w:sz w:val="24"/>
          <w:szCs w:val="24"/>
        </w:rPr>
        <w:t>demonstrates</w:t>
      </w:r>
      <w:r w:rsidR="00692A3C" w:rsidRPr="00F153F6">
        <w:rPr>
          <w:rFonts w:ascii="Times New Roman" w:eastAsiaTheme="minorEastAsia" w:hAnsi="Times New Roman" w:cs="Times New Roman"/>
          <w:sz w:val="24"/>
          <w:szCs w:val="24"/>
        </w:rPr>
        <w:t xml:space="preserve"> </w:t>
      </w:r>
      <w:r w:rsidR="003A3C24" w:rsidRPr="00F153F6">
        <w:rPr>
          <w:rFonts w:ascii="Times New Roman" w:eastAsiaTheme="minorEastAsia" w:hAnsi="Times New Roman" w:cs="Times New Roman"/>
          <w:sz w:val="24"/>
          <w:szCs w:val="24"/>
          <w:lang w:eastAsia="zh-CN"/>
        </w:rPr>
        <w:t>a</w:t>
      </w:r>
      <w:r w:rsidR="003A3C24" w:rsidRPr="00F153F6">
        <w:rPr>
          <w:rFonts w:ascii="Times New Roman" w:eastAsiaTheme="minorEastAsia" w:hAnsi="Times New Roman" w:cs="Times New Roman"/>
          <w:sz w:val="24"/>
          <w:szCs w:val="24"/>
        </w:rPr>
        <w:t xml:space="preserve"> novel finding </w:t>
      </w:r>
      <w:r w:rsidR="00692A3C" w:rsidRPr="00F153F6">
        <w:rPr>
          <w:rFonts w:ascii="Times New Roman" w:eastAsiaTheme="minorEastAsia" w:hAnsi="Times New Roman" w:cs="Times New Roman"/>
          <w:sz w:val="24"/>
          <w:szCs w:val="24"/>
        </w:rPr>
        <w:t xml:space="preserve">that ICT-based IOKE practice has a dynamic interactive nature in which ICT, human knowledgeability, and context co-evolve as the project moves forward. </w:t>
      </w:r>
      <w:r w:rsidR="00451A4C" w:rsidRPr="00F153F6">
        <w:rPr>
          <w:rFonts w:ascii="Times New Roman" w:eastAsiaTheme="minorEastAsia" w:hAnsi="Times New Roman" w:cs="Times New Roman"/>
          <w:sz w:val="24"/>
          <w:szCs w:val="24"/>
        </w:rPr>
        <w:t>More specifically, the present study demonstrates diverse and evolving patterns that shape</w:t>
      </w:r>
      <w:r w:rsidRPr="00F153F6">
        <w:rPr>
          <w:rFonts w:ascii="Times New Roman" w:eastAsiaTheme="minorEastAsia" w:hAnsi="Times New Roman" w:cs="Times New Roman"/>
          <w:sz w:val="24"/>
          <w:szCs w:val="24"/>
        </w:rPr>
        <w:t xml:space="preserve"> ICT-based IOKE practice across the inter-organisational lifecycle and uncovers how </w:t>
      </w:r>
      <w:r w:rsidR="00451A4C" w:rsidRPr="00F153F6">
        <w:rPr>
          <w:rFonts w:ascii="Times New Roman" w:eastAsiaTheme="minorEastAsia" w:hAnsi="Times New Roman" w:cs="Times New Roman"/>
          <w:sz w:val="24"/>
          <w:szCs w:val="24"/>
        </w:rPr>
        <w:t>they</w:t>
      </w:r>
      <w:r w:rsidRPr="00F153F6">
        <w:rPr>
          <w:rFonts w:ascii="Times New Roman" w:eastAsiaTheme="minorEastAsia" w:hAnsi="Times New Roman" w:cs="Times New Roman"/>
          <w:sz w:val="24"/>
          <w:szCs w:val="24"/>
        </w:rPr>
        <w:t xml:space="preserve"> </w:t>
      </w:r>
      <w:r w:rsidR="00451A4C" w:rsidRPr="00F153F6">
        <w:rPr>
          <w:rFonts w:ascii="Times New Roman" w:eastAsiaTheme="minorEastAsia" w:hAnsi="Times New Roman" w:cs="Times New Roman"/>
          <w:sz w:val="24"/>
          <w:szCs w:val="24"/>
        </w:rPr>
        <w:t>co-</w:t>
      </w:r>
      <w:r w:rsidRPr="00F153F6">
        <w:rPr>
          <w:rFonts w:ascii="Times New Roman" w:eastAsiaTheme="minorEastAsia" w:hAnsi="Times New Roman" w:cs="Times New Roman"/>
          <w:sz w:val="24"/>
          <w:szCs w:val="24"/>
        </w:rPr>
        <w:t xml:space="preserve">evolve </w:t>
      </w:r>
      <w:r w:rsidR="00451A4C" w:rsidRPr="00F153F6">
        <w:rPr>
          <w:rFonts w:ascii="Times New Roman" w:eastAsiaTheme="minorEastAsia" w:hAnsi="Times New Roman" w:cs="Times New Roman"/>
          <w:sz w:val="24"/>
          <w:szCs w:val="24"/>
        </w:rPr>
        <w:t>as the inter-organisational collaboration is moving forward</w:t>
      </w:r>
      <w:r w:rsidRPr="00F153F6">
        <w:rPr>
          <w:rFonts w:ascii="Times New Roman" w:eastAsiaTheme="minorEastAsia" w:hAnsi="Times New Roman" w:cs="Times New Roman"/>
          <w:sz w:val="24"/>
          <w:szCs w:val="24"/>
        </w:rPr>
        <w:t xml:space="preserve">. The ensuing narratives will discuss </w:t>
      </w:r>
      <w:r w:rsidR="00451A4C" w:rsidRPr="00F153F6">
        <w:rPr>
          <w:rFonts w:ascii="Times New Roman" w:eastAsiaTheme="minorEastAsia" w:hAnsi="Times New Roman" w:cs="Times New Roman"/>
          <w:sz w:val="24"/>
          <w:szCs w:val="24"/>
        </w:rPr>
        <w:t xml:space="preserve">these patterns </w:t>
      </w:r>
      <w:r w:rsidRPr="00F153F6">
        <w:rPr>
          <w:rFonts w:ascii="Times New Roman" w:eastAsiaTheme="minorEastAsia" w:hAnsi="Times New Roman" w:cs="Times New Roman"/>
          <w:sz w:val="24"/>
          <w:szCs w:val="24"/>
        </w:rPr>
        <w:t>more specifically</w:t>
      </w:r>
      <w:r w:rsidR="00451A4C" w:rsidRPr="00F153F6">
        <w:rPr>
          <w:rFonts w:ascii="Times New Roman" w:eastAsiaTheme="minorEastAsia" w:hAnsi="Times New Roman" w:cs="Times New Roman"/>
          <w:sz w:val="24"/>
          <w:szCs w:val="24"/>
        </w:rPr>
        <w:t xml:space="preserve"> compared with relevant literature and show how </w:t>
      </w:r>
      <w:r w:rsidR="007C03D2" w:rsidRPr="00F153F6">
        <w:rPr>
          <w:rFonts w:ascii="Times New Roman" w:eastAsiaTheme="minorEastAsia" w:hAnsi="Times New Roman" w:cs="Times New Roman"/>
          <w:sz w:val="24"/>
          <w:szCs w:val="24"/>
        </w:rPr>
        <w:t>the proposed co-evolution</w:t>
      </w:r>
      <w:r w:rsidR="003D0A72" w:rsidRPr="00F153F6">
        <w:rPr>
          <w:rFonts w:ascii="Times New Roman" w:eastAsiaTheme="minorEastAsia" w:hAnsi="Times New Roman" w:cs="Times New Roman"/>
          <w:sz w:val="24"/>
          <w:szCs w:val="24"/>
        </w:rPr>
        <w:t>ary</w:t>
      </w:r>
      <w:r w:rsidRPr="00F153F6">
        <w:rPr>
          <w:rFonts w:ascii="Times New Roman" w:eastAsiaTheme="minorEastAsia" w:hAnsi="Times New Roman" w:cs="Times New Roman"/>
          <w:sz w:val="24"/>
          <w:szCs w:val="24"/>
        </w:rPr>
        <w:t xml:space="preserve"> nature of ICT-based IOKE practice across the inter-organisation</w:t>
      </w:r>
      <w:r w:rsidR="00A55433" w:rsidRPr="00F153F6">
        <w:rPr>
          <w:rFonts w:ascii="Times New Roman" w:eastAsiaTheme="minorEastAsia" w:hAnsi="Times New Roman" w:cs="Times New Roman"/>
          <w:sz w:val="24"/>
          <w:szCs w:val="24"/>
        </w:rPr>
        <w:t>al</w:t>
      </w:r>
      <w:r w:rsidRPr="00F153F6">
        <w:rPr>
          <w:rFonts w:ascii="Times New Roman" w:eastAsiaTheme="minorEastAsia" w:hAnsi="Times New Roman" w:cs="Times New Roman"/>
          <w:sz w:val="24"/>
          <w:szCs w:val="24"/>
        </w:rPr>
        <w:t xml:space="preserve"> lifecycle</w:t>
      </w:r>
      <w:r w:rsidR="00451A4C" w:rsidRPr="00F153F6">
        <w:rPr>
          <w:rFonts w:ascii="Times New Roman" w:eastAsiaTheme="minorEastAsia" w:hAnsi="Times New Roman" w:cs="Times New Roman"/>
          <w:sz w:val="24"/>
          <w:szCs w:val="24"/>
        </w:rPr>
        <w:t xml:space="preserve"> </w:t>
      </w:r>
      <w:r w:rsidR="007C03D2" w:rsidRPr="00F153F6">
        <w:rPr>
          <w:rFonts w:ascii="Times New Roman" w:eastAsiaTheme="minorEastAsia" w:hAnsi="Times New Roman" w:cs="Times New Roman"/>
          <w:sz w:val="24"/>
          <w:szCs w:val="24"/>
        </w:rPr>
        <w:t>can</w:t>
      </w:r>
      <w:r w:rsidR="00451A4C" w:rsidRPr="00F153F6">
        <w:rPr>
          <w:rFonts w:ascii="Times New Roman" w:eastAsiaTheme="minorEastAsia" w:hAnsi="Times New Roman" w:cs="Times New Roman"/>
          <w:sz w:val="24"/>
          <w:szCs w:val="24"/>
        </w:rPr>
        <w:t xml:space="preserve"> contribute to </w:t>
      </w:r>
      <w:r w:rsidR="007C03D2" w:rsidRPr="00F153F6">
        <w:rPr>
          <w:rFonts w:ascii="Times New Roman" w:eastAsiaTheme="minorEastAsia" w:hAnsi="Times New Roman" w:cs="Times New Roman"/>
          <w:sz w:val="24"/>
          <w:szCs w:val="24"/>
        </w:rPr>
        <w:t xml:space="preserve">existing knowledge, particularly in the area of </w:t>
      </w:r>
      <w:r w:rsidR="00114C7C" w:rsidRPr="00F153F6">
        <w:rPr>
          <w:rFonts w:ascii="Times New Roman" w:eastAsiaTheme="minorEastAsia" w:hAnsi="Times New Roman" w:cs="Times New Roman"/>
          <w:sz w:val="24"/>
          <w:szCs w:val="24"/>
        </w:rPr>
        <w:t xml:space="preserve">technology </w:t>
      </w:r>
      <w:r w:rsidR="007C03D2" w:rsidRPr="00F153F6">
        <w:rPr>
          <w:rFonts w:ascii="Times New Roman" w:eastAsiaTheme="minorEastAsia" w:hAnsi="Times New Roman" w:cs="Times New Roman"/>
          <w:sz w:val="24"/>
          <w:szCs w:val="24"/>
        </w:rPr>
        <w:t>affordance studies</w:t>
      </w:r>
      <w:r w:rsidRPr="00F153F6">
        <w:rPr>
          <w:rFonts w:ascii="Times New Roman" w:eastAsiaTheme="minorEastAsia" w:hAnsi="Times New Roman" w:cs="Times New Roman"/>
          <w:sz w:val="24"/>
          <w:szCs w:val="24"/>
        </w:rPr>
        <w:t>.</w:t>
      </w:r>
    </w:p>
    <w:p w14:paraId="39C1D3B8" w14:textId="54FDB238" w:rsidR="0015201A" w:rsidRPr="00F153F6" w:rsidRDefault="0015201A" w:rsidP="004424B4">
      <w:pPr>
        <w:spacing w:line="360" w:lineRule="auto"/>
        <w:jc w:val="both"/>
        <w:rPr>
          <w:rFonts w:ascii="Times New Roman" w:eastAsiaTheme="minorEastAsia" w:hAnsi="Times New Roman" w:cs="Times New Roman"/>
          <w:b/>
          <w:bCs/>
          <w:sz w:val="24"/>
          <w:szCs w:val="24"/>
        </w:rPr>
      </w:pPr>
      <w:r w:rsidRPr="00F153F6">
        <w:rPr>
          <w:rFonts w:ascii="Times New Roman" w:eastAsiaTheme="minorEastAsia" w:hAnsi="Times New Roman" w:cs="Times New Roman"/>
          <w:b/>
          <w:bCs/>
          <w:sz w:val="24"/>
          <w:szCs w:val="24"/>
        </w:rPr>
        <w:lastRenderedPageBreak/>
        <w:t>Diverse and Evolving Patterns of Knowledgeability</w:t>
      </w:r>
    </w:p>
    <w:p w14:paraId="554A4F79" w14:textId="0C1BEFB4"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The present study identified diverse knowledgeabilities important in the context of European Living Labs which are not as </w:t>
      </w:r>
      <w:r w:rsidR="00A761C5" w:rsidRPr="00F153F6">
        <w:rPr>
          <w:rFonts w:ascii="Times New Roman" w:eastAsiaTheme="minorEastAsia" w:hAnsi="Times New Roman" w:cs="Times New Roman"/>
          <w:sz w:val="24"/>
          <w:szCs w:val="24"/>
        </w:rPr>
        <w:t>yet the</w:t>
      </w:r>
      <w:r w:rsidRPr="00F153F6">
        <w:rPr>
          <w:rFonts w:ascii="Times New Roman" w:eastAsiaTheme="minorEastAsia" w:hAnsi="Times New Roman" w:cs="Times New Roman"/>
          <w:sz w:val="24"/>
          <w:szCs w:val="24"/>
        </w:rPr>
        <w:t xml:space="preserve"> focus of existing research. For example, for the overall project, the present study extends March’s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{"citationID":"omE4LLzC","properties":{"formattedCitation":"(1991)","plainCitation":"(1991)","noteIndex":0},"citationItems":[{"id":10009,"uris":["http://zotero.org/users/5709166/items/MK8X7RCX"],"itemData":{"id":10009,"type":"article-journal","container-title":"Organization Science","issue":"1,","language":"en","page":"71-87","source":"Zotero","title":"Exploration and Exploitation in Organizational Learning","volume":"2","author":[{"family":"March","given":"James G."}],"issued":{"date-parts":[["1991"]]}},"label":"page","suppress-author":true}],"schema":"https://github.com/citation-style-language/schema/raw/master/csl-citation.json"}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(1991)</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work by identifying new knowledgeabilities in the support of organisational learning: a conditional knowledgeability (inter-connecting) and a resulting knowledgeability (coordinating) to the core knowledgeabilities. This means that the process of knowledge exploration and exploitation cannot be enabled if actors do not know how to cultivate relationship with each other (inter-connecting), and such a process cannot be promoted if actors do not know how to direct their work performance (coordinating). </w:t>
      </w:r>
    </w:p>
    <w:p w14:paraId="54E08831" w14:textId="1DFBFB5F"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The proposed conceptualisation of diverse knowledgeabilities for the inception stage in this study also extends current models of knowledgeable practices at the initial stage of the project. Existing research has indicated that the ICT-based IOKE practice at the initial project stage is usually embedded in a context with a high level of ambiguity and thus requires more comprehensive understandings on its nature (Oliveira et al., 2015; Chappin et al., 2019). The present findings contribute to this body of research by encapsulating ICT-based IOKE practice and proposing diverse knowledgeabilities at the inception stage, which is afforded by a large range of activities and mediated through ICT affordances and constraints. Prior studies have indicated that it is important to understand how actors embark towards mutually understood level of expertise from each other at the project’s initial stage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{"citationID":"e1PdxT7S","properties":{"formattedCitation":"(Fagerholm et al., 2014; Karambelkar &amp; Bhattacharya, 2017)","plainCitation":"(Fagerholm et al., 2014; Karambelkar &amp; Bhattacharya, 2017)","noteIndex":0},"citationItems":[{"id":10286,"uris":["http://zotero.org/users/5709166/items/UCVPBKDF"],"itemData":{"id":10286,"type":"article-journal","abstract":"In today's world, many companies turn to open source projects as a method to increase productivity and innovation. A major challenge with managing this kind of development is the onboarding of new developers into the virtual teams that drive such projects. There's little guidance on how to initiate new members into such teams and how to overcome the learning curve. This case study on open source software projects shows that mentoring can have a significant impact on onboarding new members into virtual software development teams.","container-title":"IEEE Software","DOI":"10.1109/MS.2014.107","ISSN":"1937-4194","issue":"6","note":"event-title: IEEE Software","page":"54-61","source":"IEEE Xplore","title":"Onboarding in Open Source Projects","volume":"31","author":[{"family":"Fagerholm","given":"Fabian"},{"family":"Sanchez Guinea","given":"Alejandro"},{"family":"Borenstein","given":"Jay"},{"family":"Münch","given":"Jürgen"}],"issued":{"date-parts":[["2014",11]]}}},{"id":10287,"uris":["http://zotero.org/users/5709166/items/DZNJKEXA"],"itemData":{"id":10287,"type":"article-journal","abstract":"Purpose The purpose of this paper is to examine the onboarding process with reference to the change management model ADKAR to improve effectiveness. Design/methodology/approach Change management phases and project management phases of the ADKAR model are applied to onboarding process, and onboarding activities are analyzed. Findings The change management approach and project management approach provide a systematic design and implementation plan for onboarding. Originality/value HR professionals can plan a customized, systematic, and holistic onboarding program covering technical and non-technical aspects in terms of knowledge, skills, abilities, and behavior.","container-title":"Human Resource Management International Digest","DOI":"10.1108/HRMID-04-2017-0073","ISSN":"0967-0734","issue":"7","note":"publisher: Emerald Publishing Limited","page":"5-8","source":"Emerald Insight","title":"Onboarding is a change: Applying change management model ADKAR to onboarding","title-short":"Onboarding is a change","volume":"25","author":[{"family":"Karambelkar","given":"Mohan"},{"family":"Bhattacharya","given":"Shubhasheesh"}],"issued":{"date-parts":[["2017",1,1]]}}}],"schema":"https://github.com/citation-style-language/schema/raw/master/csl-citation.json"}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(Fagerholm et al., 2014; Karambelkar &amp; Bhattacharya, 2017)</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However, these studies do not demonstrate how knowledge emerges from relevant activities in the initial project environment and how ICT mediate</w:t>
      </w:r>
      <w:r w:rsidR="00964DE8" w:rsidRPr="00F153F6">
        <w:rPr>
          <w:rFonts w:ascii="Times New Roman" w:eastAsiaTheme="minorEastAsia" w:hAnsi="Times New Roman" w:cs="Times New Roman"/>
          <w:sz w:val="24"/>
          <w:szCs w:val="24"/>
        </w:rPr>
        <w:t>s</w:t>
      </w:r>
      <w:r w:rsidRPr="00F153F6">
        <w:rPr>
          <w:rFonts w:ascii="Times New Roman" w:eastAsiaTheme="minorEastAsia" w:hAnsi="Times New Roman" w:cs="Times New Roman"/>
          <w:sz w:val="24"/>
          <w:szCs w:val="24"/>
        </w:rPr>
        <w:t xml:space="preserve"> such knowing in practice, which is significant for managing knowledge in initial project works. Accordingly, the theorisation of shared understanding knowledgeability contributes to the current literature by uncovering what project activities comprise such knowledgeability and how the enactment of shared understanding is mediated by </w:t>
      </w:r>
      <w:r w:rsidR="00964DE8" w:rsidRPr="00F153F6">
        <w:rPr>
          <w:rFonts w:ascii="Times New Roman" w:eastAsiaTheme="minorEastAsia" w:hAnsi="Times New Roman" w:cs="Times New Roman"/>
          <w:sz w:val="24"/>
          <w:szCs w:val="24"/>
        </w:rPr>
        <w:t>ICT</w:t>
      </w:r>
      <w:r w:rsidRPr="00F153F6">
        <w:rPr>
          <w:rFonts w:ascii="Times New Roman" w:eastAsiaTheme="minorEastAsia" w:hAnsi="Times New Roman" w:cs="Times New Roman"/>
          <w:sz w:val="24"/>
          <w:szCs w:val="24"/>
        </w:rPr>
        <w:t xml:space="preserve">. In addition, the theorisation of co-ordinating knowledgeability also contributes to existing studies by uncovering how a project is progressing through the enactment of co-ordinating knowledgeability, which has not yet been the focus of existing KM studies. This provides an integral insight into project management and knowledge management, while prior studies are usually concerned with knowledge and project management as separate managerial practices while neglecting how a project is progressing with the development of knowledge. Regarding the middle stage, the present study also contributes to an understanding of the diversity of knowing in practice by identifying more comprising activities such as guiding, elaborating and </w:t>
      </w:r>
      <w:r w:rsidRPr="00F153F6">
        <w:rPr>
          <w:rFonts w:ascii="Times New Roman" w:eastAsiaTheme="minorEastAsia" w:hAnsi="Times New Roman" w:cs="Times New Roman"/>
          <w:sz w:val="24"/>
          <w:szCs w:val="24"/>
        </w:rPr>
        <w:lastRenderedPageBreak/>
        <w:t>sharing that can also enable actors to learn new insights from each other and accordingly know how to develop their capabilities.</w:t>
      </w:r>
    </w:p>
    <w:p w14:paraId="53A1A129" w14:textId="78E3585C"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Our theorising about the shifting patterns of knowledgeabilities across different project stages contributes to current models of knowledge management that have not yet specified the evolution of knowledgeabilities over time in project environments. Prior studies show that knowledge is developed throughout a projects lifecycle and embedded into project methodology in the project environment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{"citationID":"NAgp4kz2","properties":{"formattedCitation":"(Emiliano de Souza et al., 2022; Owen, 2006; Yeong &amp; Lim, 2010)","plainCitation":"(Emiliano de Souza et al., 2022; Owen, 2006; Yeong &amp; Lim, 2010)","noteIndex":0},"citationItems":[{"id":10280,"uris":["http://zotero.org/users/5709166/items/6CWYA4BC"],"itemData":{"id":10280,"type":"article-journal","abstract":"This study investigates the relationship between knowledge management and project success. The applied research method was a systematic literature review, using bibliometric, network, and content analysis techniques. As a result, a frame­ work is proposed, relating knowledge management and project success. The relationship between both tacit knowledge and explicit knowledge with success dimensions is explored in the literature. Explicit knowledge is more related to project manage­ ment efficiency and impact on teams, while tacit knowledge has also been related to present impact on business in the surveyed literature. The main tools and techniques regarding knowledge management in project contexts were also identified.","container-title":"Engineering Management Journal","DOI":"10.1080/10429247.2020.1840876","ISSN":"1042-9247, 2377-0643","issue":"1","journalAbbreviation":"Engineering Management Journal","language":"en","page":"50-69","source":"DOI.org (Crossref)","title":"Knowledge Management, Absorptive and Dynamic Capacities and Project Success: A Review and Framework","title-short":"Knowledge Management, Absorptive and Dynamic Capacities and Project Success","volume":"34","author":[{"family":"Emiliano de Souza","given":"Daniela"},{"family":"Favoretto","given":"Camila"},{"family":"Carvalho","given":"Marly M."}],"issued":{"date-parts":[["2022",1,2]]}}},{"id":10277,"uris":["http://zotero.org/users/5709166/items/QSP22MF7"],"itemData":{"id":10277,"type":"article-journal","abstract":"Knowledge reuse has long been an issue for organisations. The management, reuse and transfer of knowledge can improve project management capabilities (i.e., learning, memory, cycle time) resulting in continuous learning. Although knowledge management has been recognised as a critical success factor...","container-title":"International Journal of Knowledge Management (IJKM)","DOI":"10.4018/jkm.2006010104","ISSN":"1548-0666","issue":"1","journalAbbreviation":"IJKM","language":"en","license":"Access limited to members","note":"publisher: IGI Global","page":"41-57","source":"www.igi-global.com","title":"Integrating Knowledge Management with Programme Management","volume":"2","author":[{"family":"Owen","given":"Jill"}],"issued":{"date-parts":[["2006",1,1]]}}},{"id":10273,"uris":["http://zotero.org/users/5709166/items/PLKLIL96"],"itemData":{"id":10273,"type":"article-journal","abstract":"This paper aims to study the improvement of project success in organizations by integrating knowledge management strategies with project management practices in a typical project lifecycle.&amp;nbsp; According to the Standish Group&amp;rsquo;s Chaos Report for 2009, only 32% of all surveyed projects are considered to be successful and are delivered on time, on budget, with the required features and functions. This could be an indication that project management practitioners have not fully acquired and transferred knowledge learned from past projects to ensure a higher success rate for current and future projects.&amp;nbsp; Knowledge management is an emerging discipline and practice in organizations. This paper proposes an integrated model that combines knowledge management with project management to improve project success and thus contribute towards competitiveness and sustainability in organizations. &amp;nbsp;","container-title":"Journal of Project, Program &amp; Portfolio Management","DOI":"10.5130/pppm.v1i2.1735","ISSN":"1838-7845","issue":"2","language":"en","license":"Copyright (c)","note":"number: 2","page":"8-19","source":"epress.lib.uts.edu.au","title":"Integrating knowledge management with project management for project success","volume":"1","author":[{"family":"Yeong","given":"Anthony"},{"family":"Lim","given":"Thou Tin"}],"issued":{"date-parts":[["2010"]]}}}],"schema":"https://github.com/citation-style-language/schema/raw/master/csl-citation.json"}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(Emiliano de Souza et al., 2022; Owen, 2006; Yeong &amp; Lim, 2010)</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However, these studies focus more on the exploration of the tacit or explicit nature of knowledge and how this supports project success, while less attention has been given to the development of knowledge across different project stages. In the present study, we found that core knowledgeabilities shift as a project moves forward: shared understanding and interactive commenting at inception stage; expertise accumulating and collaborative problem solving at middle stage; and insights spreading and co-constructing at completed stage. In light of these findings, the present work thus argues that core knowledgeabilities can shift as the project is progressing. Such findings extend existing works by suggesting a more dynamic nature of knowledge in ICT-based IOKE practice. For example, </w:t>
      </w:r>
      <w:r w:rsidRPr="00F153F6">
        <w:rPr>
          <w:rFonts w:ascii="Times New Roman" w:eastAsiaTheme="minorEastAsia" w:hAnsi="Times New Roman" w:cs="Times New Roman"/>
          <w:sz w:val="24"/>
          <w:szCs w:val="24"/>
        </w:rPr>
        <w:t xml:space="preserve">this study develops March’s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{"citationID":"vQiODJwQ","properties":{"formattedCitation":"(1991)","plainCitation":"(1991)","noteIndex":0},"citationItems":[{"id":10009,"uris":["http://zotero.org/users/5709166/items/MK8X7RCX"],"itemData":{"id":10009,"type":"article-journal","container-title":"Organization Science","issue":"1,","language":"en","page":"71-87","source":"Zotero","title":"Exploration and Exploitation in Organizational Learning","volume":"2","author":[{"family":"March","given":"James G."}],"issued":{"date-parts":[["1991"]]}},"label":"page","suppress-author":true}],"schema":"https://github.com/citation-style-language/schema/raw/master/csl-citation.json"}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(1991)</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seminal work by suggesting that the nature of knowledge exploration and exploitation is also dynamic and can be updated in the context of temporal inter-organisations such as Living Lab projects. The shifting patterns of knowledge with project progression also indicates a co-evolution of knowledge management and project management, which calls for more future research.</w:t>
      </w:r>
    </w:p>
    <w:p w14:paraId="60622323" w14:textId="7BFCF56C" w:rsidR="0015201A" w:rsidRPr="00F153F6" w:rsidRDefault="0015201A" w:rsidP="004424B4">
      <w:pPr>
        <w:spacing w:line="360" w:lineRule="auto"/>
        <w:jc w:val="both"/>
        <w:rPr>
          <w:rFonts w:ascii="Times New Roman" w:eastAsia="Times New Roman" w:hAnsi="Times New Roman" w:cs="Times New Roman"/>
          <w:sz w:val="24"/>
          <w:szCs w:val="24"/>
        </w:rPr>
      </w:pPr>
      <w:r w:rsidRPr="00F153F6">
        <w:rPr>
          <w:rFonts w:ascii="Times New Roman" w:hAnsi="Times New Roman" w:cs="Times New Roman"/>
          <w:sz w:val="24"/>
          <w:szCs w:val="24"/>
        </w:rPr>
        <w:t xml:space="preserve">As recent scholarly work suggests, a practice perspective allows unsung knowledge to be explicit and </w:t>
      </w:r>
      <w:r w:rsidRPr="00F153F6">
        <w:rPr>
          <w:rFonts w:ascii="Times New Roman" w:eastAsiaTheme="minorEastAsia" w:hAnsi="Times New Roman" w:cs="Times New Roman"/>
          <w:sz w:val="24"/>
          <w:szCs w:val="24"/>
        </w:rPr>
        <w:t xml:space="preserve">discloses the existence of the relationship between knowers and known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{"citationID":"rP6GKnrG","properties":{"formattedCitation":"(Nicolini, 2011, 2016; Schatzki et al., 2005)","plainCitation":"(Nicolini, 2011, 2016; Schatzki et al., 2005)","noteIndex":0},"citationItems":[{"id":2340,"uris":["http://zotero.org/users/5709166/items/AC5AMJE4"],"itemData":{"id":2340,"type":"article-journal","container-title":"Organization Science","DOI":"10.1287/orsc.1100.0556","ISSN":"1047-7039, 1526-5455","issue":"3","journalAbbreviation":"Organization Science","language":"en","page":"602-620","source":"DOI.org (Crossref)","title":"Practice as the Site of Knowing: Insights from the Field of Telemedicine","title-short":"Practice as the Site of Knowing","volume":"22","author":[{"family":"Nicolini","given":"Davide"}],"issued":{"date-parts":[["2011",6]]}}},{"id":2550,"uris":["http://zotero.org/users/5709166/items/467Q4RTU"],"itemData":{"id":2550,"type":"book","abstract":"This work explores the relationship among knowing, learning, and practice in the development of organizational knowledge. It explores the implications for intervention growing out of the notion that organizational knowledge cannot be conceived as a mental process residing in members' heads.","event-place":"New York","ISBN":"978-1-315-29097-3","note":"DOI: 10.4324/9781315290973","number-of-pages":"280","publisher":"Routledge","publisher-place":"New York","title":"Knowing in Organizations: A Practice-Based Approach: A Practice-Based Approach","title-short":"Knowing in Organizations","author":[{"family":"Nicolini","given":"Davide"}],"issued":{"date-parts":[["2016",8,5]]}}},{"id":10239,"uris":["http://zotero.org/users/5709166/items/LX8558F8"],"itemData":{"id":10239,"type":"book","abstract":"This book provides an exciting and diverse philosophical exploration of the role of practice and practices in human activity. It contains original essays and critiques of this philosophical and sociological attempt to move beyond current problematic ways of thinking in the humanities and social sciences. It will be useful across many disciplines, including philosophy, sociology, science, cultural theory, history and anthropology","event-place":"Florence","ISBN":"978-0-203-97745-3","language":"en","note":"OCLC: 1048459840","publisher":"Taylor and Francis","publisher-place":"Florence","source":"Open WorldCat","title":"The Practice Turn in Contemporary Theory","author":[{"family":"Schatzki","given":"Theodore R."},{"family":"Knorr Cetina","given":"Karin"},{"family":"Savigny","given":"Eike","dropping-particle":"von"},{"family":"Knorr-Cetina","given":"K."}],"issued":{"date-parts":[["2005"]]}}}],"schema":"https://github.com/citation-style-language/schema/raw/master/csl-citation.json"}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(Nicolini, 2011, 2016; Schatzki et al., 2005)</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Thereby, a practice perspective provides a promising way to understand social phenomena in relation to knowledgeable works. However, there </w:t>
      </w:r>
      <w:r w:rsidRPr="00F153F6">
        <w:rPr>
          <w:rFonts w:ascii="Times New Roman" w:hAnsi="Times New Roman" w:cs="Times New Roman"/>
          <w:sz w:val="24"/>
          <w:szCs w:val="24"/>
        </w:rPr>
        <w:t xml:space="preserve">are currently limited studies that investigate the development of knowledge from a practice perspective and provide implications on how a practice-based approach enables ICT-based knowledge management for project management. For example, Orlikowski’s </w:t>
      </w:r>
      <w:r w:rsidRPr="00F153F6">
        <w:rPr>
          <w:rFonts w:ascii="Times New Roman" w:hAnsi="Times New Roman" w:cs="Times New Roman"/>
          <w:sz w:val="24"/>
          <w:szCs w:val="24"/>
        </w:rPr>
        <w:fldChar w:fldCharType="begin"/>
      </w:r>
      <w:r w:rsidR="00B73834" w:rsidRPr="00F153F6">
        <w:rPr>
          <w:rFonts w:ascii="Times New Roman" w:hAnsi="Times New Roman" w:cs="Times New Roman"/>
          <w:sz w:val="24"/>
          <w:szCs w:val="24"/>
        </w:rPr>
        <w:instrText xml:space="preserve"> ADDIN ZOTERO_ITEM CSL_CITATION {"citationID":"XYVfz78i","properties":{"formattedCitation":"(2002a)","plainCitation":"(2002a)","noteIndex":0},"citationItems":[{"id":991,"uris":["http://zotero.org/users/5709166/items/LAGNZLDD"],"itemData":{"id":991,"type":"article-journal","abstract":"[In this paper, I outline a perspective on knowing in practice which highlights the essential role of human action in knowing how to get things done in complex organizational work. The perspective suggests that knowing is not a static embedded capability or stable disposition of actors, but rather an ongoing social accomplishment, constituted and reconstituted as actors engage the world in practice. In interpreting the findings of an empirical study conducted in a geographically dispersed high-tech organization, I suggest that the competence to do global product development is both collective and distributed, grounded in the everyday practices of organizational members. I conclude by discussing some of the research implications of a perspective on organizational knowing in practice.]","archive":"JSTOR","container-title":"Organization Science","ISSN":"1047-7039","issue":"3","page":"249-273","source":"JSTOR","title":"Knowing in Practice: Enacting a Collective Capability in Distributed Organizing","title-short":"Knowing in Practice","volume":"13","author":[{"family":"Orlikowski","given":"Wanda J."}],"issued":{"date-parts":[["2002"]]}},"label":"page","suppress-author":true}],"schema":"https://github.com/citation-style-language/schema/raw/master/csl-citation.json"} </w:instrText>
      </w:r>
      <w:r w:rsidRPr="00F153F6">
        <w:rPr>
          <w:rFonts w:ascii="Times New Roman" w:hAnsi="Times New Roman" w:cs="Times New Roman"/>
          <w:sz w:val="24"/>
          <w:szCs w:val="24"/>
        </w:rPr>
        <w:fldChar w:fldCharType="separate"/>
      </w:r>
      <w:r w:rsidR="00B73834" w:rsidRPr="00F153F6">
        <w:rPr>
          <w:rFonts w:ascii="Times New Roman" w:hAnsi="Times New Roman" w:cs="Times New Roman"/>
          <w:sz w:val="24"/>
          <w:szCs w:val="24"/>
        </w:rPr>
        <w:t>(2002)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work identified several important knowledgeabilities such as, sharing identify, interacting face-to-face, aligning effort, supporting participation and learning by doing. This work provides a starting point to understand different enactments of knowledge from a practice perspective, however, it does not show how these knowing in practices develop as actors continue their works overtime. Furthermore, practice-based studies have argued that knowledge is an ongoing </w:t>
      </w:r>
      <w:r w:rsidRPr="00F153F6">
        <w:rPr>
          <w:rFonts w:ascii="Times New Roman" w:hAnsi="Times New Roman" w:cs="Times New Roman"/>
          <w:sz w:val="24"/>
          <w:szCs w:val="24"/>
        </w:rPr>
        <w:lastRenderedPageBreak/>
        <w:t xml:space="preserve">accomplishment and are recurrently emerging in practice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{"citationID":"avTfo2Fs","properties":{"formattedCitation":"(Nicolini, 2011, 2016; Orlikowski, 2006)","plainCitation":"(Nicolini, 2011, 2016; Orlikowski, 2006)","noteIndex":0},"citationItems":[{"id":2340,"uris":["http://zotero.org/users/5709166/items/AC5AMJE4"],"itemData":{"id":2340,"type":"article-journal","container-title":"Organization Science","DOI":"10.1287/orsc.1100.0556","ISSN":"1047-7039, 1526-5455","issue":"3","journalAbbreviation":"Organization Science","language":"en","page":"602-620","source":"DOI.org (Crossref)","title":"Practice as the Site of Knowing: Insights from the Field of Telemedicine","title-short":"Practice as the Site of Knowing","volume":"22","author":[{"family":"Nicolini","given":"Davide"}],"issued":{"date-parts":[["2011",6]]}}},{"id":2550,"uris":["http://zotero.org/users/5709166/items/467Q4RTU"],"itemData":{"id":2550,"type":"book","abstract":"This work explores the relationship among knowing, learning, and practice in the development of organizational knowledge. It explores the implications for intervention growing out of the notion that organizational knowledge cannot be conceived as a mental process residing in members' heads.","event-place":"New York","ISBN":"978-1-315-29097-3","note":"DOI: 10.4324/9781315290973","number-of-pages":"280","publisher":"Routledge","publisher-place":"New York","title":"Knowing in Organizations: A Practice-Based Approach: A Practice-Based Approach","title-short":"Knowing in Organizations","author":[{"family":"Nicolini","given":"Davide"}],"issued":{"date-parts":[["2016",8,5]]}}},{"id":170,"uris":["http://zotero.org/users/5709166/items/LJEGGXSV"],"itemData":{"id":170,"type":"article-journal","container-title":"European Journal of Information Systems","DOI":"10.1057/palgrave.ejis.3000639","ISSN":"0960-085X, 1476-9344","issue":"5","journalAbbreviation":"European Journal of Information Systems","language":"en","page":"460-466","source":"DOI.org (Crossref)","title":"Material knowing: the scaffolding of human knowledgeability","title-short":"Material knowing","volume":"15","author":[{"family":"Orlikowski","given":"Wanda J"}],"issued":{"date-parts":[["2006",10]]}}}],"schema":"https://github.com/citation-style-language/schema/raw/master/csl-citation.json"}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(Nicolini, 2011, 2016; Orlikowski, 2006)</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However, the underlying generative mechanism through which knowledge emerges has not yet been articulated. With the body of evidence, the present study argues that knowledge is not merely emerging from the practice but is also developed as activities change and continually evolve in the practice. The findings of the present study thus contribute to existing practice-based literature by uncovering how knowing in practice is developed throughout project lifecycle from a practice-based perspective. </w:t>
      </w:r>
      <w:r w:rsidRPr="00F153F6">
        <w:rPr>
          <w:rFonts w:ascii="Times New Roman" w:eastAsiaTheme="minorEastAsia" w:hAnsi="Times New Roman" w:cs="Times New Roman"/>
          <w:sz w:val="24"/>
          <w:szCs w:val="24"/>
        </w:rPr>
        <w:t xml:space="preserve">Practice itself is renewing accomplishment and the renewal of practices are achieved through interactions </w:t>
      </w:r>
      <w:r w:rsidRPr="00F153F6">
        <w:rPr>
          <w:rFonts w:ascii="Times New Roman" w:eastAsiaTheme="minorEastAsia" w:hAnsi="Times New Roman" w:cs="Times New Roman"/>
          <w:sz w:val="24"/>
          <w:szCs w:val="24"/>
        </w:rPr>
        <w:fldChar w:fldCharType="begin"/>
      </w:r>
      <w:r w:rsidR="00B73834" w:rsidRPr="00F153F6">
        <w:rPr>
          <w:rFonts w:ascii="Times New Roman" w:eastAsiaTheme="minorEastAsia" w:hAnsi="Times New Roman" w:cs="Times New Roman"/>
          <w:sz w:val="24"/>
          <w:szCs w:val="24"/>
        </w:rPr>
        <w:instrText xml:space="preserve"> ADDIN ZOTERO_ITEM CSL_CITATION {"citationID":"jhbigtwn","properties":{"formattedCitation":"(Nicolini, 2013b)","plainCitation":"(Nicolini, 2013b)","noteIndex":0},"citationItems":[{"id":10202,"uris":["http://zotero.org/users/5709166/items/EQJ7XLEP"],"itemData":{"id":10202,"type":"book","abstract":"\"What is practice theory? Where do practice theories come from? What do they say? Do they really offer something new to the study of work and organization? In setting out to answer these questions, this book provides a rigorous yet accessible introduction to contemporary theories of practice, discussing their distinctive contribution to work and organization studies. Practice theories are a set of conceptual tools and methodologies for investigating, analysing, and representing everyday practice through written text, language, images, and behaviour. Drawing on a variety of theoretical traditions, they have explored the idea that phenomena such as knowledge, meaning, science, power, organized activity, sociality, and institutions are rooted in practice. The book first examines the origins of the idea of practice. Recognizing that a unified theory of practice does not exist, the central chapters of the book then discuss the theory and concepts of the main scholarly traditions that have, collectively, contributed to the 'practice turn' in social and organization studies. Each of the central chapters concludes with a fully worked example of the theory in application. Practice theories have become of increasing interest for management and organizational scholars in recent years, and this book is an advanced introduction to the complexities of the area for academics, researchers, and graduate students in organization studies, management, and across the social sciences.\"--Publisher's website","call-number":"HD30.4 N536 2013","edition":"First Edition","event-place":"Oxford","ISBN":"978-0-19-923160-7","language":"en","note":"OCLC: ocn828774985","number-of-pages":"272","publisher":"Oxford University Press","publisher-place":"Oxford","source":"Library of Congress ISBN","title":"Practice Theory, Work, and Organization: An Introduction","title-short":"Practice Theory, Work, and Organization","author":[{"family":"Nicolini","given":"Davide"}],"issued":{"date-parts":[["2013"]]}},"label":"page"}],"schema":"https://github.com/citation-style-language/schema/raw/master/csl-citation.json"}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00B73834" w:rsidRPr="00F153F6">
        <w:rPr>
          <w:rFonts w:ascii="Times New Roman" w:hAnsi="Times New Roman" w:cs="Times New Roman"/>
          <w:sz w:val="24"/>
          <w:szCs w:val="24"/>
        </w:rPr>
        <w:t>(Nicolini, 2013)</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The present study thus argues that it is the evolvement of knowledgeabilities that facilitate the renewal of ICT-based IOKE practice. Such evolvement, with the use of </w:t>
      </w:r>
      <w:r w:rsidR="00964DE8" w:rsidRPr="00F153F6">
        <w:rPr>
          <w:rFonts w:ascii="Times New Roman" w:eastAsiaTheme="minorEastAsia" w:hAnsi="Times New Roman" w:cs="Times New Roman"/>
          <w:sz w:val="24"/>
          <w:szCs w:val="24"/>
        </w:rPr>
        <w:t>ICT</w:t>
      </w:r>
      <w:r w:rsidRPr="00F153F6">
        <w:rPr>
          <w:rFonts w:ascii="Times New Roman" w:eastAsiaTheme="minorEastAsia" w:hAnsi="Times New Roman" w:cs="Times New Roman"/>
          <w:sz w:val="24"/>
          <w:szCs w:val="24"/>
        </w:rPr>
        <w:t xml:space="preserve">, represents the sustaining and perpetuation of ICT-based IOKE practice, and accordingly the present findings contribute to the field by illuminating a way to understand how agents perpetuate the conditions of their agency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{"citationID":"MPuPVbE9","properties":{"formattedCitation":"(Giddens, 1984; Nicolini, 2016)","plainCitation":"(Giddens, 1984; Nicolini, 2016)","noteIndex":0},"citationItems":[{"id":155,"uris":["http://zotero.org/users/5709166/items/F6NKRYDB"],"itemData":{"id":155,"type":"book","abstract":"Anthony Giddens has been in the forefront of developments in social theory for the past decade. In \"The Constitution of Society\" he outlines the distinctive position he has evolved during that period and offers a full statement of a major new perspective in social thought, a synthesis and elaboration of ideas touched on in previous works but described here for the first time in an integrated and comprehensive form. A particular feature is Giddens's concern to connect abstract problems of theory to an interpretation of the nature of empirical method in the social sciences. In presenting his own ideas, Giddens mounts a critical attack on some of the more orthodox sociological views. \"The Constitution of Society\" is an invaluable reference book for all those concerned with the basic issues in contemporary social theory.","ISBN":"978-0-520-05292-5","language":"en","note":"Google-Books-ID: x2bf4g9Z6ZwC","number-of-pages":"448","publisher":"University of California Press","source":"Google Books","title":"The Constitution of Society: Outline of the Theory of Structuration","title-short":"The Constitution of Society","author":[{"family":"Giddens","given":"Anthony"}],"issued":{"date-parts":[["1984"]]}}},{"id":2550,"uris":["http://zotero.org/users/5709166/items/467Q4RTU"],"itemData":{"id":2550,"type":"book","abstract":"This work explores the relationship among knowing, learning, and practice in the development of organizational knowledge. It explores the implications for intervention growing out of the notion that organizational knowledge cannot be conceived as a mental process residing in members' heads.","event-place":"New York","ISBN":"978-1-315-29097-3","note":"DOI: 10.4324/9781315290973","number-of-pages":"280","publisher":"Routledge","publisher-place":"New York","title":"Knowing in Organizations: A Practice-Based Approach: A Practice-Based Approach","title-short":"Knowing in Organizations","author":[{"family":"Nicolini","given":"Davide"}],"issued":{"date-parts":[["2016",8,5]]}}}],"schema":"https://github.com/citation-style-language/schema/raw/master/csl-citation.json"}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(Giddens, 1984; Nicolini, 2016)</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as they participate in ICT-based IOKE practice.</w:t>
      </w:r>
    </w:p>
    <w:p w14:paraId="62EC156C" w14:textId="44C1B63C" w:rsidR="0015201A" w:rsidRPr="00F153F6" w:rsidRDefault="0015201A" w:rsidP="004424B4">
      <w:pPr>
        <w:spacing w:line="360" w:lineRule="auto"/>
        <w:jc w:val="both"/>
        <w:rPr>
          <w:rFonts w:ascii="Times New Roman" w:eastAsiaTheme="minorEastAsia" w:hAnsi="Times New Roman" w:cs="Times New Roman"/>
          <w:b/>
          <w:bCs/>
          <w:sz w:val="24"/>
          <w:szCs w:val="24"/>
        </w:rPr>
      </w:pPr>
      <w:r w:rsidRPr="00F153F6">
        <w:rPr>
          <w:rFonts w:ascii="Times New Roman" w:eastAsiaTheme="minorEastAsia" w:hAnsi="Times New Roman" w:cs="Times New Roman"/>
          <w:b/>
          <w:bCs/>
          <w:sz w:val="24"/>
          <w:szCs w:val="24"/>
        </w:rPr>
        <w:t>Diverse and Evolving Patterns of ICT Affordance/Constraints</w:t>
      </w:r>
    </w:p>
    <w:p w14:paraId="68590F58" w14:textId="283ED118"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present study’s theorising about the ICT-based IOKE practice shows a diverse bundle of affordances/constraints for the enactment of knowledgeabilities. This enriches current understanding on the roles of ICT affordance and constraints in mediating the enactment of knowledgeabilities. For example, some studies have broadly summarised essential ICT affordances for knowledgeable work </w:t>
      </w:r>
      <w:r w:rsidRPr="00F153F6">
        <w:rPr>
          <w:rFonts w:ascii="Times New Roman" w:hAnsi="Times New Roman" w:cs="Times New Roman"/>
          <w:sz w:val="24"/>
          <w:szCs w:val="24"/>
        </w:rPr>
        <w:fldChar w:fldCharType="begin"/>
      </w:r>
      <w:r w:rsidR="00B73834" w:rsidRPr="00F153F6">
        <w:rPr>
          <w:rFonts w:ascii="Times New Roman" w:hAnsi="Times New Roman" w:cs="Times New Roman"/>
          <w:sz w:val="24"/>
          <w:szCs w:val="24"/>
        </w:rPr>
        <w:instrText xml:space="preserve"> ADDIN ZOTERO_ITEM CSL_CITATION {"citationID":"k7nWgQg0","properties":{"formattedCitation":"(C. B. Gibson et al., 2021; Sun et al., 2019)","plainCitation":"(C. B. Gibson et al., 2021; Sun et al., 2019)","dontUpdate":true,"noteIndex":0},"citationItems":[{"id":9799,"uris":["http://zotero.org/users/5709166/items/2MGCEYF6"],"itemData":{"id":9799,"type":"article-journal","abstract":"Despite the dynamic nature of knowledge-related activities and the availability of a variety of communication technologies, many global teams habitually use technology in the same way across activities. However, as teams move through cycles of accumulating, integrating, and implementing knowledge, the purposes for communication technologies change. Current theorizing and empirical work on team knowledge management has yet to develop a dynamic theory that incorporates these changes. By conducting a multiwave, mixed method analysis of 48 global teams, we develop a theory of how global teams sustain effectiveness through technology affordance processes. We found that effective teams are those that recognize cues indicating change is necessary and coevolve a symbiosis between new activities, new purposes for interaction, and new uses of communication technologies. This coevolution of purpose with technology use forms new affordances, which enable the team to move on to new knowledge management activities and sustain effectiveness. Our theory more realistically models the dynamics of staying connected while sharing, combining, and implementing knowledge across the globe.","container-title":"Organization Science","DOI":"10.1287/orsc.2021.1478","ISSN":"1047-7039, 1526-5455","journalAbbreviation":"Organization Science","language":"en","page":"orsc.2021.1478","source":"DOI.org (Crossref)","title":"Sustaining Effectiveness in Global Teams: The Coevolution of Knowledge Management Activities and Technology Affordances","title-short":"Sustaining Effectiveness in Global Teams","author":[{"family":"Gibson","given":"Cristina B."},{"family":"Dunlop","given":"Patrick D."},{"family":"Majchrzak","given":"Ann"},{"family":"Chia","given":"Terence"}],"issued":{"date-parts":[["2021",8,11]]}}},{"id":2649,"uris":["http://zotero.org/users/5709166/items/BRHXZKIJ"],"itemData":{"id":2649,"type":"article-journal","abstract":"Purpose – Enterprise social media platforms (ESMPs) are web 2.0-based computer media tools that facilitate knowledge sharing by employees. The purpose of this paper is to outline the potential of ESMPs in both enabling and hindering knowledge sharing from the perspective of affordances.","container-title":"Journal of Enterprise Information Management","DOI":"10.1108/JEIM-10-2018-0232","ISSN":"1741-0398","issue":"2","journalAbbreviation":"JEIM","language":"en","page":"233-250","source":"DOI.org (Crossref)","title":"The impact of enterprise social media platforms on knowledge sharing: An affordance lens perspective","title-short":"The impact of enterprise social media platforms on knowledge sharing","volume":"32","author":[{"family":"Sun","given":"Yuan"},{"family":"Zhou","given":"Xinjie"},{"family":"Jeyaraj","given":"Anand"},{"family":"Shang","given":"Rong-An"},{"family":"Hu","given":"Feng"}],"issued":{"date-parts":[["2019",4,30]]}}}],"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(Gibson et al., 2021; Sun et al., 2019)</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while they may lose the speciality of ICT affordances if the situated use of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are taken into account. Some studies are more concerning with the ICT affordances in enabling knowledge exchange related activities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{"citationID":"ZdoGo1Qn","properties":{"formattedCitation":"(Erhardt et al., 2016; Gott &amp; Schaefer, 2020)","plainCitation":"(Erhardt et al., 2016; Gott &amp; Schaefer, 2020)","noteIndex":0},"citationItems":[{"id":10291,"uris":["http://zotero.org/users/5709166/items/KV2ABIKV"],"itemData":{"id":10291,"type":"article-journal","abstract":"Scant research has examined the role of information and communication technologies (ICTs) for team learning across time. Drawing on theories of team learning, group development, and technological affordances, we provide a multi-method case analysis of emails and interviews that explores how and when team learning occurs. We analyze 468 emails and 20 interviews collected from a team in a large Swedish insurance company over the course of a 44-week project, from start to completion. The analysis reveals that the affordances of email (asynchronicity, editability, persistence, and replicability) and perceptions of time (time for face-to-face interaction [FtF] and time management) drive three nonlinear cycles of knowledge sharing, co-construction, and constructive conflict across the 44-week life span of the project. The findings challenge existing framings of team learning grounded in FtF contexts and highlight the increasing importance of team learning through ICTs.","container-title":"Small Group Research","DOI":"10.1177/1046496416635823","ISSN":"1046-4964","issue":"3","note":"publisher: SAGE Publications Inc","page":"243-278","source":"SAGE Journals","title":"Exploring Affordances of Email for Team Learning Over Time","volume":"47","author":[{"family":"Erhardt","given":"Niclas"},{"family":"Gibbs","given":"Jennifer"},{"family":"Martin-Rios","given":"Carlos"},{"family":"Sherblom","given":"John"}],"issued":{"date-parts":[["2016",6,1]]}}},{"id":2680,"uris":["http://zotero.org/users/5709166/items/QU3AACME"],"itemData":{"id":2680,"type":"thesis","title":"Knowledge Sharing in the Public Sector An Affordance Approach of Information and Communications Technology","URL":"https://lup.lub.lu.se/luur/download?func=downloadFile&amp;recordOId=9012606&amp;fileOId=9012610","author":[{"family":"Gott","given":"Antonia"},{"family":"Schaefer","given":"Stephan M."}],"accessed":{"date-parts":[["2021",5,12]]},"issued":{"date-parts":[["2020"]]}}}],"schema":"https://github.com/citation-style-language/schema/raw/master/csl-citation.json"}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(Erhardt et al., 2016; Gott &amp; Schaefer, 2020)</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while there are limited studies specifying which ICT constraints may inhibit the enactment of knowledgeabilities. The present study thus contributes to this body of research by identifying more ICT affordances and constraints in mediating ICT-based IOKE practices and specifying which affordances/constraints are mediating which specific knowledgeabilities.</w:t>
      </w:r>
    </w:p>
    <w:p w14:paraId="340D33CC" w14:textId="5C8F9F42" w:rsidR="0015201A" w:rsidRPr="00F153F6" w:rsidRDefault="0015201A"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present study also illuminates existing research on understanding how the effects of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in the enactment of knowledgeabilities evolve across different project stages. Prior studies mostly place the focus on investigating the effects of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on knowledgeable works for overall project. However, recent studies have indicated that knowledgeable practices can change as a project moves forward whereby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may play different roles across different project stages </w:t>
      </w:r>
      <w:r w:rsidRPr="00F153F6">
        <w:rPr>
          <w:rFonts w:ascii="Times New Roman" w:hAnsi="Times New Roman" w:cs="Times New Roman"/>
          <w:sz w:val="24"/>
          <w:szCs w:val="24"/>
        </w:rPr>
        <w:fldChar w:fldCharType="begin"/>
      </w:r>
      <w:r w:rsidR="00B73834" w:rsidRPr="00F153F6">
        <w:rPr>
          <w:rFonts w:ascii="Times New Roman" w:hAnsi="Times New Roman" w:cs="Times New Roman"/>
          <w:sz w:val="24"/>
          <w:szCs w:val="24"/>
        </w:rPr>
        <w:instrText xml:space="preserve"> ADDIN ZOTERO_ITEM CSL_CITATION {"citationID":"L9Kbpd3W","properties":{"formattedCitation":"(C. B. Gibson et al., 2021; Haass &amp; Azizi, 2019; Ranf &amp; Herman, 2018)","plainCitation":"(C. B. Gibson et al., 2021; Haass &amp; Azizi, 2019; Ranf &amp; Herman, 2018)","dontUpdate":true,"noteIndex":0},"citationItems":[{"id":9799,"uris":["http://zotero.org/users/5709166/items/2MGCEYF6"],"itemData":{"id":9799,"type":"article-journal","abstract":"Despite the dynamic nature of knowledge-related activities and the availability of a variety of communication technologies, many global teams habitually use technology in the same way across activities. However, as teams move through cycles of accumulating, integrating, and implementing knowledge, the purposes for communication technologies change. Current theorizing and empirical work on team knowledge management has yet to develop a dynamic theory that incorporates these changes. By conducting a multiwave, mixed method analysis of 48 global teams, we develop a theory of how global teams sustain effectiveness through technology affordance processes. We found that effective teams are those that recognize cues indicating change is necessary and coevolve a symbiosis between new activities, new purposes for interaction, and new uses of communication technologies. This coevolution of purpose with technology use forms new affordances, which enable the team to move on to new knowledge management activities and sustain effectiveness. Our theory more realistically models the dynamics of staying connected while sharing, combining, and implementing knowledge across the globe.","container-title":"Organization Science","DOI":"10.1287/orsc.2021.1478","ISSN":"1047-7039, 1526-5455","journalAbbreviation":"Organization Science","language":"en","page":"orsc.2021.1478","source":"DOI.org (Crossref)","title":"Sustaining Effectiveness in Global Teams: The Coevolution of Knowledge Management Activities and Technology Affordances","title-short":"Sustaining Effectiveness in Global Teams","author":[{"family":"Gibson","given":"Cristina B."},{"family":"Dunlop","given":"Patrick D."},{"family":"Majchrzak","given":"Ann"},{"family":"Chia","given":"Terence"}],"issued":{"date-parts":[["2021",8,11]]}}},{"id":10303,"uris":["http://zotero.org/users/5709166/items/V7B2SVNL"],"itemData":{"id":10303,"type":"article-journal","container-title":"International Journal of Project Organisation and Management","DOI":"10.1504/IJPOM.2019.100575","journalAbbreviation":"International Journal of Project Organisation and Management","page":"171","source":"ResearchGate","title":"Knowledge sharing practice in project-oriented organisations: a practical framework based on project life cycle and project management body of knowledge","title-short":"Knowledge sharing practice in project-oriented organisations","volume":"11","author":[{"family":"Haass","given":"Omid"},{"family":"Azizi","given":"Neda"}],"issued":{"date-parts":[["2019",1,1]]}}},{"id":10282,"uris":["http://zotero.org/users/5709166/items/N8TPZJJZ"],"itemData":{"id":10282,"type":"article-journal","abstract":"The two concepts, knowledge management and project management have been steadily developing in recent years, with the current effort being the creation of a synergic effect from the two. The article demonstrates the need for a structured framework to group and facilitate the reuse of information and the generation of new knowledge in project management. In this context, knowledge management meets these requirements, providing a tool for improving project management practices. The article contains a review of the advantages and benefits that developers can get by adopting and implementing a project management strategy. An important contribution of the article is to develop a way to apply knowledge management in project management. This starts from the idea that a knowledge management cycle consists of four stages, which can also be applied in project management, and the knowledge passing through these stages goes through a filter, improves and generates a new knowledge.","container-title":"Land Forces Academy Review","DOI":"10.2478/raft-2018-0036","ISSN":"2247-840X","issue":"4","language":"en","page":"288-293","source":"DOI.org (Crossref)","title":"Knowledge Management Contributions in Project Management","volume":"23","author":[{"family":"Ranf","given":"Diana Elena"},{"family":"Herman","given":"Ramona"}],"issued":{"date-parts":[["2018",12,1]]}}}],"schema":"https://github.com/citation-style-language/schema/raw/master/csl-citation.json"}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(Gibson et al., 2021; Haass &amp; Azizi, 2019; Ranf &amp; Herman, 2018)</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Therefore, the present study </w:t>
      </w:r>
      <w:r w:rsidRPr="00F153F6">
        <w:rPr>
          <w:rFonts w:ascii="Times New Roman" w:hAnsi="Times New Roman" w:cs="Times New Roman"/>
          <w:sz w:val="24"/>
          <w:szCs w:val="24"/>
        </w:rPr>
        <w:lastRenderedPageBreak/>
        <w:t xml:space="preserve">provides contributions on this body of research by demonstrating how ICT affordances and constraints change and evolve with knowledgeabilities as a project moves forward. This also provides an integral insights of knowledge management, ICT, and project management. This prompts future research on how ICT and knowledge are to be managed and developed together in the context of inter-organisational project lifecycle management. </w:t>
      </w:r>
    </w:p>
    <w:p w14:paraId="15366D74" w14:textId="06885E88"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Prior studies have indicated that the effects of ICT affordances or constraints are determined in specific situations and thus there is no universal set of affordances that fit into all contexts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{"citationID":"LU47D6uZ","properties":{"formattedCitation":"(Majchrzak &amp; Markus, 2012; Treem &amp; Leonardi, 2013)","plainCitation":"(Majchrzak &amp; Markus, 2012; Treem &amp; Leonardi, 2013)","noteIndex":0},"citationItems":[{"id":2500,"uris":["http://zotero.org/users/5709166/items/7DLIZ7FX"],"itemData":{"id":2500,"type":"entry-encyclopedia","container-title":"Encyclopedia of Management Theory","language":"en","publisher":"Sage Publications","source":"Zotero","title":"TECHNOLOGY AFFORDANCES AND CONSTRAINTS IN MANAGEMENT INFORMATION SYSTEMS (MIS)","author":[{"family":"Majchrzak","given":"A"},{"family":"Markus","given":"M L"}],"issued":{"date-parts":[["2012"]]}}},{"id":10349,"uris":["http://zotero.org/users/5709166/items/XDL9WZ8S"],"itemData":{"id":10349,"type":"article-journal","container-title":"Annals of the International Communication Association","DOI":"10.1080/23808985.2013.11679130","ISSN":"2380-8985, 2380-8977","issue":"1","journalAbbreviation":"Annals of the International Communication Association","language":"en","page":"143-189","source":"DOI.org (Crossref)","title":"Social Media Use in Organizations: Exploring the Affordances of Visibility, Editability, Persistence, and Association","title-short":"Social Media Use in Organizations","volume":"36","author":[{"family":"Treem","given":"Jeffrey W."},{"family":"Leonardi","given":"Paul M."}],"issued":{"date-parts":[["2013",1]]}}}],"schema":"https://github.com/citation-style-language/schema/raw/master/csl-citation.json"}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(Majchrzak &amp; Markus, 2012; Treem &amp; Leonardi, 2013)</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This indicates that ICT affordances/constraints may evolve as situations change, such as the shifts of knowledge management activities </w:t>
      </w:r>
      <w:r w:rsidRPr="00F153F6">
        <w:rPr>
          <w:rFonts w:ascii="Times New Roman" w:eastAsiaTheme="minorEastAsia" w:hAnsi="Times New Roman" w:cs="Times New Roman"/>
          <w:sz w:val="24"/>
          <w:szCs w:val="24"/>
        </w:rPr>
        <w:fldChar w:fldCharType="begin"/>
      </w:r>
      <w:r w:rsidR="00B73834" w:rsidRPr="00F153F6">
        <w:rPr>
          <w:rFonts w:ascii="Times New Roman" w:eastAsiaTheme="minorEastAsia" w:hAnsi="Times New Roman" w:cs="Times New Roman"/>
          <w:sz w:val="24"/>
          <w:szCs w:val="24"/>
        </w:rPr>
        <w:instrText xml:space="preserve"> ADDIN ZOTERO_ITEM CSL_CITATION {"citationID":"ZDg6DxHP","properties":{"formattedCitation":"(C. B. Gibson et al., 2021)","plainCitation":"(C. B. Gibson et al., 2021)","dontUpdate":true,"noteIndex":0},"citationItems":[{"id":9799,"uris":["http://zotero.org/users/5709166/items/2MGCEYF6"],"itemData":{"id":9799,"type":"article-journal","abstract":"Despite the dynamic nature of knowledge-related activities and the availability of a variety of communication technologies, many global teams habitually use technology in the same way across activities. However, as teams move through cycles of accumulating, integrating, and implementing knowledge, the purposes for communication technologies change. Current theorizing and empirical work on team knowledge management has yet to develop a dynamic theory that incorporates these changes. By conducting a multiwave, mixed method analysis of 48 global teams, we develop a theory of how global teams sustain effectiveness through technology affordance processes. We found that effective teams are those that recognize cues indicating change is necessary and coevolve a symbiosis between new activities, new purposes for interaction, and new uses of communication technologies. This coevolution of purpose with technology use forms new affordances, which enable the team to move on to new knowledge management activities and sustain effectiveness. Our theory more realistically models the dynamics of staying connected while sharing, combining, and implementing knowledge across the globe.","container-title":"Organization Science","DOI":"10.1287/orsc.2021.1478","ISSN":"1047-7039, 1526-5455","journalAbbreviation":"Organization Science","language":"en","page":"orsc.2021.1478","source":"DOI.org (Crossref)","title":"Sustaining Effectiveness in Global Teams: The Coevolution of Knowledge Management Activities and Technology Affordances","title-short":"Sustaining Effectiveness in Global Teams","author":[{"family":"Gibson","given":"Cristina B."},{"family":"Dunlop","given":"Patrick D."},{"family":"Majchrzak","given":"Ann"},{"family":"Chia","given":"Terence"}],"issued":{"date-parts":[["2021",8,11]]}}}],"schema":"https://github.com/citation-style-language/schema/raw/master/csl-citation.json"}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(Gibson et al., 2021)</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However, there is currently less evidence to show how ICT affordances/constraints evolve as the patterns of knowledge exchange shifts across specific stages. The present study demonstrates a </w:t>
      </w:r>
      <w:r w:rsidR="003D2FC9" w:rsidRPr="00F153F6">
        <w:rPr>
          <w:rFonts w:ascii="Times New Roman" w:eastAsiaTheme="minorEastAsia" w:hAnsi="Times New Roman" w:cs="Times New Roman"/>
          <w:sz w:val="24"/>
          <w:szCs w:val="24"/>
        </w:rPr>
        <w:t>bundle</w:t>
      </w:r>
      <w:r w:rsidRPr="00F153F6">
        <w:rPr>
          <w:rFonts w:ascii="Times New Roman" w:eastAsiaTheme="minorEastAsia" w:hAnsi="Times New Roman" w:cs="Times New Roman"/>
          <w:sz w:val="24"/>
          <w:szCs w:val="24"/>
        </w:rPr>
        <w:t xml:space="preserve"> of affordances/constraints for each knowledgeability and how these change as a project moves forward. Compared to Gibson et al.’s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{"citationID":"1u3SpmRK","properties":{"formattedCitation":"(2021)","plainCitation":"(2021)","noteIndex":0},"citationItems":[{"id":9799,"uris":["http://zotero.org/users/5709166/items/2MGCEYF6"],"itemData":{"id":9799,"type":"article-journal","abstract":"Despite the dynamic nature of knowledge-related activities and the availability of a variety of communication technologies, many global teams habitually use technology in the same way across activities. However, as teams move through cycles of accumulating, integrating, and implementing knowledge, the purposes for communication technologies change. Current theorizing and empirical work on team knowledge management has yet to develop a dynamic theory that incorporates these changes. By conducting a multiwave, mixed method analysis of 48 global teams, we develop a theory of how global teams sustain effectiveness through technology affordance processes. We found that effective teams are those that recognize cues indicating change is necessary and coevolve a symbiosis between new activities, new purposes for interaction, and new uses of communication technologies. This coevolution of purpose with technology use forms new affordances, which enable the team to move on to new knowledge management activities and sustain effectiveness. Our theory more realistically models the dynamics of staying connected while sharing, combining, and implementing knowledge across the globe.","container-title":"Organization Science","DOI":"10.1287/orsc.2021.1478","ISSN":"1047-7039, 1526-5455","journalAbbreviation":"Organization Science","language":"en","page":"orsc.2021.1478","source":"DOI.org (Crossref)","title":"Sustaining Effectiveness in Global Teams: The Coevolution of Knowledge Management Activities and Technology Affordances","title-short":"Sustaining Effectiveness in Global Teams","author":[{"family":"Gibson","given":"Cristina B."},{"family":"Dunlop","given":"Patrick D."},{"family":"Majchrzak","given":"Ann"},{"family":"Chia","given":"Terence"}],"issued":{"date-parts":[["2021",8,11]]}},"label":"page","suppress-author":true}],"schema":"https://github.com/citation-style-language/schema/raw/master/csl-citation.json"}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(2021)</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conceptualisation of co-evolution of affordance and knowledge management activities, the present study emphasis that ICT affordance does not merely co-evolve with knowledge, but also co-evolves with the project. Such findings thus contribute to the current understanding of the relationship between ICT affordance and social practices by arguing that the shaping of ICT affordance/constraints and knowledge (knowledgeability) are interdependent and can mutually co-evolve over time. This implies a far more dynamic nature of ICT-based IOKE practice in inter-organisational settings than the findings of previous studies. </w:t>
      </w:r>
      <w:r w:rsidRPr="00F153F6">
        <w:rPr>
          <w:rFonts w:ascii="Times New Roman" w:hAnsi="Times New Roman" w:cs="Times New Roman"/>
          <w:sz w:val="24"/>
          <w:szCs w:val="24"/>
        </w:rPr>
        <w:t xml:space="preserve">Moutinho and Silva’s </w:t>
      </w:r>
      <w:r w:rsidRPr="00F153F6">
        <w:rPr>
          <w:rFonts w:ascii="Times New Roman" w:hAnsi="Times New Roman" w:cs="Times New Roman"/>
          <w:sz w:val="24"/>
          <w:szCs w:val="24"/>
        </w:rPr>
        <w:fldChar w:fldCharType="begin"/>
      </w:r>
      <w:r w:rsidRPr="00F153F6">
        <w:rPr>
          <w:rFonts w:ascii="Times New Roman" w:hAnsi="Times New Roman" w:cs="Times New Roman"/>
          <w:sz w:val="24"/>
          <w:szCs w:val="24"/>
        </w:rPr>
        <w:instrText xml:space="preserve"> ADDIN ZOTERO_ITEM CSL_CITATION {"citationID":"hpJ4GHuw","properties":{"formattedCitation":"(2022)","plainCitation":"(2022)","noteIndex":0},"citationItems":[{"id":10285,"uris":["http://zotero.org/users/5709166/items/VKTLRFB6"],"itemData":{"id":10285,"type":"article-journal","abstract":"The present study sought to map the bibliographic convergence of Knowledge Management (KM) and Project Management (PM). To achieve this goal, we adopted bibliometric techniques, supported by exploratory factor analysis (EFA). The bibliographic coupling showed that the emerging KM literature deals with KM and results in PM, KM and project-oriented organisa­ tions, KM and project success, projects as a knowledge source, KM in interorganisational projects, and knowledge transfer in projects. Moreover, we determined that the intellectual structure of the area, KM fundamentals, KM and learning in project-based organisations, KM in organisations and projects, and KM and social mechanisms were also notable themes. Additionally, the EFA detected a relationship between the emerging themes and articles representing the intellectual structure. Furthermore, our results provide insights practitioners can use to recognise emerging issues the organisation is experiencing in the literature.","container-title":"Knowledge Management Research &amp; Practice","DOI":"10.1080/14778238.2021.1931502","ISSN":"1477-8238, 1477-8246","issue":"2","journalAbbreviation":"Knowledge Management Research &amp; Practice","language":"en","page":"266-278","source":"DOI.org (Crossref)","title":"Knowledge management in project management: mapping bibliographic convergence","title-short":"Knowledge management in project management","volume":"20","author":[{"family":"Moutinho","given":"Jose da Assuncao"},{"family":"Silva","given":"Luciano Ferreira","dropping-particle":"da"}],"issued":{"date-parts":[["2022",3,4]]}},"label":"page","suppress-author":true}],"schema":"https://github.com/citation-style-language/schema/raw/master/csl-citation.json"}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4"/>
        </w:rPr>
        <w:t>(2022)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work show that current studies on the theorisation of knowledge transfer in projects call for a greater understandings on how specific project knowledge is being created and communicated effectively over time. Our findings accordingly extend this body of research by specifying how a bundle of different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affordances/constraints are actualised for the enactment of different knowledgeabilities across different project stages.</w:t>
      </w:r>
    </w:p>
    <w:p w14:paraId="16A6A697" w14:textId="1D11CECC" w:rsidR="0015201A" w:rsidRPr="00F153F6" w:rsidRDefault="0015201A" w:rsidP="004424B4">
      <w:pPr>
        <w:spacing w:line="360" w:lineRule="auto"/>
        <w:jc w:val="both"/>
        <w:rPr>
          <w:rFonts w:ascii="Times New Roman" w:eastAsiaTheme="minorEastAsia" w:hAnsi="Times New Roman" w:cs="Times New Roman"/>
          <w:b/>
          <w:bCs/>
          <w:sz w:val="24"/>
          <w:szCs w:val="24"/>
        </w:rPr>
      </w:pPr>
      <w:r w:rsidRPr="00F153F6">
        <w:rPr>
          <w:rFonts w:ascii="Times New Roman" w:eastAsiaTheme="minorEastAsia" w:hAnsi="Times New Roman" w:cs="Times New Roman"/>
          <w:b/>
          <w:bCs/>
          <w:sz w:val="24"/>
          <w:szCs w:val="24"/>
        </w:rPr>
        <w:t>Evolving Patterns of Inter-Organisational Collaboration Contexts</w:t>
      </w:r>
    </w:p>
    <w:p w14:paraId="608E2B65" w14:textId="5ECF842D"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The findings here uncovered diverse patterns </w:t>
      </w:r>
      <w:r w:rsidR="00A55433" w:rsidRPr="00F153F6">
        <w:rPr>
          <w:rFonts w:ascii="Times New Roman" w:eastAsiaTheme="minorEastAsia" w:hAnsi="Times New Roman" w:cs="Times New Roman"/>
          <w:sz w:val="24"/>
          <w:szCs w:val="24"/>
        </w:rPr>
        <w:t>across three contextual layers in the</w:t>
      </w:r>
      <w:r w:rsidRPr="00F153F6">
        <w:rPr>
          <w:rFonts w:ascii="Times New Roman" w:eastAsiaTheme="minorEastAsia" w:hAnsi="Times New Roman" w:cs="Times New Roman"/>
          <w:sz w:val="24"/>
          <w:szCs w:val="24"/>
        </w:rPr>
        <w:t xml:space="preserve"> context of ICT-based IOKE practice, which provides existing studies an integral perspective on contextual characteristics of ICT-based IOKE practice. Existing research often approaches the study of IOKE by merely being concerned with inter-organisational patterns </w:t>
      </w:r>
      <w:r w:rsidRPr="00F153F6">
        <w:rPr>
          <w:rFonts w:ascii="Times New Roman" w:eastAsiaTheme="minorEastAsia" w:hAnsi="Times New Roman" w:cs="Times New Roman"/>
          <w:sz w:val="24"/>
          <w:szCs w:val="24"/>
        </w:rPr>
        <w:fldChar w:fldCharType="begin"/>
      </w:r>
      <w:r w:rsidR="00B73834" w:rsidRPr="00F153F6">
        <w:rPr>
          <w:rFonts w:ascii="Times New Roman" w:eastAsiaTheme="minorEastAsia" w:hAnsi="Times New Roman" w:cs="Times New Roman"/>
          <w:sz w:val="24"/>
          <w:szCs w:val="24"/>
        </w:rPr>
        <w:instrText xml:space="preserve"> ADDIN ZOTERO_ITEM CSL_CITATION {"citationID":"PZWjCgWR","properties":{"formattedCitation":"(Al-Busaidi &amp; Olfman, 2017b; Blecker &amp; Neumann, 2000; Easterby\\uc0\\u8208{}Smith et al., 2008)","plainCitation":"(Al-Busaidi &amp; Olfman, 2017b; Blecker &amp; Neumann, 2000; Easterby‐Smith et al., 2008)","noteIndex":0},"citationItems":[{"id":17,"uris":["http://zotero.org/users/5709166/items/F9J6TPBM"],"itemData":{"id":17,"type":"article-journal","abstract":"Inter-organizational knowledge sharing systems (IOKSS) are crucial for scientific, social and economic development especially in knowledge-intensive sectors. Knowledge sharing processes and systems will not only be challenged by individual and organizational factors but also by social, technical and political inter-organizational factors. This paper aims to investigate the impact of knowledge worker, peer, IOKSS, organization and sector factors on knowledge workers’ intention to share knowledge through IOKSS. Knowledge workers are the key stakeholders that enable the survival of IOKSS.,Data were collected, through a questionnaire, from knowledge workers in the education and the health sectors.,This study found that the human factors (related to knowledge workers and their peers) have significant direct impact on intention to share knowledge through IOKSS. Other factors, such as IOKSS system, organization and sector factors showed indirect impacts on knowledge workers’ intention to share knowledge through IOKSS. Such investigation can be very valuable for developing countries as technological innovations such as IOKSS can be crucial for training and building human resources, and national knowledge management.,Little is empirically known about the enablers of sharing knowledge in systems that connect organizations in horizontal linkage in a specific sector or industry. The study also adds value to under investigated region.","archive_location":"world","container-title":"VINE Journal of Information and Knowledge Management Systems","DOI":"10.1108/VJIKMS-05-2016-0019","ISSN":"2059-5891","language":"en","note":"publisher: Emerald Publishing Limited","source":"www-emerald-com.sheffield.idm.oclc.org","title":"Knowledge sharing through inter-organizational knowledge sharing systems","URL":"https://www-emerald-com.sheffield.idm.oclc.org/insight/content/doi/10.1108/VJIKMS-05-2016-0019/full/html","author":[{"family":"Al-Busaidi","given":"Kamla Ali"},{"family":"Olfman","given":"Lorne"}],"accessed":{"date-parts":[["2021",2,25]]},"issued":{"date-parts":[["2017",2,13]]}}},{"id":2100,"uris":["http://zotero.org/users/5709166/items/788EA66A"],"itemData":{"id":2100,"type":"paper-conference","abstract":"Copyright © 2000, Idea Group Publishing. New organizational approaches like Virtual Organizations have the potential to provide the flexibility and to reduce the complexity and risk of management necessary to survive in the actual economic environment. A crucial factor for gaining and sustaining competitive advantages in the current economic environment is knowledge. The management of knowledge has been extensively discussed during the past few years. However, there is still a considerable lack of research that addresses innovative ways of managing the transfer of knowledge, best-practices and competence between organizations. In order to partially overcome these conceptual deficiencies we introduce the concept of an Interorganizational Knowledge Management and discuss its implications on knowledge oriented strategic management in Virtual Organizations.","DOI":"10.4018/978-1-930708-65-5.ch004","source":"Semantic Scholar","title":"Interorganizational Knowledge Management: Some Perspectives for Knowledge Oriented Strategic Management in Virtual Organizations","title-short":"Interorganizational Knowledge Management","author":[{"family":"Blecker","given":"Thorsten"},{"family":"Neumann","given":"Robert"}],"issued":{"date-parts":[["2000"]]}}},{"id":1806,"uris":["http://zotero.org/users/5709166/items/S6X663HN"],"itemData":{"id":1806,"type":"article-journal","abstract":"Many papers have been published recently in the fields of strategy and international business research incorporating the role of organizational knowledge as a basis of firm competitive advantage. While such knowledge is normally developed within the firm, it is important that firms possess the ability to learn from others in order to meet the increasing pace of competition. Knowledge transfer, defined here as an event through which one organization learns from the experience of another, has thus become an important research area within the broader domain of organizational learning and knowledge management. This paper presents a theoretical framework, identifies key themes covered by the six articles included in the Special Issue on Inter-Organizational Knowledge Transfer, and then discusses priorities for future research.","container-title":"Journal of Management Studies","DOI":"10.1111/j.1467-6486.2008.00773.x","ISSN":"1467-6486","issue":"4","language":"en","page":"677-690","source":"Wiley Online Library","title":"Inter-Organizational Knowledge Transfer: Current Themes and Future Prospects","title-short":"Inter-Organizational Knowledge Transfer","volume":"45","author":[{"family":"Easterby‐Smith","given":"Mark"},{"family":"Lyles","given":"Marjorie A."},{"family":"Tsang","given":"Eric W. K."}],"issued":{"date-parts":[["2008"]]}}}],"schema":"https://github.com/citation-style-language/schema/raw/master/csl-citation.json"}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00B73834" w:rsidRPr="00F153F6">
        <w:rPr>
          <w:rFonts w:ascii="Times New Roman" w:hAnsi="Times New Roman" w:cs="Times New Roman"/>
          <w:sz w:val="24"/>
          <w:szCs w:val="28"/>
        </w:rPr>
        <w:t>(Al-Busaidi &amp; Olfman, 2017; Blecker &amp; Neumann, 2000; Easterby‐Smith et al., 2008)</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However, the present </w:t>
      </w:r>
      <w:r w:rsidRPr="00F153F6">
        <w:rPr>
          <w:rFonts w:ascii="Times New Roman" w:eastAsiaTheme="minorEastAsia" w:hAnsi="Times New Roman" w:cs="Times New Roman"/>
          <w:sz w:val="24"/>
          <w:szCs w:val="24"/>
        </w:rPr>
        <w:lastRenderedPageBreak/>
        <w:t xml:space="preserve">study shows that ICT-based IOKE practice is embedded in triple contextual layers that also include an intra-organisational and wider environmental context. As Holmqvist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{"citationID":"A6OJjQrQ","properties":{"formattedCitation":"(2003)","plainCitation":"(2003)","noteIndex":0},"citationItems":[{"id":500,"uris":["http://zotero.org/users/5709166/items/NQ5XTXQN"],"itemData":{"id":500,"type":"article-journal","abstract":"Two themes characterize the organizational learning literature: one focuses on intra organizational learning processes, and another focuses on inter organizational learning processes. This article stresses the need to cross-fertilize these themes of organizational learning by proposing a dynamic model of organizational learning within and between organizations. This cross-fertilization is important in order to understand how organizations may cope with the fundamental organizational learning problem of addressing exploitation and exploration, i.e., to create both reliability and variety in experience. In this article it is proposed that exploitation and exploration occur both within and between organizations and that they are deeply interlaced through intra-and interorganizational learning processes.","container-title":"Organization Studies","DOI":"10.1177/0170840603024001684","ISSN":"0170-8406","issue":"1","journalAbbreviation":"Organization Studies","language":"en","page":"95-123","source":"SAGE Journals","title":"A Dynamic Model of Intra-and Interorganizational Learning","volume":"24","author":[{"family":"Holmqvist","given":"Mikael"}],"issued":{"date-parts":[["2003",1,1]]}},"label":"page","suppress-author":true}],"schema":"https://github.com/citation-style-language/schema/raw/master/csl-citation.json"}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(2003)</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argues, there is a dynamic relationship between intra and inter-organisational learning: they interactively support an actor’s learning process through knowledge exploration and exploitation. However, these studies have not yet specified how different contexts can be integrated into knowledgeable practices. The present study thus enriches this body of research by identifying how different ICT-mediated knowledgeabilities are enacted resulting from the effect of multiple contextual layers. </w:t>
      </w:r>
    </w:p>
    <w:p w14:paraId="7817EACC" w14:textId="1399B398"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The findings suggest an evolution of context for ICT-based IOKE practice, which contributes to existing research on understanding the dynamic contextual nature of knowledge exchange. Prior studies have shown that the context of ICT-mediated knowledgeable works are not immutable or rigid, but recurrently produced and reproduced in ongoing sociomaterial practices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{"citationID":"weKAX8a9","properties":{"formattedCitation":"(Gao, 2007; Giddens, 1984; Nicolini, 2016; Orlikowski, 2007)","plainCitation":"(Gao, 2007; Giddens, 1984; Nicolini, 2016; Orlikowski, 2007)","noteIndex":0},"citationItems":[{"id":10226,"uris":["http://zotero.org/users/5709166/items/4AGRU2RH"],"itemData":{"id":10226,"type":"article-journal","abstract":"Through a case study, this paper attempts to establish an argument that structuration theory is a suitable tool for analyzing the issue of knowledge and process management in a consortium. To do so, we first theoretically demonstrate that structuration theory can be linked with the theory of organizational knowledge creation, assuming that structure is a type of categorization of knowledge, and knowledge creation is a structuration process. We then use structuration theory to dissect a consortium designing mobile commerce services. The case study concludes that the structuration perspective enables researchers to expose the improvisatory mechanism of organizational knowledge creation, in which distributed tacit knowledge is crystallized into collective explicit knowledge. The empirical observation argues that a consortium should have a pre-project phase when a common vocabulary is developed and an integrator is introduced. The experience of our case consortium—that the white book has emerged as a tool of knowledge and process management—can be drawn upon by other cases. Copyright © 2007 John Wiley &amp; Sons, Ltd.","container-title":"Knowledge and Process Management","DOI":"10.1002/kpm.273","ISSN":"1099-1441","issue":"2","language":"en","note":"_eprint: https://onlinelibrary.wiley.com/doi/pdf/10.1002/kpm.273","page":"104-116","source":"Wiley Online Library","title":"Using structuration theory to analyze knowledge and process management in a consortium: a case study","title-short":"Using structuration theory to analyze knowledge and process management in a consortium","volume":"14","author":[{"family":"Gao","given":"Ping"}],"issued":{"date-parts":[["2007"]]}}},{"id":155,"uris":["http://zotero.org/users/5709166/items/F6NKRYDB"],"itemData":{"id":155,"type":"book","abstract":"Anthony Giddens has been in the forefront of developments in social theory for the past decade. In \"The Constitution of Society\" he outlines the distinctive position he has evolved during that period and offers a full statement of a major new perspective in social thought, a synthesis and elaboration of ideas touched on in previous works but described here for the first time in an integrated and comprehensive form. A particular feature is Giddens's concern to connect abstract problems of theory to an interpretation of the nature of empirical method in the social sciences. In presenting his own ideas, Giddens mounts a critical attack on some of the more orthodox sociological views. \"The Constitution of Society\" is an invaluable reference book for all those concerned with the basic issues in contemporary social theory.","ISBN":"978-0-520-05292-5","language":"en","note":"Google-Books-ID: x2bf4g9Z6ZwC","number-of-pages":"448","publisher":"University of California Press","source":"Google Books","title":"The Constitution of Society: Outline of the Theory of Structuration","title-short":"The Constitution of Society","author":[{"family":"Giddens","given":"Anthony"}],"issued":{"date-parts":[["1984"]]}}},{"id":2550,"uris":["http://zotero.org/users/5709166/items/467Q4RTU"],"itemData":{"id":2550,"type":"book","abstract":"This work explores the relationship among knowing, learning, and practice in the development of organizational knowledge. It explores the implications for intervention growing out of the notion that organizational knowledge cannot be conceived as a mental process residing in members' heads.","event-place":"New York","ISBN":"978-1-315-29097-3","note":"DOI: 10.4324/9781315290973","number-of-pages":"280","publisher":"Routledge","publisher-place":"New York","title":"Knowing in Organizations: A Practice-Based Approach: A Practice-Based Approach","title-short":"Knowing in Organizations","author":[{"family":"Nicolini","given":"Davide"}],"issued":{"date-parts":[["2016",8,5]]}}},{"id":160,"uris":["http://zotero.org/users/5709166/items/JBFUSMSV"],"itemData":{"id":160,"type":"article-journal","abstract":"In this essay, I begin with the premise that everyday organizing is inextricably bound up with materiality and contend that this relationship is inadequately reflected in organizational studies that tend to ignore it, take it for granted, or treat it as a special case. The result is an understanding of organizing and its conditions and consequences that is necessarily limited. I then argue for an alternative approach, one that posits the constitutive entanglement of the social and the material in everyday life. I draw on some empirical examples to help ground and illustrate this approach in practice and conclude by suggesting that a reconfiguration of our conventional assumptions and considerations of materiality will help us more effectively recognize and understand the multiple, emergent, and shifting sociomaterial assemblages entailed in contemporary organizing.","container-title":"Organization Studies","DOI":"10.1177/0170840607081138","ISSN":"0170-8406","issue":"9","journalAbbreviation":"Organization Studies","note":"publisher: SAGE Publications Ltd","page":"1435-1448","source":"SAGE Journals","title":"Sociomaterial Practices: Exploring Technology at Work","title-short":"Sociomaterial Practices","volume":"28","author":[{"family":"Orlikowski","given":"Wanda J."}],"issued":{"date-parts":[["2007",9,1]]}}}],"schema":"https://github.com/citation-style-language/schema/raw/master/csl-citation.json"}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(Gao, 2007; Giddens, 1984; Nicolini, 2016; Orlikowski, 2007)</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This indicates a potential evolution of context as people develop their practices over time. However, these aforementioned studies have not yet delineated how these contexts may change or evolve. The present study identifies that the patterns of ICT-based IOKE practice contexts co-evolve with actors’ knowledgeabilities and their actualised ICT affordances/constraints, which provide significant implications on understanding the dynamic contextual nature of ICT-based IOKE practice. Thereby, such findings illuminate a salient area which calls for future research to investigate on such an evolution of ICT-based IOKE practice contexts. </w:t>
      </w:r>
    </w:p>
    <w:p w14:paraId="7821E9D3" w14:textId="4C5374E9"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Furthermore, prior studies often focused on co-creation as a context or event (e.g., a project phase, a workshop,</w:t>
      </w:r>
      <w:r w:rsidR="00A55433" w:rsidRPr="00F153F6">
        <w:rPr>
          <w:rFonts w:ascii="Times New Roman" w:eastAsiaTheme="minorEastAsia" w:hAnsi="Times New Roman" w:cs="Times New Roman"/>
          <w:sz w:val="24"/>
          <w:szCs w:val="24"/>
        </w:rPr>
        <w:t xml:space="preserve"> or</w:t>
      </w:r>
      <w:r w:rsidRPr="00F153F6">
        <w:rPr>
          <w:rFonts w:ascii="Times New Roman" w:eastAsiaTheme="minorEastAsia" w:hAnsi="Times New Roman" w:cs="Times New Roman"/>
          <w:sz w:val="24"/>
          <w:szCs w:val="24"/>
        </w:rPr>
        <w:t xml:space="preserve"> a session) within which actors exchange knowledge. This views advocates that scholars can assess the performance of the co-creation event in order to evaluate the success of knowledge management or innovation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{"citationID":"MB4cTRWX","properties":{"formattedCitation":"(Carlsen et al., 2014; Cunliffe &amp; Scaratti, 2017)","plainCitation":"(Carlsen et al., 2014; Cunliffe &amp; Scaratti, 2017)","noteIndex":0},"citationItems":[{"id":10123,"uris":["http://zotero.org/users/5709166/items/URKPSK5A"],"itemData":{"id":10123,"type":"article-journal","abstract":"How can collaborative artifacts mediate processes of researcher?practitioner interactions to make research more co-generative? Research on knowledge co-production has paid little attention to how joint theory building is socio-materially mediated and tends to downplay discovery and wonder as sources of generativity. This article provides an empirical investigation of the use of thin categories on hard-copy A5 cards, combining brief texts and images to communicate tentative theoretical categories and involve practitioners in theorizing. Playing these cards opened up a new discursive space in the dialogue, making it an event of tactile engagement, ludic interaction, and power symmetry. We discuss how the transformed dialogue can be understood as processes of (a) dealing?touching?receiving collaborative artifacts that invite participants into rating, comparing, and combining, and (b) thickening of thin categories by recognition/appropriation and expansion/search. The article implicates a new vocabulary for mediating collaborative research, combining visual and material elements with notions of social poetics.","container-title":"Journal of Management Inquiry","DOI":"10.1177/1056492613511152","ISSN":"1056-4926","issue":"3","journalAbbreviation":"Journal of Management Inquiry","note":"publisher: SAGE Publications Inc","page":"294-313","source":"SAGE Journals","title":"Playing the Cards: Using Collaborative Artifacts With Thin Categories to Make Research Co-Generative","title-short":"Playing the Cards","volume":"23","author":[{"family":"Carlsen","given":"Arne"},{"family":"Rudningen","given":"Gudrun"},{"family":"Mortensen","given":"Tord F."}],"issued":{"date-parts":[["2014",7,1]]}}},{"id":10120,"uris":["http://zotero.org/users/5709166/items/745URJE8"],"itemData":{"id":10120,"type":"article-journal","abstract":"This paper explores how we can embed impact in research to generate socially useful knowledge. Our contribution lies in proposing a form of engaged research that draws upon situated knowledge and encompasses dialogical sensemaking as a way of making experience sensible in collaborative researcher−practitioner conversations. We draw attention to the intricacies of doing socially useful research and illustrate how five conversational resources can be used within dialogical sensemaking through an example of a research project in which impact and relevance were embedded and where researchers and practitioners worked together to resolve an important social and organizational issue.","container-title":"British Journal of Management","DOI":"10.1111/1467-8551.12204","ISSN":"1467-8551","issue":"1","language":"en","note":"_eprint: https://onlinelibrary.wiley.com/doi/pdf/10.1111/1467-8551.12204","page":"29-44","source":"Wiley Online Library","title":"Embedding Impact in Engaged Research: Developing Socially Useful Knowledge through Dialogical Sensemaking","title-short":"Embedding Impact in Engaged Research","volume":"28","author":[{"family":"Cunliffe","given":"Ann L."},{"family":"Scaratti","given":"Giuseppe"}],"issued":{"date-parts":[["2017"]]}}}],"schema":"https://github.com/citation-style-language/schema/raw/master/csl-citation.json"}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(Carlsen et al., 2014; Cunliffe &amp; Scaratti, 2017)</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especially in Living Lab contexts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{"citationID":"23R2baot","properties":{"formattedCitation":"(Hagy et al., 2017)","plainCitation":"(Hagy et al., 2017)","noteIndex":0},"citationItems":[{"id":10125,"uris":["http://zotero.org/users/5709166/items/7T7RJTLS"],"itemData":{"id":10125,"type":"chapter","abstract":"Living Labs are places for open innovation where co-creation is a method for addressing real-life issues through the attribution of knowledge from science and society, the latter being a form of transdisciplinary social learning. In a Living Lab the representatives from business, society and academia, as well as citizens, have different value perceptions and propositions, providing heterogeneity across the stakeholder value spectrum. This provides a rich set of ideas and values for co-creation which can be used for both the operational phase and the integral shaping and creating the design for the physical infrastructure of the Living Lab itself. The use of co-creation workshops are demonstrated for ideation amongst the stakeholders for the HSB Living Lab. This is exemplified in the development of the social washing room which will be prototyped and tested in a fit-for-purpose multifunctional design space.","container-title":"Living Labs: Design and Assessment of Sustainable Living","event-place":"Cham","ISBN":"978-3-319-33527-8","language":"en","note":"DOI: 10.1007/978-3-319-33527-8_13","page":"169-178","publisher":"Springer International Publishing","publisher-place":"Cham","source":"Springer Link","title":"Co-creation in Living Labs","URL":"https://doi.org/10.1007/978-3-319-33527-8_13","author":[{"family":"Hagy","given":"Shea"},{"family":"Morrison","given":"Gregory M."},{"family":"Elfstrand","given":"Peter"}],"editor":[{"family":"Keyson","given":"David V."},{"family":"Guerra-Santin","given":"Olivia"},{"family":"Lockton","given":"Dan"}],"accessed":{"date-parts":[["2022",8,20]]},"issued":{"date-parts":[["2017"]]}}}],"schema":"https://github.com/citation-style-language/schema/raw/master/csl-citation.json"}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(Hagy et al., 2017)</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However, this focus risks emphasising such events as the sole knowledge co-creation activities and neglecting other project events as valuable knowledge co-creation activities. Contrary to that, Sharma and Bansal </w:t>
      </w:r>
      <w:r w:rsidRPr="00F153F6">
        <w:rPr>
          <w:rFonts w:ascii="Times New Roman" w:eastAsiaTheme="minorEastAsia" w:hAnsi="Times New Roman" w:cs="Times New Roman"/>
          <w:sz w:val="24"/>
          <w:szCs w:val="24"/>
        </w:rPr>
        <w:fldChar w:fldCharType="begin"/>
      </w:r>
      <w:r w:rsidR="00B73834" w:rsidRPr="00F153F6">
        <w:rPr>
          <w:rFonts w:ascii="Times New Roman" w:eastAsiaTheme="minorEastAsia" w:hAnsi="Times New Roman" w:cs="Times New Roman"/>
          <w:sz w:val="24"/>
          <w:szCs w:val="24"/>
        </w:rPr>
        <w:instrText xml:space="preserve"> ADDIN ZOTERO_ITEM CSL_CITATION {"citationID":"FbuC0xK0","properties":{"formattedCitation":"(2020)","plainCitation":"(2020)","dontUpdate":true,"noteIndex":0},"citationItems":[{"id":10118,"uris":["http://zotero.org/users/5709166/items/NDKWAV9L"],"itemData":{"id":10118,"type":"article-journal","abstract":"The communities of research and practice are embedded in different knowledge systems; research favors rigor, while practice favors relevance. Many management scholars have concluded that cocreating knowledge with these two knowledge systems is difficult and rare, with such criticisms or reservations often being based on an event-based account of cocreation in which the cocreation activities occur over a distinct period of time with a clear beginning and end. However, event-based accounts bring the challenges of cocreation into focus. In the present research, we have assumed a process ontology, which brings the dynamics into focus and recognizes that cocreation is continuous. We observed two projects in which researchers and managers collaborated to generate knowledge related to business sustainability, and conducted 67 interviews with 47 participants in similar projects. We found that, by making the process explicit, participants were better able to cocreate knowledge. Furthermore, we identified two devices that helped to make the process explicit: (1) making temporal connections between events and (2) recognizing the incompleteness of the objects. Our study contributes to prior research on cocreation by showing that cocreation occurs not just within events but also between events, so that rigor and relevance are imbricated over time.","container-title":"Academy of Management Journal","DOI":"10.5465/amj.2016.0487","ISSN":"00014273","issue":"2","note":"publisher: Academy of Management","page":"386-410","source":"EBSCOhost","title":"Cocreating Rigorous and Relevant Knowledge","volume":"63","author":[{"family":"Sharma","given":"Garima"},{"family":"Bansal","given":"Pratima (Tima)"}],"issued":{"date-parts":[["2020",4]]}},"label":"page","suppress-author":true}],"schema":"https://github.com/citation-style-language/schema/raw/master/csl-citation.json"}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(2020, p. 401)</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adopt a process ontology perspective and describe co-creation as “a continuous process that is always becoming” throughout the project. Indeed, the practice perspective adopted in this study indicates that knowledge co-creation as a co-creating knowledgeability can be enacted across all stages of the project, allowing actors to develop their knowing on how to stimulate creativity. Therefore, this study contributes to the co-creation studies by capturing the full picture of knowledge co-creation process and shows that </w:t>
      </w:r>
      <w:r w:rsidRPr="00F153F6">
        <w:rPr>
          <w:rFonts w:ascii="Times New Roman" w:eastAsiaTheme="minorEastAsia" w:hAnsi="Times New Roman" w:cs="Times New Roman"/>
          <w:sz w:val="24"/>
          <w:szCs w:val="24"/>
        </w:rPr>
        <w:lastRenderedPageBreak/>
        <w:t xml:space="preserve">such co-creating is always accomplished in practice and thus can take place at any stage of the project. This is possible despite its patterns varying across different project stages according to the actors’ intentions and interactions as the project progresses. </w:t>
      </w:r>
    </w:p>
    <w:p w14:paraId="4E2846F6" w14:textId="68C582DB"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This study also contends that there is a temporal dimension that is rooted in the context of ICT-based IOKE practice. The fact that organisations jointly engage in ICT-based IOKE practice usually takes place within a fixed time frame </w:t>
      </w:r>
      <w:r w:rsidRPr="00F153F6">
        <w:rPr>
          <w:rFonts w:ascii="Times New Roman" w:eastAsiaTheme="minorEastAsia" w:hAnsi="Times New Roman" w:cs="Times New Roman"/>
          <w:sz w:val="24"/>
          <w:szCs w:val="24"/>
        </w:rPr>
        <w:fldChar w:fldCharType="begin"/>
      </w:r>
      <w:r w:rsidR="005E4052" w:rsidRPr="00F153F6">
        <w:rPr>
          <w:rFonts w:ascii="Times New Roman" w:eastAsiaTheme="minorEastAsia" w:hAnsi="Times New Roman" w:cs="Times New Roman"/>
          <w:sz w:val="24"/>
          <w:szCs w:val="24"/>
        </w:rPr>
        <w:instrText xml:space="preserve"> ADDIN ZOTERO_ITEM CSL_CITATION {"citationID":"iogR0Ghx","properties":{"formattedCitation":"(Iacono et al., 2012; Jones &amp; Lichtenstein, 2008)","plainCitation":"(Iacono et al., 2012; Jones &amp; Lichtenstein, 2008)","noteIndex":0},"citationItems":[{"id":1825,"uris":["http://zotero.org/users/5709166/items/QTWLKB8J"],"itemData":{"id":1825,"type":"article-journal","abstract":"Purpose - The main purpose of the paper is to explore the relationship between the design of inter-organizational connections, the processes for knowledge creation and transfer, and innovation. The study aims to focus on the partnership between Firema, a medium-large Italian company in the rail industry sector, and TEST, a research consortium. Design/methodology/approach - The coordination model defining the cooperative relationship is interpreted in the temporary project network (TPN) framework. In applying the methodology of case study analysis, a semi-structured in-depth interview was used as a tool and, in particular, interviews aimed at privileged observers. Findings - TEST, acting as a meta-organizer, has the crucial role of organizing, governing and tuning the network of university departments, in synergy with Firema. The analysis draws attention to the possibility that TPNs are embedded in \"latent networks\", in which inter-organizational ties are routinely activated in order to accomplish a specific project. Practical implications - The authors provide a pragmatic description of the TPN-related innovation activities and this may be valuable for managers and/or policy makers who wish to know about best practices in organizing networks directed to innovation. Practical considerations and methods that increase knowledge transfer while minimizing inter-organizational coordination costs are explored. Originality/value - This study was able to expand the understanding of TPNs in two respects. First, only a few studies have adopted the TPN framework to investigate the inter-organizational coordination mechanisms among small or medium organizations. Second, the findings related to the TPN structural properties - time, team, task and context - deviate from how some have framed the ideal type TPN as in most senses unique, solving one-off tasks between relative strangers.","container-title":"Journal of Knowledge Management; Kempston","DOI":"http://dx.doi.org.sheffield.idm.oclc.org/10.1108/13673271211246176","ISSN":"13673270","issue":"4","language":"English","license":"Copyright Emerald Group Publishing Limited 2012","page":"604-616","source":"ProQuest","title":"Knowledge creation and inter-organizational relationships: the development of innovation in the railway industry","title-short":"Knowledge creation and inter-organizational relationships","volume":"16","author":[{"family":"Iacono","given":"Mario Pezzillo"},{"family":"Martinez","given":"Marcello"},{"family":"Mangia","given":"Gianluigi"},{"family":"Galdiero","given":"Caterina"}],"issued":{"date-parts":[["2012"]]}}},{"id":10376,"uris":["http://zotero.org/users/5709166/items/VZDW68AD"],"itemData":{"id":10376,"type":"chapter","abstract":"Inter-organizational projects (IOPs), in which multiple organizations work jointly on a shared activity for a limited period of time, are increasingly used to coordinate complex products/services in uncertain and competitive environments. For some time, project management researchers have examined the structures and processes within intra-organizational projects that lead to their success, and recently some outlines of a ‘theory’ of organizational projects have been offered. This article begins by defining IOPs. It then describes how temporal embeddedness and social embeddedness provide specific mechanisms for managing uncertainty associated with these projects, and facilitating collaboration amongst project actors. Next, it illustrates the insights by combining these two dimensions and exploring them across four contexts within which IOPs are the dominant form of coordination among organizations, including film, architecture, crisis response, and large-scale engineering infrastructure. Finally, it offers suggestions for future research and conclusions.","container-title":"The Oxford Handbook of Inter-Organizational Relations","ISBN":"978-0-19-928294-4","note":"DOI: 10.1093/oxfordhb/9780199282944.003.0009","page":"0","publisher":"Oxford University Press","source":"Silverchair","title":"Temporary Inter‐organizational Projects: How Temporal and Social Embeddedness Enhance Coordination and Manage Uncertainty","title-short":"Temporary Inter‐organizational Projects","URL":"https://doi.org/10.1093/oxfordhb/9780199282944.003.0009","author":[{"family":"Jones","given":"Candace"},{"family":"Lichtenstein","given":"Benyamin B."}],"editor":[{"family":"Cropper","given":"Steve"},{"family":"Huxham","given":"Chris"},{"family":"Ebers","given":"Mark"},{"family":"Ring","given":"Peter Smith"}],"accessed":{"date-parts":[["2022",11,3]]},"issued":{"date-parts":[["2008",6,19]]}}}],"schema":"https://github.com/citation-style-language/schema/raw/master/csl-citation.json"}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005E4052" w:rsidRPr="00F153F6">
        <w:rPr>
          <w:rFonts w:ascii="Times New Roman" w:hAnsi="Times New Roman" w:cs="Times New Roman"/>
          <w:sz w:val="24"/>
          <w:szCs w:val="24"/>
        </w:rPr>
        <w:t>(Iacono et al., 2012; Jones &amp; Lichtenstein, 2008)</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In the present study, the practice can usually only be identified in project-based settings where a fixed duration of the project is determined at the beginning. Such a dimension is essential for understanding the dynamic nature of ICT-based IOKE practice, because as much as actors know their stage across the fixed temporal duration, they also know how to manage their ICT-based IOKE practice for different stage. The proposed frameworks also only make sense when such a temporal dimension has been taken into account such that different project stages across its lifecycle can provide different contexts and enact different knowledgeabilities. Such findings contribute to existing research by identifying a temporal dimension as another potentially important contextual factor that affects ICT-based IOKE practice and thus raise future research attention. </w:t>
      </w:r>
    </w:p>
    <w:p w14:paraId="7C3A08E9" w14:textId="236A0E6F" w:rsidR="00AC5AB3" w:rsidRPr="00F153F6" w:rsidRDefault="00A235AB" w:rsidP="004424B4">
      <w:pPr>
        <w:spacing w:line="360" w:lineRule="auto"/>
        <w:jc w:val="both"/>
        <w:rPr>
          <w:rFonts w:ascii="Times New Roman" w:eastAsiaTheme="minorEastAsia" w:hAnsi="Times New Roman" w:cs="Times New Roman"/>
          <w:b/>
          <w:bCs/>
          <w:sz w:val="24"/>
          <w:szCs w:val="24"/>
        </w:rPr>
      </w:pPr>
      <w:r w:rsidRPr="00F153F6">
        <w:rPr>
          <w:rFonts w:ascii="Times New Roman" w:eastAsiaTheme="minorEastAsia" w:hAnsi="Times New Roman" w:cs="Times New Roman"/>
          <w:b/>
          <w:bCs/>
          <w:sz w:val="24"/>
          <w:szCs w:val="24"/>
        </w:rPr>
        <w:t>A</w:t>
      </w:r>
      <w:r w:rsidR="00AA2EEC" w:rsidRPr="00F153F6">
        <w:rPr>
          <w:rFonts w:ascii="Times New Roman" w:eastAsiaTheme="minorEastAsia" w:hAnsi="Times New Roman" w:cs="Times New Roman"/>
          <w:b/>
          <w:bCs/>
          <w:sz w:val="24"/>
          <w:szCs w:val="24"/>
        </w:rPr>
        <w:t xml:space="preserve"> </w:t>
      </w:r>
      <w:r w:rsidR="00AC5AB3" w:rsidRPr="00F153F6">
        <w:rPr>
          <w:rFonts w:ascii="Times New Roman" w:eastAsiaTheme="minorEastAsia" w:hAnsi="Times New Roman" w:cs="Times New Roman"/>
          <w:b/>
          <w:bCs/>
          <w:sz w:val="24"/>
          <w:szCs w:val="24"/>
        </w:rPr>
        <w:t>Co-evolutionary Nature</w:t>
      </w:r>
      <w:r w:rsidR="00AA2EEC" w:rsidRPr="00F153F6">
        <w:rPr>
          <w:rFonts w:ascii="Times New Roman" w:eastAsiaTheme="minorEastAsia" w:hAnsi="Times New Roman" w:cs="Times New Roman"/>
          <w:b/>
          <w:bCs/>
          <w:sz w:val="24"/>
          <w:szCs w:val="24"/>
        </w:rPr>
        <w:t xml:space="preserve"> of ICT-based IOKE</w:t>
      </w:r>
      <w:r w:rsidRPr="00F153F6">
        <w:rPr>
          <w:rFonts w:ascii="Times New Roman" w:eastAsiaTheme="minorEastAsia" w:hAnsi="Times New Roman" w:cs="Times New Roman"/>
          <w:b/>
          <w:bCs/>
          <w:sz w:val="24"/>
          <w:szCs w:val="24"/>
        </w:rPr>
        <w:t xml:space="preserve">: Towards </w:t>
      </w:r>
      <w:r w:rsidR="00F4778A" w:rsidRPr="00F153F6">
        <w:rPr>
          <w:rFonts w:ascii="Times New Roman" w:eastAsiaTheme="minorEastAsia" w:hAnsi="Times New Roman" w:cs="Times New Roman"/>
          <w:b/>
          <w:bCs/>
          <w:sz w:val="24"/>
          <w:szCs w:val="24"/>
        </w:rPr>
        <w:t>an</w:t>
      </w:r>
      <w:r w:rsidRPr="00F153F6">
        <w:rPr>
          <w:rFonts w:ascii="Times New Roman" w:eastAsiaTheme="minorEastAsia" w:hAnsi="Times New Roman" w:cs="Times New Roman"/>
          <w:b/>
          <w:bCs/>
          <w:sz w:val="24"/>
          <w:szCs w:val="24"/>
        </w:rPr>
        <w:t xml:space="preserve"> </w:t>
      </w:r>
      <w:r w:rsidR="00F4778A" w:rsidRPr="00F153F6">
        <w:rPr>
          <w:rFonts w:ascii="Times New Roman" w:eastAsiaTheme="minorEastAsia" w:hAnsi="Times New Roman" w:cs="Times New Roman"/>
          <w:b/>
          <w:bCs/>
          <w:sz w:val="24"/>
          <w:szCs w:val="24"/>
        </w:rPr>
        <w:t>Evolving</w:t>
      </w:r>
      <w:r w:rsidRPr="00F153F6">
        <w:rPr>
          <w:rFonts w:ascii="Times New Roman" w:eastAsiaTheme="minorEastAsia" w:hAnsi="Times New Roman" w:cs="Times New Roman"/>
          <w:b/>
          <w:bCs/>
          <w:sz w:val="24"/>
          <w:szCs w:val="24"/>
        </w:rPr>
        <w:t xml:space="preserve"> Dynamics</w:t>
      </w:r>
      <w:r w:rsidR="00AA2EEC" w:rsidRPr="00F153F6">
        <w:rPr>
          <w:rFonts w:ascii="Times New Roman" w:eastAsiaTheme="minorEastAsia" w:hAnsi="Times New Roman" w:cs="Times New Roman"/>
          <w:b/>
          <w:bCs/>
          <w:sz w:val="24"/>
          <w:szCs w:val="24"/>
        </w:rPr>
        <w:t xml:space="preserve"> </w:t>
      </w:r>
    </w:p>
    <w:p w14:paraId="45992463" w14:textId="6DA35C32" w:rsidR="00093002" w:rsidRPr="00F153F6" w:rsidRDefault="00AA2EEC"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As discussed above, the diverse and evolving patterns of knowledgeability, ICT affordance and constraints, and the context have constitute</w:t>
      </w:r>
      <w:r w:rsidR="00526880" w:rsidRPr="00F153F6">
        <w:rPr>
          <w:rFonts w:ascii="Times New Roman" w:eastAsiaTheme="minorEastAsia" w:hAnsi="Times New Roman" w:cs="Times New Roman"/>
          <w:sz w:val="24"/>
          <w:szCs w:val="24"/>
        </w:rPr>
        <w:t>d</w:t>
      </w:r>
      <w:r w:rsidRPr="00F153F6">
        <w:rPr>
          <w:rFonts w:ascii="Times New Roman" w:eastAsiaTheme="minorEastAsia" w:hAnsi="Times New Roman" w:cs="Times New Roman"/>
          <w:sz w:val="24"/>
          <w:szCs w:val="24"/>
        </w:rPr>
        <w:t xml:space="preserve"> a dynamic nature of ICT-based IOKE practice. More importantly, these </w:t>
      </w:r>
      <w:r w:rsidR="00487A7C" w:rsidRPr="00F153F6">
        <w:rPr>
          <w:rFonts w:ascii="Times New Roman" w:eastAsiaTheme="minorEastAsia" w:hAnsi="Times New Roman" w:cs="Times New Roman"/>
          <w:sz w:val="24"/>
          <w:szCs w:val="24"/>
        </w:rPr>
        <w:t xml:space="preserve">elements do not change solely; rather, they co-evolve together over time as inter-organisational collaboration is moving forward. </w:t>
      </w:r>
      <w:r w:rsidR="004202E6" w:rsidRPr="00F153F6">
        <w:rPr>
          <w:rFonts w:ascii="Times New Roman" w:eastAsiaTheme="minorEastAsia" w:hAnsi="Times New Roman" w:cs="Times New Roman"/>
          <w:sz w:val="24"/>
          <w:szCs w:val="24"/>
        </w:rPr>
        <w:t xml:space="preserve">For example, the present study shows that core knowledgeabilities for pursuing project goals </w:t>
      </w:r>
      <w:r w:rsidR="00666755" w:rsidRPr="00F153F6">
        <w:rPr>
          <w:rFonts w:ascii="Times New Roman" w:eastAsiaTheme="minorEastAsia" w:hAnsi="Times New Roman" w:cs="Times New Roman"/>
          <w:sz w:val="24"/>
          <w:szCs w:val="24"/>
        </w:rPr>
        <w:t>evolve</w:t>
      </w:r>
      <w:r w:rsidR="004202E6" w:rsidRPr="00F153F6">
        <w:rPr>
          <w:rFonts w:ascii="Times New Roman" w:eastAsiaTheme="minorEastAsia" w:hAnsi="Times New Roman" w:cs="Times New Roman"/>
          <w:sz w:val="24"/>
          <w:szCs w:val="24"/>
        </w:rPr>
        <w:t xml:space="preserve"> across different</w:t>
      </w:r>
      <w:r w:rsidR="00487A7C" w:rsidRPr="00F153F6">
        <w:rPr>
          <w:rFonts w:ascii="Times New Roman" w:eastAsiaTheme="minorEastAsia" w:hAnsi="Times New Roman" w:cs="Times New Roman"/>
          <w:sz w:val="24"/>
          <w:szCs w:val="24"/>
        </w:rPr>
        <w:t xml:space="preserve"> collaboration stage</w:t>
      </w:r>
      <w:r w:rsidR="008B77BE" w:rsidRPr="00F153F6">
        <w:rPr>
          <w:rFonts w:ascii="Times New Roman" w:eastAsiaTheme="minorEastAsia" w:hAnsi="Times New Roman" w:cs="Times New Roman"/>
          <w:sz w:val="24"/>
          <w:szCs w:val="24"/>
        </w:rPr>
        <w:t xml:space="preserve">s. At the same time, the bundle of ICT affordances/constraints that facilitates or inhibits each core knowledgeability and the contexts that underpin the constitution of knowledgeability and ICT also </w:t>
      </w:r>
      <w:r w:rsidR="00666755" w:rsidRPr="00F153F6">
        <w:rPr>
          <w:rFonts w:ascii="Times New Roman" w:eastAsiaTheme="minorEastAsia" w:hAnsi="Times New Roman" w:cs="Times New Roman"/>
          <w:sz w:val="24"/>
          <w:szCs w:val="24"/>
        </w:rPr>
        <w:t>evolve</w:t>
      </w:r>
      <w:r w:rsidR="008B77BE" w:rsidRPr="00F153F6">
        <w:rPr>
          <w:rFonts w:ascii="Times New Roman" w:eastAsiaTheme="minorEastAsia" w:hAnsi="Times New Roman" w:cs="Times New Roman"/>
          <w:sz w:val="24"/>
          <w:szCs w:val="24"/>
        </w:rPr>
        <w:t xml:space="preserve"> </w:t>
      </w:r>
      <w:r w:rsidR="00666755" w:rsidRPr="00F153F6">
        <w:rPr>
          <w:rFonts w:ascii="Times New Roman" w:eastAsiaTheme="minorEastAsia" w:hAnsi="Times New Roman" w:cs="Times New Roman"/>
          <w:sz w:val="24"/>
          <w:szCs w:val="24"/>
        </w:rPr>
        <w:t>as</w:t>
      </w:r>
      <w:r w:rsidR="008B77BE" w:rsidRPr="00F153F6">
        <w:rPr>
          <w:rFonts w:ascii="Times New Roman" w:eastAsiaTheme="minorEastAsia" w:hAnsi="Times New Roman" w:cs="Times New Roman"/>
          <w:sz w:val="24"/>
          <w:szCs w:val="24"/>
        </w:rPr>
        <w:t xml:space="preserve"> core knowledgeabilit</w:t>
      </w:r>
      <w:r w:rsidR="00666755" w:rsidRPr="00F153F6">
        <w:rPr>
          <w:rFonts w:ascii="Times New Roman" w:eastAsiaTheme="minorEastAsia" w:hAnsi="Times New Roman" w:cs="Times New Roman"/>
          <w:sz w:val="24"/>
          <w:szCs w:val="24"/>
        </w:rPr>
        <w:t>ies</w:t>
      </w:r>
      <w:r w:rsidR="008B77BE" w:rsidRPr="00F153F6">
        <w:rPr>
          <w:rFonts w:ascii="Times New Roman" w:eastAsiaTheme="minorEastAsia" w:hAnsi="Times New Roman" w:cs="Times New Roman"/>
          <w:sz w:val="24"/>
          <w:szCs w:val="24"/>
        </w:rPr>
        <w:t xml:space="preserve"> change.</w:t>
      </w:r>
      <w:r w:rsidR="00E54282" w:rsidRPr="00F153F6">
        <w:rPr>
          <w:rFonts w:ascii="Times New Roman" w:eastAsiaTheme="minorEastAsia" w:hAnsi="Times New Roman" w:cs="Times New Roman"/>
          <w:sz w:val="24"/>
          <w:szCs w:val="24"/>
        </w:rPr>
        <w:t xml:space="preserve"> </w:t>
      </w:r>
      <w:r w:rsidR="00E54282" w:rsidRPr="00F153F6">
        <w:rPr>
          <w:rFonts w:ascii="Times New Roman" w:eastAsiaTheme="minorEastAsia" w:hAnsi="Times New Roman" w:cs="Times New Roman"/>
          <w:sz w:val="24"/>
          <w:szCs w:val="24"/>
          <w:lang w:eastAsia="zh-CN"/>
        </w:rPr>
        <w:t>S</w:t>
      </w:r>
      <w:r w:rsidR="00E54282" w:rsidRPr="00F153F6">
        <w:rPr>
          <w:rFonts w:ascii="Times New Roman" w:eastAsiaTheme="minorEastAsia" w:hAnsi="Times New Roman" w:cs="Times New Roman"/>
          <w:sz w:val="24"/>
          <w:szCs w:val="24"/>
        </w:rPr>
        <w:t>uch co-evolution among</w:t>
      </w:r>
      <w:r w:rsidR="00666755" w:rsidRPr="00F153F6">
        <w:rPr>
          <w:rFonts w:ascii="Times New Roman" w:eastAsiaTheme="minorEastAsia" w:hAnsi="Times New Roman" w:cs="Times New Roman"/>
          <w:sz w:val="24"/>
          <w:szCs w:val="24"/>
        </w:rPr>
        <w:t xml:space="preserve"> knowledgeability, ICT</w:t>
      </w:r>
      <w:r w:rsidR="00AB264C" w:rsidRPr="00F153F6">
        <w:rPr>
          <w:rFonts w:ascii="Times New Roman" w:eastAsiaTheme="minorEastAsia" w:hAnsi="Times New Roman" w:cs="Times New Roman"/>
          <w:sz w:val="24"/>
          <w:szCs w:val="24"/>
        </w:rPr>
        <w:t xml:space="preserve"> affordances and constrain</w:t>
      </w:r>
      <w:r w:rsidR="00C83188" w:rsidRPr="00F153F6">
        <w:rPr>
          <w:rFonts w:ascii="Times New Roman" w:eastAsiaTheme="minorEastAsia" w:hAnsi="Times New Roman" w:cs="Times New Roman"/>
          <w:sz w:val="24"/>
          <w:szCs w:val="24"/>
        </w:rPr>
        <w:t>t</w:t>
      </w:r>
      <w:r w:rsidR="00AB264C" w:rsidRPr="00F153F6">
        <w:rPr>
          <w:rFonts w:ascii="Times New Roman" w:eastAsiaTheme="minorEastAsia" w:hAnsi="Times New Roman" w:cs="Times New Roman"/>
          <w:sz w:val="24"/>
          <w:szCs w:val="24"/>
        </w:rPr>
        <w:t>s</w:t>
      </w:r>
      <w:r w:rsidR="00666755" w:rsidRPr="00F153F6">
        <w:rPr>
          <w:rFonts w:ascii="Times New Roman" w:eastAsiaTheme="minorEastAsia" w:hAnsi="Times New Roman" w:cs="Times New Roman"/>
          <w:sz w:val="24"/>
          <w:szCs w:val="24"/>
        </w:rPr>
        <w:t xml:space="preserve">, </w:t>
      </w:r>
      <w:r w:rsidR="00AB264C" w:rsidRPr="00F153F6">
        <w:rPr>
          <w:rFonts w:ascii="Times New Roman" w:eastAsiaTheme="minorEastAsia" w:hAnsi="Times New Roman" w:cs="Times New Roman"/>
          <w:sz w:val="24"/>
          <w:szCs w:val="24"/>
        </w:rPr>
        <w:t>c</w:t>
      </w:r>
      <w:r w:rsidR="00666755" w:rsidRPr="00F153F6">
        <w:rPr>
          <w:rFonts w:ascii="Times New Roman" w:eastAsiaTheme="minorEastAsia" w:hAnsi="Times New Roman" w:cs="Times New Roman"/>
          <w:sz w:val="24"/>
          <w:szCs w:val="24"/>
        </w:rPr>
        <w:t xml:space="preserve">ontexts, and </w:t>
      </w:r>
      <w:r w:rsidR="00AB264C" w:rsidRPr="00F153F6">
        <w:rPr>
          <w:rFonts w:ascii="Times New Roman" w:eastAsiaTheme="minorEastAsia" w:hAnsi="Times New Roman" w:cs="Times New Roman"/>
          <w:sz w:val="24"/>
          <w:szCs w:val="24"/>
        </w:rPr>
        <w:t>p</w:t>
      </w:r>
      <w:r w:rsidR="00666755" w:rsidRPr="00F153F6">
        <w:rPr>
          <w:rFonts w:ascii="Times New Roman" w:eastAsiaTheme="minorEastAsia" w:hAnsi="Times New Roman" w:cs="Times New Roman"/>
          <w:sz w:val="24"/>
          <w:szCs w:val="24"/>
        </w:rPr>
        <w:t xml:space="preserve">roject </w:t>
      </w:r>
      <w:r w:rsidR="00AB264C" w:rsidRPr="00F153F6">
        <w:rPr>
          <w:rFonts w:ascii="Times New Roman" w:eastAsiaTheme="minorEastAsia" w:hAnsi="Times New Roman" w:cs="Times New Roman"/>
          <w:sz w:val="24"/>
          <w:szCs w:val="24"/>
        </w:rPr>
        <w:t>p</w:t>
      </w:r>
      <w:r w:rsidR="00666755" w:rsidRPr="00F153F6">
        <w:rPr>
          <w:rFonts w:ascii="Times New Roman" w:eastAsiaTheme="minorEastAsia" w:hAnsi="Times New Roman" w:cs="Times New Roman"/>
          <w:sz w:val="24"/>
          <w:szCs w:val="24"/>
        </w:rPr>
        <w:t xml:space="preserve">rogress reflects </w:t>
      </w:r>
      <w:r w:rsidR="002245EA" w:rsidRPr="00F153F6">
        <w:rPr>
          <w:rFonts w:ascii="Times New Roman" w:eastAsiaTheme="minorEastAsia" w:hAnsi="Times New Roman" w:cs="Times New Roman"/>
          <w:sz w:val="24"/>
          <w:szCs w:val="24"/>
        </w:rPr>
        <w:t>the</w:t>
      </w:r>
      <w:r w:rsidR="00666755" w:rsidRPr="00F153F6">
        <w:rPr>
          <w:rFonts w:ascii="Times New Roman" w:eastAsiaTheme="minorEastAsia" w:hAnsi="Times New Roman" w:cs="Times New Roman"/>
          <w:sz w:val="24"/>
          <w:szCs w:val="24"/>
        </w:rPr>
        <w:t xml:space="preserve"> dynamic co-evolutionary nature of ICT-based IOKE practice in temporal inter-organisational collaboration setting</w:t>
      </w:r>
      <w:r w:rsidR="002245EA" w:rsidRPr="00F153F6">
        <w:rPr>
          <w:rFonts w:ascii="Times New Roman" w:eastAsiaTheme="minorEastAsia" w:hAnsi="Times New Roman" w:cs="Times New Roman"/>
          <w:sz w:val="24"/>
          <w:szCs w:val="24"/>
        </w:rPr>
        <w:t xml:space="preserve">s. This </w:t>
      </w:r>
      <w:r w:rsidR="003E46C7" w:rsidRPr="00F153F6">
        <w:rPr>
          <w:rFonts w:ascii="Times New Roman" w:eastAsiaTheme="minorEastAsia" w:hAnsi="Times New Roman" w:cs="Times New Roman"/>
          <w:sz w:val="24"/>
          <w:szCs w:val="24"/>
        </w:rPr>
        <w:t xml:space="preserve">provides </w:t>
      </w:r>
      <w:r w:rsidR="00EE45F4" w:rsidRPr="00F153F6">
        <w:rPr>
          <w:rFonts w:ascii="Times New Roman" w:eastAsiaTheme="minorEastAsia" w:hAnsi="Times New Roman" w:cs="Times New Roman"/>
          <w:sz w:val="24"/>
          <w:szCs w:val="24"/>
        </w:rPr>
        <w:t>a novel finding</w:t>
      </w:r>
      <w:r w:rsidR="004D54B3" w:rsidRPr="00F153F6">
        <w:rPr>
          <w:rFonts w:ascii="Times New Roman" w:eastAsiaTheme="minorEastAsia" w:hAnsi="Times New Roman" w:cs="Times New Roman"/>
          <w:sz w:val="24"/>
          <w:szCs w:val="24"/>
        </w:rPr>
        <w:t xml:space="preserve"> </w:t>
      </w:r>
      <w:r w:rsidR="00965FB2" w:rsidRPr="00F153F6">
        <w:rPr>
          <w:rFonts w:ascii="Times New Roman" w:eastAsiaTheme="minorEastAsia" w:hAnsi="Times New Roman" w:cs="Times New Roman"/>
          <w:sz w:val="24"/>
          <w:szCs w:val="24"/>
        </w:rPr>
        <w:t>for the research field</w:t>
      </w:r>
      <w:r w:rsidR="004D54B3" w:rsidRPr="00F153F6">
        <w:rPr>
          <w:rFonts w:ascii="Times New Roman" w:eastAsiaTheme="minorEastAsia" w:hAnsi="Times New Roman" w:cs="Times New Roman"/>
          <w:sz w:val="24"/>
          <w:szCs w:val="24"/>
        </w:rPr>
        <w:t xml:space="preserve"> on the dynamic interactions within ICT-based IOKE practice</w:t>
      </w:r>
      <w:r w:rsidR="00965FB2" w:rsidRPr="00F153F6">
        <w:rPr>
          <w:rFonts w:ascii="Times New Roman" w:eastAsiaTheme="minorEastAsia" w:hAnsi="Times New Roman" w:cs="Times New Roman"/>
          <w:sz w:val="24"/>
          <w:szCs w:val="24"/>
        </w:rPr>
        <w:t xml:space="preserve">. </w:t>
      </w:r>
      <w:r w:rsidR="00D145D9" w:rsidRPr="00F153F6">
        <w:rPr>
          <w:rFonts w:ascii="Times New Roman" w:eastAsiaTheme="minorEastAsia" w:hAnsi="Times New Roman" w:cs="Times New Roman"/>
          <w:sz w:val="24"/>
          <w:szCs w:val="24"/>
        </w:rPr>
        <w:t>Currently</w:t>
      </w:r>
      <w:r w:rsidR="004D54B3" w:rsidRPr="00F153F6">
        <w:rPr>
          <w:rFonts w:ascii="Times New Roman" w:eastAsiaTheme="minorEastAsia" w:hAnsi="Times New Roman" w:cs="Times New Roman"/>
          <w:sz w:val="24"/>
          <w:szCs w:val="24"/>
        </w:rPr>
        <w:t xml:space="preserve">, most of </w:t>
      </w:r>
      <w:r w:rsidR="002245EA" w:rsidRPr="00F153F6">
        <w:rPr>
          <w:rFonts w:ascii="Times New Roman" w:eastAsiaTheme="minorEastAsia" w:hAnsi="Times New Roman" w:cs="Times New Roman"/>
          <w:sz w:val="24"/>
          <w:szCs w:val="24"/>
        </w:rPr>
        <w:t xml:space="preserve">the </w:t>
      </w:r>
      <w:r w:rsidR="004D54B3" w:rsidRPr="00F153F6">
        <w:rPr>
          <w:rFonts w:ascii="Times New Roman" w:eastAsiaTheme="minorEastAsia" w:hAnsi="Times New Roman" w:cs="Times New Roman"/>
          <w:sz w:val="24"/>
          <w:szCs w:val="24"/>
        </w:rPr>
        <w:t xml:space="preserve">existing </w:t>
      </w:r>
      <w:r w:rsidR="00D145D9" w:rsidRPr="00F153F6">
        <w:rPr>
          <w:rFonts w:ascii="Times New Roman" w:eastAsiaTheme="minorEastAsia" w:hAnsi="Times New Roman" w:cs="Times New Roman"/>
          <w:sz w:val="24"/>
          <w:szCs w:val="24"/>
        </w:rPr>
        <w:t>studies</w:t>
      </w:r>
      <w:r w:rsidR="004D54B3" w:rsidRPr="00F153F6">
        <w:rPr>
          <w:rFonts w:ascii="Times New Roman" w:eastAsiaTheme="minorEastAsia" w:hAnsi="Times New Roman" w:cs="Times New Roman"/>
          <w:sz w:val="24"/>
          <w:szCs w:val="24"/>
        </w:rPr>
        <w:t xml:space="preserve"> </w:t>
      </w:r>
      <w:r w:rsidR="00D145D9" w:rsidRPr="00F153F6">
        <w:rPr>
          <w:rFonts w:ascii="Times New Roman" w:eastAsiaTheme="minorEastAsia" w:hAnsi="Times New Roman" w:cs="Times New Roman"/>
          <w:sz w:val="24"/>
          <w:szCs w:val="24"/>
        </w:rPr>
        <w:t>show a focus</w:t>
      </w:r>
      <w:r w:rsidR="004D54B3" w:rsidRPr="00F153F6">
        <w:rPr>
          <w:rFonts w:ascii="Times New Roman" w:eastAsiaTheme="minorEastAsia" w:hAnsi="Times New Roman" w:cs="Times New Roman"/>
          <w:sz w:val="24"/>
          <w:szCs w:val="24"/>
        </w:rPr>
        <w:t xml:space="preserve"> on the constitutive dynamics of ICT </w:t>
      </w:r>
      <w:r w:rsidR="002245EA" w:rsidRPr="00F153F6">
        <w:rPr>
          <w:rFonts w:ascii="Times New Roman" w:eastAsiaTheme="minorEastAsia" w:hAnsi="Times New Roman" w:cs="Times New Roman"/>
          <w:sz w:val="24"/>
          <w:szCs w:val="24"/>
        </w:rPr>
        <w:t>and</w:t>
      </w:r>
      <w:r w:rsidR="004D54B3" w:rsidRPr="00F153F6">
        <w:rPr>
          <w:rFonts w:ascii="Times New Roman" w:eastAsiaTheme="minorEastAsia" w:hAnsi="Times New Roman" w:cs="Times New Roman"/>
          <w:sz w:val="24"/>
          <w:szCs w:val="24"/>
        </w:rPr>
        <w:t xml:space="preserve"> </w:t>
      </w:r>
      <w:r w:rsidR="00D145D9" w:rsidRPr="00F153F6">
        <w:rPr>
          <w:rFonts w:ascii="Times New Roman" w:eastAsiaTheme="minorEastAsia" w:hAnsi="Times New Roman" w:cs="Times New Roman"/>
          <w:sz w:val="24"/>
          <w:szCs w:val="24"/>
        </w:rPr>
        <w:t>k</w:t>
      </w:r>
      <w:r w:rsidR="004D54B3" w:rsidRPr="00F153F6">
        <w:rPr>
          <w:rFonts w:ascii="Times New Roman" w:eastAsiaTheme="minorEastAsia" w:hAnsi="Times New Roman" w:cs="Times New Roman"/>
          <w:sz w:val="24"/>
          <w:szCs w:val="24"/>
        </w:rPr>
        <w:t>nowledge</w:t>
      </w:r>
      <w:r w:rsidR="00CB04D4" w:rsidRPr="00F153F6">
        <w:rPr>
          <w:rFonts w:ascii="Times New Roman" w:eastAsiaTheme="minorEastAsia" w:hAnsi="Times New Roman" w:cs="Times New Roman"/>
          <w:sz w:val="24"/>
          <w:szCs w:val="24"/>
        </w:rPr>
        <w:t xml:space="preserve"> – how stakeholders’ knowledge </w:t>
      </w:r>
      <w:r w:rsidR="00BB41CF" w:rsidRPr="00F153F6">
        <w:rPr>
          <w:rFonts w:ascii="Times New Roman" w:eastAsiaTheme="minorEastAsia" w:hAnsi="Times New Roman" w:cs="Times New Roman"/>
          <w:sz w:val="24"/>
          <w:szCs w:val="24"/>
        </w:rPr>
        <w:t>is</w:t>
      </w:r>
      <w:r w:rsidR="00CB04D4" w:rsidRPr="00F153F6">
        <w:rPr>
          <w:rFonts w:ascii="Times New Roman" w:eastAsiaTheme="minorEastAsia" w:hAnsi="Times New Roman" w:cs="Times New Roman"/>
          <w:sz w:val="24"/>
          <w:szCs w:val="24"/>
        </w:rPr>
        <w:t xml:space="preserve"> dynamically constituted</w:t>
      </w:r>
      <w:r w:rsidR="002A7A15" w:rsidRPr="00F153F6">
        <w:rPr>
          <w:rFonts w:ascii="Times New Roman" w:eastAsiaTheme="minorEastAsia" w:hAnsi="Times New Roman" w:cs="Times New Roman"/>
          <w:sz w:val="24"/>
          <w:szCs w:val="24"/>
        </w:rPr>
        <w:t xml:space="preserve"> </w:t>
      </w:r>
      <w:r w:rsidR="00BB41CF" w:rsidRPr="00F153F6">
        <w:rPr>
          <w:rFonts w:ascii="Times New Roman" w:eastAsiaTheme="minorEastAsia" w:hAnsi="Times New Roman" w:cs="Times New Roman"/>
          <w:sz w:val="24"/>
          <w:szCs w:val="24"/>
        </w:rPr>
        <w:t xml:space="preserve">through </w:t>
      </w:r>
      <w:r w:rsidR="003D2D32" w:rsidRPr="00F153F6">
        <w:rPr>
          <w:rFonts w:ascii="Times New Roman" w:eastAsiaTheme="minorEastAsia" w:hAnsi="Times New Roman" w:cs="Times New Roman"/>
          <w:sz w:val="24"/>
          <w:szCs w:val="24"/>
        </w:rPr>
        <w:t xml:space="preserve">diverse practices such as </w:t>
      </w:r>
      <w:r w:rsidR="00BB41CF" w:rsidRPr="00F153F6">
        <w:rPr>
          <w:rFonts w:ascii="Times New Roman" w:eastAsiaTheme="minorEastAsia" w:hAnsi="Times New Roman" w:cs="Times New Roman"/>
          <w:sz w:val="24"/>
          <w:szCs w:val="24"/>
        </w:rPr>
        <w:t>sharing</w:t>
      </w:r>
      <w:r w:rsidR="002A7A15" w:rsidRPr="00F153F6">
        <w:rPr>
          <w:rFonts w:ascii="Times New Roman" w:eastAsiaTheme="minorEastAsia" w:hAnsi="Times New Roman" w:cs="Times New Roman"/>
          <w:sz w:val="24"/>
          <w:szCs w:val="24"/>
        </w:rPr>
        <w:t xml:space="preserve"> or </w:t>
      </w:r>
      <w:r w:rsidR="003D2D32" w:rsidRPr="00F153F6">
        <w:rPr>
          <w:rFonts w:ascii="Times New Roman" w:eastAsiaTheme="minorEastAsia" w:hAnsi="Times New Roman" w:cs="Times New Roman"/>
          <w:sz w:val="24"/>
          <w:szCs w:val="24"/>
        </w:rPr>
        <w:t>creation</w:t>
      </w:r>
      <w:r w:rsidR="00BB41CF" w:rsidRPr="00F153F6">
        <w:rPr>
          <w:rFonts w:ascii="Times New Roman" w:eastAsiaTheme="minorEastAsia" w:hAnsi="Times New Roman" w:cs="Times New Roman"/>
          <w:sz w:val="24"/>
          <w:szCs w:val="24"/>
        </w:rPr>
        <w:t xml:space="preserve"> where ICT is considered as </w:t>
      </w:r>
      <w:r w:rsidR="00266DAA" w:rsidRPr="00F153F6">
        <w:rPr>
          <w:rFonts w:ascii="Times New Roman" w:eastAsiaTheme="minorEastAsia" w:hAnsi="Times New Roman" w:cs="Times New Roman"/>
          <w:sz w:val="24"/>
          <w:szCs w:val="24"/>
        </w:rPr>
        <w:t>a</w:t>
      </w:r>
      <w:r w:rsidR="0067642F" w:rsidRPr="00F153F6">
        <w:rPr>
          <w:rFonts w:ascii="Times New Roman" w:eastAsiaTheme="minorEastAsia" w:hAnsi="Times New Roman" w:cs="Times New Roman"/>
          <w:sz w:val="24"/>
          <w:szCs w:val="24"/>
        </w:rPr>
        <w:t xml:space="preserve"> contextual</w:t>
      </w:r>
      <w:r w:rsidR="00BB41CF" w:rsidRPr="00F153F6">
        <w:rPr>
          <w:rFonts w:ascii="Times New Roman" w:eastAsiaTheme="minorEastAsia" w:hAnsi="Times New Roman" w:cs="Times New Roman"/>
          <w:sz w:val="24"/>
          <w:szCs w:val="24"/>
        </w:rPr>
        <w:t xml:space="preserve"> </w:t>
      </w:r>
      <w:r w:rsidR="002A7A15" w:rsidRPr="00F153F6">
        <w:rPr>
          <w:rFonts w:ascii="Times New Roman" w:eastAsiaTheme="minorEastAsia" w:hAnsi="Times New Roman" w:cs="Times New Roman"/>
          <w:sz w:val="24"/>
          <w:szCs w:val="24"/>
        </w:rPr>
        <w:t xml:space="preserve">and influential factor </w:t>
      </w:r>
      <w:r w:rsidR="00266DAA" w:rsidRPr="00F153F6">
        <w:rPr>
          <w:rFonts w:ascii="Times New Roman" w:eastAsiaTheme="minorEastAsia" w:hAnsi="Times New Roman" w:cs="Times New Roman"/>
          <w:sz w:val="24"/>
          <w:szCs w:val="24"/>
        </w:rPr>
        <w:t>(</w:t>
      </w:r>
      <w:r w:rsidR="00C44356" w:rsidRPr="00F153F6">
        <w:rPr>
          <w:rFonts w:ascii="Times New Roman" w:eastAsiaTheme="minorEastAsia" w:hAnsi="Times New Roman" w:cs="Times New Roman"/>
          <w:sz w:val="24"/>
          <w:szCs w:val="24"/>
        </w:rPr>
        <w:t>Choi et al., 2008</w:t>
      </w:r>
      <w:r w:rsidR="00266DAA" w:rsidRPr="00F153F6">
        <w:rPr>
          <w:rFonts w:ascii="Times New Roman" w:eastAsiaTheme="minorEastAsia" w:hAnsi="Times New Roman" w:cs="Times New Roman"/>
          <w:sz w:val="24"/>
          <w:szCs w:val="24"/>
        </w:rPr>
        <w:t xml:space="preserve">; Ward et al., </w:t>
      </w:r>
      <w:r w:rsidR="00266DAA" w:rsidRPr="00F153F6">
        <w:rPr>
          <w:rFonts w:ascii="Times New Roman" w:eastAsiaTheme="minorEastAsia" w:hAnsi="Times New Roman" w:cs="Times New Roman"/>
          <w:sz w:val="24"/>
          <w:szCs w:val="24"/>
        </w:rPr>
        <w:lastRenderedPageBreak/>
        <w:t xml:space="preserve">2012; </w:t>
      </w:r>
      <w:r w:rsidR="00EA4A79" w:rsidRPr="00F153F6">
        <w:rPr>
          <w:rFonts w:ascii="Times New Roman" w:eastAsiaTheme="minorEastAsia" w:hAnsi="Times New Roman" w:cs="Times New Roman"/>
          <w:sz w:val="24"/>
          <w:szCs w:val="24"/>
        </w:rPr>
        <w:t>Wu et al., 2010; Francisco &amp; Klein, 2018</w:t>
      </w:r>
      <w:r w:rsidR="00266DAA" w:rsidRPr="00F153F6">
        <w:rPr>
          <w:rFonts w:ascii="Times New Roman" w:eastAsiaTheme="minorEastAsia" w:hAnsi="Times New Roman" w:cs="Times New Roman"/>
          <w:sz w:val="24"/>
          <w:szCs w:val="24"/>
        </w:rPr>
        <w:t>)</w:t>
      </w:r>
      <w:r w:rsidR="00BB41CF" w:rsidRPr="00F153F6">
        <w:rPr>
          <w:rFonts w:ascii="Times New Roman" w:eastAsiaTheme="minorEastAsia" w:hAnsi="Times New Roman" w:cs="Times New Roman"/>
          <w:sz w:val="24"/>
          <w:szCs w:val="24"/>
        </w:rPr>
        <w:t>,</w:t>
      </w:r>
      <w:r w:rsidR="00CB04D4" w:rsidRPr="00F153F6">
        <w:rPr>
          <w:rFonts w:ascii="Times New Roman" w:eastAsiaTheme="minorEastAsia" w:hAnsi="Times New Roman" w:cs="Times New Roman"/>
          <w:sz w:val="24"/>
          <w:szCs w:val="24"/>
        </w:rPr>
        <w:t xml:space="preserve"> or how ICT are </w:t>
      </w:r>
      <w:r w:rsidR="00BB41CF" w:rsidRPr="00F153F6">
        <w:rPr>
          <w:rFonts w:ascii="Times New Roman" w:eastAsiaTheme="minorEastAsia" w:hAnsi="Times New Roman" w:cs="Times New Roman"/>
          <w:sz w:val="24"/>
          <w:szCs w:val="24"/>
        </w:rPr>
        <w:t xml:space="preserve">dynamically </w:t>
      </w:r>
      <w:r w:rsidR="00CB04D4" w:rsidRPr="00F153F6">
        <w:rPr>
          <w:rFonts w:ascii="Times New Roman" w:eastAsiaTheme="minorEastAsia" w:hAnsi="Times New Roman" w:cs="Times New Roman"/>
          <w:sz w:val="24"/>
          <w:szCs w:val="24"/>
        </w:rPr>
        <w:t xml:space="preserve">constituted </w:t>
      </w:r>
      <w:r w:rsidR="002A7A15" w:rsidRPr="00F153F6">
        <w:rPr>
          <w:rFonts w:ascii="Times New Roman" w:eastAsiaTheme="minorEastAsia" w:hAnsi="Times New Roman" w:cs="Times New Roman"/>
          <w:sz w:val="24"/>
          <w:szCs w:val="24"/>
        </w:rPr>
        <w:t xml:space="preserve">through diverse affordances and constraints </w:t>
      </w:r>
      <w:r w:rsidR="00BB41CF" w:rsidRPr="00F153F6">
        <w:rPr>
          <w:rFonts w:ascii="Times New Roman" w:eastAsiaTheme="minorEastAsia" w:hAnsi="Times New Roman" w:cs="Times New Roman"/>
          <w:sz w:val="24"/>
          <w:szCs w:val="24"/>
        </w:rPr>
        <w:t>in stakeholders’ work</w:t>
      </w:r>
      <w:r w:rsidR="002A7A15" w:rsidRPr="00F153F6">
        <w:rPr>
          <w:rFonts w:ascii="Times New Roman" w:eastAsiaTheme="minorEastAsia" w:hAnsi="Times New Roman" w:cs="Times New Roman"/>
          <w:sz w:val="24"/>
          <w:szCs w:val="24"/>
        </w:rPr>
        <w:t xml:space="preserve">place practices to support </w:t>
      </w:r>
      <w:r w:rsidR="003D2D32" w:rsidRPr="00F153F6">
        <w:rPr>
          <w:rFonts w:ascii="Times New Roman" w:eastAsiaTheme="minorEastAsia" w:hAnsi="Times New Roman" w:cs="Times New Roman"/>
          <w:sz w:val="24"/>
          <w:szCs w:val="24"/>
        </w:rPr>
        <w:t>their</w:t>
      </w:r>
      <w:r w:rsidR="002A7A15" w:rsidRPr="00F153F6">
        <w:rPr>
          <w:rFonts w:ascii="Times New Roman" w:eastAsiaTheme="minorEastAsia" w:hAnsi="Times New Roman" w:cs="Times New Roman"/>
          <w:sz w:val="24"/>
          <w:szCs w:val="24"/>
        </w:rPr>
        <w:t xml:space="preserve"> knowledge exchange</w:t>
      </w:r>
      <w:r w:rsidR="00C44356" w:rsidRPr="00F153F6">
        <w:rPr>
          <w:rFonts w:ascii="Times New Roman" w:eastAsiaTheme="minorEastAsia" w:hAnsi="Times New Roman" w:cs="Times New Roman"/>
          <w:sz w:val="24"/>
          <w:szCs w:val="24"/>
        </w:rPr>
        <w:t xml:space="preserve"> (Sun et al., 2019; Wagner et al., 2014; Rice et al., 2017)</w:t>
      </w:r>
      <w:r w:rsidR="00D145D9" w:rsidRPr="00F153F6">
        <w:rPr>
          <w:rFonts w:ascii="Times New Roman" w:eastAsiaTheme="minorEastAsia" w:hAnsi="Times New Roman" w:cs="Times New Roman"/>
          <w:sz w:val="24"/>
          <w:szCs w:val="24"/>
        </w:rPr>
        <w:t xml:space="preserve">. </w:t>
      </w:r>
      <w:r w:rsidR="004D54B3" w:rsidRPr="00F153F6">
        <w:rPr>
          <w:rFonts w:ascii="Times New Roman" w:eastAsiaTheme="minorEastAsia" w:hAnsi="Times New Roman" w:cs="Times New Roman"/>
          <w:sz w:val="24"/>
          <w:szCs w:val="24"/>
        </w:rPr>
        <w:t xml:space="preserve"> </w:t>
      </w:r>
      <w:r w:rsidR="00D145D9" w:rsidRPr="00F153F6">
        <w:rPr>
          <w:rFonts w:ascii="Times New Roman" w:eastAsiaTheme="minorEastAsia" w:hAnsi="Times New Roman" w:cs="Times New Roman"/>
          <w:sz w:val="24"/>
          <w:szCs w:val="24"/>
        </w:rPr>
        <w:t>Th</w:t>
      </w:r>
      <w:r w:rsidR="002A7A15" w:rsidRPr="00F153F6">
        <w:rPr>
          <w:rFonts w:ascii="Times New Roman" w:eastAsiaTheme="minorEastAsia" w:hAnsi="Times New Roman" w:cs="Times New Roman"/>
          <w:sz w:val="24"/>
          <w:szCs w:val="24"/>
        </w:rPr>
        <w:t>ese studies</w:t>
      </w:r>
      <w:r w:rsidR="00D145D9" w:rsidRPr="00F153F6">
        <w:rPr>
          <w:rFonts w:ascii="Times New Roman" w:eastAsiaTheme="minorEastAsia" w:hAnsi="Times New Roman" w:cs="Times New Roman"/>
          <w:sz w:val="24"/>
          <w:szCs w:val="24"/>
        </w:rPr>
        <w:t xml:space="preserve"> neglect</w:t>
      </w:r>
      <w:r w:rsidR="004D54B3" w:rsidRPr="00F153F6">
        <w:rPr>
          <w:rFonts w:ascii="Times New Roman" w:eastAsiaTheme="minorEastAsia" w:hAnsi="Times New Roman" w:cs="Times New Roman"/>
          <w:sz w:val="24"/>
          <w:szCs w:val="24"/>
        </w:rPr>
        <w:t xml:space="preserve"> how </w:t>
      </w:r>
      <w:r w:rsidR="00D145D9" w:rsidRPr="00F153F6">
        <w:rPr>
          <w:rFonts w:ascii="Times New Roman" w:eastAsiaTheme="minorEastAsia" w:hAnsi="Times New Roman" w:cs="Times New Roman"/>
          <w:sz w:val="24"/>
          <w:szCs w:val="24"/>
        </w:rPr>
        <w:t>ICT and knowledge management</w:t>
      </w:r>
      <w:r w:rsidR="004D54B3" w:rsidRPr="00F153F6">
        <w:rPr>
          <w:rFonts w:ascii="Times New Roman" w:eastAsiaTheme="minorEastAsia" w:hAnsi="Times New Roman" w:cs="Times New Roman"/>
          <w:sz w:val="24"/>
          <w:szCs w:val="24"/>
        </w:rPr>
        <w:t xml:space="preserve"> </w:t>
      </w:r>
      <w:r w:rsidR="00CB04D4" w:rsidRPr="00F153F6">
        <w:rPr>
          <w:rFonts w:ascii="Times New Roman" w:eastAsiaTheme="minorEastAsia" w:hAnsi="Times New Roman" w:cs="Times New Roman"/>
          <w:sz w:val="24"/>
          <w:szCs w:val="24"/>
        </w:rPr>
        <w:t>are dynamic in nature of themselves and such dynamic</w:t>
      </w:r>
      <w:r w:rsidR="00846ECE" w:rsidRPr="00F153F6">
        <w:rPr>
          <w:rFonts w:ascii="Times New Roman" w:eastAsiaTheme="minorEastAsia" w:hAnsi="Times New Roman" w:cs="Times New Roman" w:hint="eastAsia"/>
          <w:sz w:val="24"/>
          <w:szCs w:val="24"/>
          <w:lang w:eastAsia="zh-CN"/>
        </w:rPr>
        <w:t>s</w:t>
      </w:r>
      <w:r w:rsidR="00CB04D4" w:rsidRPr="00F153F6">
        <w:rPr>
          <w:rFonts w:ascii="Times New Roman" w:eastAsiaTheme="minorEastAsia" w:hAnsi="Times New Roman" w:cs="Times New Roman"/>
          <w:sz w:val="24"/>
          <w:szCs w:val="24"/>
        </w:rPr>
        <w:t xml:space="preserve"> </w:t>
      </w:r>
      <w:r w:rsidR="004D54B3" w:rsidRPr="00F153F6">
        <w:rPr>
          <w:rFonts w:ascii="Times New Roman" w:eastAsiaTheme="minorEastAsia" w:hAnsi="Times New Roman" w:cs="Times New Roman"/>
          <w:sz w:val="24"/>
          <w:szCs w:val="24"/>
        </w:rPr>
        <w:t xml:space="preserve">may </w:t>
      </w:r>
      <w:r w:rsidR="007518F3" w:rsidRPr="00F153F6">
        <w:rPr>
          <w:rFonts w:ascii="Times New Roman" w:eastAsiaTheme="minorEastAsia" w:hAnsi="Times New Roman" w:cs="Times New Roman"/>
          <w:sz w:val="24"/>
          <w:szCs w:val="24"/>
        </w:rPr>
        <w:t>influence each other</w:t>
      </w:r>
      <w:r w:rsidR="004D54B3" w:rsidRPr="00F153F6">
        <w:rPr>
          <w:rFonts w:ascii="Times New Roman" w:eastAsiaTheme="minorEastAsia" w:hAnsi="Times New Roman" w:cs="Times New Roman"/>
          <w:sz w:val="24"/>
          <w:szCs w:val="24"/>
        </w:rPr>
        <w:t xml:space="preserve"> over time</w:t>
      </w:r>
      <w:r w:rsidR="007518F3" w:rsidRPr="00F153F6">
        <w:rPr>
          <w:rFonts w:ascii="Times New Roman" w:eastAsiaTheme="minorEastAsia" w:hAnsi="Times New Roman" w:cs="Times New Roman"/>
          <w:sz w:val="24"/>
          <w:szCs w:val="24"/>
        </w:rPr>
        <w:t xml:space="preserve"> in </w:t>
      </w:r>
      <w:r w:rsidR="00D145D9" w:rsidRPr="00F153F6">
        <w:rPr>
          <w:rFonts w:ascii="Times New Roman" w:eastAsiaTheme="minorEastAsia" w:hAnsi="Times New Roman" w:cs="Times New Roman"/>
          <w:sz w:val="24"/>
          <w:szCs w:val="24"/>
        </w:rPr>
        <w:t xml:space="preserve">temporal </w:t>
      </w:r>
      <w:r w:rsidR="007518F3" w:rsidRPr="00F153F6">
        <w:rPr>
          <w:rFonts w:ascii="Times New Roman" w:eastAsiaTheme="minorEastAsia" w:hAnsi="Times New Roman" w:cs="Times New Roman"/>
          <w:sz w:val="24"/>
          <w:szCs w:val="24"/>
        </w:rPr>
        <w:t>IOKE practice</w:t>
      </w:r>
      <w:r w:rsidR="004D54B3" w:rsidRPr="00F153F6">
        <w:rPr>
          <w:rFonts w:ascii="Times New Roman" w:eastAsiaTheme="minorEastAsia" w:hAnsi="Times New Roman" w:cs="Times New Roman"/>
          <w:sz w:val="24"/>
          <w:szCs w:val="24"/>
        </w:rPr>
        <w:t>, which leads to the research gap</w:t>
      </w:r>
      <w:r w:rsidR="00D145D9" w:rsidRPr="00F153F6">
        <w:rPr>
          <w:rFonts w:ascii="Times New Roman" w:eastAsiaTheme="minorEastAsia" w:hAnsi="Times New Roman" w:cs="Times New Roman"/>
          <w:sz w:val="24"/>
          <w:szCs w:val="24"/>
        </w:rPr>
        <w:t xml:space="preserve"> of the present study</w:t>
      </w:r>
      <w:r w:rsidR="004D54B3" w:rsidRPr="00F153F6">
        <w:rPr>
          <w:rFonts w:ascii="Times New Roman" w:eastAsiaTheme="minorEastAsia" w:hAnsi="Times New Roman" w:cs="Times New Roman"/>
          <w:sz w:val="24"/>
          <w:szCs w:val="24"/>
        </w:rPr>
        <w:t xml:space="preserve">. </w:t>
      </w:r>
      <w:r w:rsidR="007518F3" w:rsidRPr="00F153F6">
        <w:rPr>
          <w:rFonts w:ascii="Times New Roman" w:eastAsiaTheme="minorEastAsia" w:hAnsi="Times New Roman" w:cs="Times New Roman"/>
          <w:sz w:val="24"/>
          <w:szCs w:val="24"/>
        </w:rPr>
        <w:t>By delineating</w:t>
      </w:r>
      <w:r w:rsidR="004D54B3" w:rsidRPr="00F153F6">
        <w:rPr>
          <w:rFonts w:ascii="Times New Roman" w:eastAsiaTheme="minorEastAsia" w:hAnsi="Times New Roman" w:cs="Times New Roman"/>
          <w:sz w:val="24"/>
          <w:szCs w:val="24"/>
        </w:rPr>
        <w:t xml:space="preserve"> a co-evolutionary nature of ICT-based knowledge exchange</w:t>
      </w:r>
      <w:r w:rsidR="00EE45F4" w:rsidRPr="00F153F6">
        <w:rPr>
          <w:rFonts w:ascii="Times New Roman" w:eastAsiaTheme="minorEastAsia" w:hAnsi="Times New Roman" w:cs="Times New Roman"/>
          <w:sz w:val="24"/>
          <w:szCs w:val="24"/>
        </w:rPr>
        <w:t xml:space="preserve">, the present study argues </w:t>
      </w:r>
      <w:r w:rsidR="00343BA1" w:rsidRPr="00F153F6">
        <w:rPr>
          <w:rFonts w:ascii="Times New Roman" w:eastAsiaTheme="minorEastAsia" w:hAnsi="Times New Roman" w:cs="Times New Roman"/>
          <w:sz w:val="24"/>
          <w:szCs w:val="24"/>
        </w:rPr>
        <w:t xml:space="preserve">that ICT and knowledge are not only dynamically constituted in practice (i.e., constitutive dynamics), but they are also </w:t>
      </w:r>
      <w:r w:rsidR="00F4778A" w:rsidRPr="00F153F6">
        <w:rPr>
          <w:rFonts w:ascii="Times New Roman" w:eastAsiaTheme="minorEastAsia" w:hAnsi="Times New Roman" w:cs="Times New Roman"/>
          <w:sz w:val="24"/>
          <w:szCs w:val="24"/>
        </w:rPr>
        <w:t>evolving</w:t>
      </w:r>
      <w:r w:rsidR="00343BA1" w:rsidRPr="00F153F6">
        <w:rPr>
          <w:rFonts w:ascii="Times New Roman" w:eastAsiaTheme="minorEastAsia" w:hAnsi="Times New Roman" w:cs="Times New Roman"/>
          <w:sz w:val="24"/>
          <w:szCs w:val="24"/>
        </w:rPr>
        <w:t xml:space="preserve"> together with their embedded contexts over time, which shows a further </w:t>
      </w:r>
      <w:r w:rsidR="00F4778A" w:rsidRPr="00F153F6">
        <w:rPr>
          <w:rFonts w:ascii="Times New Roman" w:eastAsiaTheme="minorEastAsia" w:hAnsi="Times New Roman" w:cs="Times New Roman"/>
          <w:sz w:val="24"/>
          <w:szCs w:val="24"/>
        </w:rPr>
        <w:t>evolving</w:t>
      </w:r>
      <w:r w:rsidR="00EE45F4" w:rsidRPr="00F153F6">
        <w:rPr>
          <w:rFonts w:ascii="Times New Roman" w:eastAsiaTheme="minorEastAsia" w:hAnsi="Times New Roman" w:cs="Times New Roman"/>
          <w:sz w:val="24"/>
          <w:szCs w:val="24"/>
        </w:rPr>
        <w:t xml:space="preserve"> dynamic interaction of in ICT-based IOKE practice – a “dynamic of dynamics”.</w:t>
      </w:r>
      <w:r w:rsidR="00C44356" w:rsidRPr="00F153F6">
        <w:rPr>
          <w:rFonts w:ascii="Times New Roman" w:eastAsiaTheme="minorEastAsia" w:hAnsi="Times New Roman" w:cs="Times New Roman"/>
          <w:sz w:val="24"/>
          <w:szCs w:val="24"/>
        </w:rPr>
        <w:t xml:space="preserve"> Such </w:t>
      </w:r>
      <w:r w:rsidR="00F4778A" w:rsidRPr="00F153F6">
        <w:rPr>
          <w:rFonts w:ascii="Times New Roman" w:eastAsiaTheme="minorEastAsia" w:hAnsi="Times New Roman" w:cs="Times New Roman"/>
          <w:sz w:val="24"/>
          <w:szCs w:val="24"/>
        </w:rPr>
        <w:t>evolving</w:t>
      </w:r>
      <w:r w:rsidR="00C44356" w:rsidRPr="00F153F6">
        <w:rPr>
          <w:rFonts w:ascii="Times New Roman" w:eastAsiaTheme="minorEastAsia" w:hAnsi="Times New Roman" w:cs="Times New Roman"/>
          <w:sz w:val="24"/>
          <w:szCs w:val="24"/>
        </w:rPr>
        <w:t xml:space="preserve"> dynamic is an emerging field in studying dynamic interactions between ICT and knowledge. For example, Gibson et al. (2022) has identified that ICT affordances can </w:t>
      </w:r>
      <w:r w:rsidR="00F4778A" w:rsidRPr="00F153F6">
        <w:rPr>
          <w:rFonts w:ascii="Times New Roman" w:eastAsiaTheme="minorEastAsia" w:hAnsi="Times New Roman" w:cs="Times New Roman"/>
          <w:sz w:val="24"/>
          <w:szCs w:val="24"/>
        </w:rPr>
        <w:t>evolve</w:t>
      </w:r>
      <w:r w:rsidR="00C44356" w:rsidRPr="00F153F6">
        <w:rPr>
          <w:rFonts w:ascii="Times New Roman" w:eastAsiaTheme="minorEastAsia" w:hAnsi="Times New Roman" w:cs="Times New Roman"/>
          <w:sz w:val="24"/>
          <w:szCs w:val="24"/>
        </w:rPr>
        <w:t xml:space="preserve"> as </w:t>
      </w:r>
      <w:r w:rsidR="00DB1F92" w:rsidRPr="00F153F6">
        <w:rPr>
          <w:rFonts w:ascii="Times New Roman" w:eastAsiaTheme="minorEastAsia" w:hAnsi="Times New Roman" w:cs="Times New Roman"/>
          <w:sz w:val="24"/>
          <w:szCs w:val="24"/>
        </w:rPr>
        <w:t xml:space="preserve">project </w:t>
      </w:r>
      <w:r w:rsidR="00C44356" w:rsidRPr="00F153F6">
        <w:rPr>
          <w:rFonts w:ascii="Times New Roman" w:eastAsiaTheme="minorEastAsia" w:hAnsi="Times New Roman" w:cs="Times New Roman"/>
          <w:sz w:val="24"/>
          <w:szCs w:val="24"/>
        </w:rPr>
        <w:t xml:space="preserve">knowledge management activities </w:t>
      </w:r>
      <w:r w:rsidR="00F4778A" w:rsidRPr="00F153F6">
        <w:rPr>
          <w:rFonts w:ascii="Times New Roman" w:eastAsiaTheme="minorEastAsia" w:hAnsi="Times New Roman" w:cs="Times New Roman"/>
          <w:sz w:val="24"/>
          <w:szCs w:val="24"/>
        </w:rPr>
        <w:t>evolve</w:t>
      </w:r>
      <w:r w:rsidR="00C44356" w:rsidRPr="00F153F6">
        <w:rPr>
          <w:rFonts w:ascii="Times New Roman" w:eastAsiaTheme="minorEastAsia" w:hAnsi="Times New Roman" w:cs="Times New Roman"/>
          <w:sz w:val="24"/>
          <w:szCs w:val="24"/>
        </w:rPr>
        <w:t xml:space="preserve">, which </w:t>
      </w:r>
      <w:r w:rsidR="00DB1F92" w:rsidRPr="00F153F6">
        <w:rPr>
          <w:rFonts w:ascii="Times New Roman" w:eastAsiaTheme="minorEastAsia" w:hAnsi="Times New Roman" w:cs="Times New Roman"/>
          <w:sz w:val="24"/>
          <w:szCs w:val="24"/>
        </w:rPr>
        <w:t>determines the project success of virtual teams.</w:t>
      </w:r>
      <w:r w:rsidR="007518F3" w:rsidRPr="00F153F6">
        <w:rPr>
          <w:rFonts w:ascii="Times New Roman" w:eastAsiaTheme="minorEastAsia" w:hAnsi="Times New Roman" w:cs="Times New Roman"/>
          <w:sz w:val="24"/>
          <w:szCs w:val="24"/>
        </w:rPr>
        <w:t xml:space="preserve"> </w:t>
      </w:r>
      <w:r w:rsidR="00DB1F92" w:rsidRPr="00F153F6">
        <w:rPr>
          <w:rFonts w:ascii="Times New Roman" w:eastAsiaTheme="minorEastAsia" w:hAnsi="Times New Roman" w:cs="Times New Roman"/>
          <w:sz w:val="24"/>
          <w:szCs w:val="24"/>
        </w:rPr>
        <w:t>By providing a theoretical explanation on how ICT affordances/constraints, knowledgeability, and contextual factors co-evolve over time across project lifecycle</w:t>
      </w:r>
      <w:r w:rsidR="00C83188" w:rsidRPr="00F153F6">
        <w:rPr>
          <w:rFonts w:ascii="Times New Roman" w:eastAsiaTheme="minorEastAsia" w:hAnsi="Times New Roman" w:cs="Times New Roman"/>
          <w:sz w:val="24"/>
          <w:szCs w:val="24"/>
        </w:rPr>
        <w:t>s</w:t>
      </w:r>
      <w:r w:rsidR="00DB1F92" w:rsidRPr="00F153F6">
        <w:rPr>
          <w:rFonts w:ascii="Times New Roman" w:eastAsiaTheme="minorEastAsia" w:hAnsi="Times New Roman" w:cs="Times New Roman"/>
          <w:sz w:val="24"/>
          <w:szCs w:val="24"/>
        </w:rPr>
        <w:t xml:space="preserve">, the present study argues that the </w:t>
      </w:r>
      <w:r w:rsidR="00846ECE" w:rsidRPr="00F153F6">
        <w:rPr>
          <w:rFonts w:ascii="Times New Roman" w:eastAsiaTheme="minorEastAsia" w:hAnsi="Times New Roman" w:cs="Times New Roman"/>
          <w:sz w:val="24"/>
          <w:szCs w:val="24"/>
        </w:rPr>
        <w:t>dynamics of co-evolution</w:t>
      </w:r>
      <w:r w:rsidR="00DB1F92" w:rsidRPr="00F153F6">
        <w:rPr>
          <w:rFonts w:ascii="Times New Roman" w:eastAsiaTheme="minorEastAsia" w:hAnsi="Times New Roman" w:cs="Times New Roman"/>
          <w:sz w:val="24"/>
          <w:szCs w:val="24"/>
        </w:rPr>
        <w:t xml:space="preserve"> is a significant and emerging field to understand dynamic interactions of ICT-based knowledge work. </w:t>
      </w:r>
      <w:r w:rsidR="00EE45F4" w:rsidRPr="00F153F6">
        <w:rPr>
          <w:rFonts w:ascii="Times New Roman" w:eastAsiaTheme="minorEastAsia" w:hAnsi="Times New Roman" w:cs="Times New Roman"/>
          <w:sz w:val="24"/>
          <w:szCs w:val="24"/>
        </w:rPr>
        <w:t xml:space="preserve">Therefore, the present study </w:t>
      </w:r>
      <w:r w:rsidR="00C83188" w:rsidRPr="00F153F6">
        <w:rPr>
          <w:rFonts w:ascii="Times New Roman" w:eastAsiaTheme="minorEastAsia" w:hAnsi="Times New Roman" w:cs="Times New Roman"/>
          <w:sz w:val="24"/>
          <w:szCs w:val="24"/>
        </w:rPr>
        <w:t xml:space="preserve">orients </w:t>
      </w:r>
      <w:r w:rsidR="00EE45F4" w:rsidRPr="00F153F6">
        <w:rPr>
          <w:rFonts w:ascii="Times New Roman" w:eastAsiaTheme="minorEastAsia" w:hAnsi="Times New Roman" w:cs="Times New Roman"/>
          <w:sz w:val="24"/>
          <w:szCs w:val="24"/>
        </w:rPr>
        <w:t xml:space="preserve">future research </w:t>
      </w:r>
      <w:r w:rsidR="00C83188" w:rsidRPr="00F153F6">
        <w:rPr>
          <w:rFonts w:ascii="Times New Roman" w:eastAsiaTheme="minorEastAsia" w:hAnsi="Times New Roman" w:cs="Times New Roman"/>
          <w:sz w:val="24"/>
          <w:szCs w:val="24"/>
        </w:rPr>
        <w:t xml:space="preserve">away </w:t>
      </w:r>
      <w:r w:rsidR="007518F3" w:rsidRPr="00F153F6">
        <w:rPr>
          <w:rFonts w:ascii="Times New Roman" w:eastAsiaTheme="minorEastAsia" w:hAnsi="Times New Roman" w:cs="Times New Roman"/>
          <w:sz w:val="24"/>
          <w:szCs w:val="24"/>
        </w:rPr>
        <w:t xml:space="preserve">from </w:t>
      </w:r>
      <w:r w:rsidR="00EE45F4" w:rsidRPr="00F153F6">
        <w:rPr>
          <w:rFonts w:ascii="Times New Roman" w:eastAsiaTheme="minorEastAsia" w:hAnsi="Times New Roman" w:cs="Times New Roman"/>
          <w:sz w:val="24"/>
          <w:szCs w:val="24"/>
        </w:rPr>
        <w:t>constitutive</w:t>
      </w:r>
      <w:r w:rsidR="007518F3" w:rsidRPr="00F153F6">
        <w:rPr>
          <w:rFonts w:ascii="Times New Roman" w:eastAsiaTheme="minorEastAsia" w:hAnsi="Times New Roman" w:cs="Times New Roman"/>
          <w:sz w:val="24"/>
          <w:szCs w:val="24"/>
        </w:rPr>
        <w:t xml:space="preserve"> dynamics towards </w:t>
      </w:r>
      <w:r w:rsidR="00F4778A" w:rsidRPr="00F153F6">
        <w:rPr>
          <w:rFonts w:ascii="Times New Roman" w:eastAsiaTheme="minorEastAsia" w:hAnsi="Times New Roman" w:cs="Times New Roman"/>
          <w:sz w:val="24"/>
          <w:szCs w:val="24"/>
        </w:rPr>
        <w:t>an</w:t>
      </w:r>
      <w:r w:rsidR="00802C1D" w:rsidRPr="00F153F6">
        <w:rPr>
          <w:rFonts w:ascii="Times New Roman" w:eastAsiaTheme="minorEastAsia" w:hAnsi="Times New Roman" w:cs="Times New Roman"/>
          <w:sz w:val="24"/>
          <w:szCs w:val="24"/>
        </w:rPr>
        <w:t xml:space="preserve"> </w:t>
      </w:r>
      <w:r w:rsidR="00F4778A" w:rsidRPr="00F153F6">
        <w:rPr>
          <w:rFonts w:ascii="Times New Roman" w:eastAsiaTheme="minorEastAsia" w:hAnsi="Times New Roman" w:cs="Times New Roman"/>
          <w:sz w:val="24"/>
          <w:szCs w:val="24"/>
        </w:rPr>
        <w:t>evolving</w:t>
      </w:r>
      <w:r w:rsidR="00A235AB" w:rsidRPr="00F153F6">
        <w:rPr>
          <w:rFonts w:ascii="Times New Roman" w:eastAsiaTheme="minorEastAsia" w:hAnsi="Times New Roman" w:cs="Times New Roman"/>
          <w:sz w:val="24"/>
          <w:szCs w:val="24"/>
        </w:rPr>
        <w:t xml:space="preserve"> dynamic</w:t>
      </w:r>
      <w:r w:rsidR="00802C1D" w:rsidRPr="00F153F6">
        <w:rPr>
          <w:rFonts w:ascii="Times New Roman" w:eastAsiaTheme="minorEastAsia" w:hAnsi="Times New Roman" w:cs="Times New Roman"/>
          <w:sz w:val="24"/>
          <w:szCs w:val="24"/>
        </w:rPr>
        <w:t xml:space="preserve"> on researching ICT-based IOKE practice so that </w:t>
      </w:r>
      <w:r w:rsidR="00A235AB" w:rsidRPr="00F153F6">
        <w:rPr>
          <w:rFonts w:ascii="Times New Roman" w:eastAsiaTheme="minorEastAsia" w:hAnsi="Times New Roman" w:cs="Times New Roman"/>
          <w:sz w:val="24"/>
          <w:szCs w:val="24"/>
          <w:lang w:eastAsia="zh-CN"/>
        </w:rPr>
        <w:t>scholars</w:t>
      </w:r>
      <w:r w:rsidR="00A235AB" w:rsidRPr="00F153F6">
        <w:rPr>
          <w:rFonts w:ascii="Times New Roman" w:eastAsiaTheme="minorEastAsia" w:hAnsi="Times New Roman" w:cs="Times New Roman"/>
          <w:sz w:val="24"/>
          <w:szCs w:val="24"/>
        </w:rPr>
        <w:t xml:space="preserve"> </w:t>
      </w:r>
      <w:r w:rsidR="00802C1D" w:rsidRPr="00F153F6">
        <w:rPr>
          <w:rFonts w:ascii="Times New Roman" w:eastAsiaTheme="minorEastAsia" w:hAnsi="Times New Roman" w:cs="Times New Roman"/>
          <w:sz w:val="24"/>
          <w:szCs w:val="24"/>
        </w:rPr>
        <w:t xml:space="preserve">can develop a deeper understanding on </w:t>
      </w:r>
      <w:r w:rsidR="00A235AB" w:rsidRPr="00F153F6">
        <w:rPr>
          <w:rFonts w:ascii="Times New Roman" w:eastAsiaTheme="minorEastAsia" w:hAnsi="Times New Roman" w:cs="Times New Roman"/>
          <w:sz w:val="24"/>
          <w:szCs w:val="24"/>
        </w:rPr>
        <w:t xml:space="preserve">not only </w:t>
      </w:r>
      <w:r w:rsidR="00802C1D" w:rsidRPr="00F153F6">
        <w:rPr>
          <w:rFonts w:ascii="Times New Roman" w:eastAsiaTheme="minorEastAsia" w:hAnsi="Times New Roman" w:cs="Times New Roman"/>
          <w:sz w:val="24"/>
          <w:szCs w:val="24"/>
        </w:rPr>
        <w:t xml:space="preserve">how ICT and knowledge influence each other in </w:t>
      </w:r>
      <w:r w:rsidR="00846ECE" w:rsidRPr="00F153F6">
        <w:rPr>
          <w:rFonts w:ascii="Times New Roman" w:eastAsiaTheme="minorEastAsia" w:hAnsi="Times New Roman" w:cs="Times New Roman"/>
          <w:sz w:val="24"/>
          <w:szCs w:val="24"/>
        </w:rPr>
        <w:t xml:space="preserve">situated </w:t>
      </w:r>
      <w:r w:rsidR="00802C1D" w:rsidRPr="00F153F6">
        <w:rPr>
          <w:rFonts w:ascii="Times New Roman" w:eastAsiaTheme="minorEastAsia" w:hAnsi="Times New Roman" w:cs="Times New Roman"/>
          <w:sz w:val="24"/>
          <w:szCs w:val="24"/>
        </w:rPr>
        <w:t>practice</w:t>
      </w:r>
      <w:r w:rsidR="00A235AB" w:rsidRPr="00F153F6">
        <w:rPr>
          <w:rFonts w:ascii="Times New Roman" w:eastAsiaTheme="minorEastAsia" w:hAnsi="Times New Roman" w:cs="Times New Roman"/>
          <w:sz w:val="24"/>
          <w:szCs w:val="24"/>
        </w:rPr>
        <w:t xml:space="preserve"> but also how such influence may change over time</w:t>
      </w:r>
      <w:r w:rsidR="00802C1D" w:rsidRPr="00F153F6">
        <w:rPr>
          <w:rFonts w:ascii="Times New Roman" w:eastAsiaTheme="minorEastAsia" w:hAnsi="Times New Roman" w:cs="Times New Roman"/>
          <w:sz w:val="24"/>
          <w:szCs w:val="24"/>
        </w:rPr>
        <w:t>.</w:t>
      </w:r>
      <w:r w:rsidR="004D54B3" w:rsidRPr="00F153F6">
        <w:rPr>
          <w:rFonts w:ascii="Times New Roman" w:eastAsiaTheme="minorEastAsia" w:hAnsi="Times New Roman" w:cs="Times New Roman"/>
          <w:sz w:val="24"/>
          <w:szCs w:val="24"/>
        </w:rPr>
        <w:t xml:space="preserve"> </w:t>
      </w:r>
      <w:r w:rsidR="002B457C" w:rsidRPr="00F153F6">
        <w:rPr>
          <w:rFonts w:ascii="Times New Roman" w:eastAsiaTheme="minorEastAsia" w:hAnsi="Times New Roman" w:cs="Times New Roman"/>
          <w:sz w:val="24"/>
          <w:szCs w:val="24"/>
        </w:rPr>
        <w:t>More</w:t>
      </w:r>
      <w:r w:rsidR="00C83188" w:rsidRPr="00F153F6">
        <w:rPr>
          <w:rFonts w:ascii="Times New Roman" w:eastAsiaTheme="minorEastAsia" w:hAnsi="Times New Roman" w:cs="Times New Roman"/>
          <w:sz w:val="24"/>
          <w:szCs w:val="24"/>
        </w:rPr>
        <w:t xml:space="preserve"> research</w:t>
      </w:r>
      <w:r w:rsidR="002B457C" w:rsidRPr="00F153F6">
        <w:rPr>
          <w:rFonts w:ascii="Times New Roman" w:eastAsiaTheme="minorEastAsia" w:hAnsi="Times New Roman" w:cs="Times New Roman"/>
          <w:sz w:val="24"/>
          <w:szCs w:val="24"/>
        </w:rPr>
        <w:t xml:space="preserve"> questions in this area could be </w:t>
      </w:r>
      <w:r w:rsidR="00C83188" w:rsidRPr="00F153F6">
        <w:rPr>
          <w:rFonts w:ascii="Times New Roman" w:eastAsiaTheme="minorEastAsia" w:hAnsi="Times New Roman" w:cs="Times New Roman"/>
          <w:sz w:val="24"/>
          <w:szCs w:val="24"/>
        </w:rPr>
        <w:t xml:space="preserve">posed </w:t>
      </w:r>
      <w:r w:rsidR="002B457C" w:rsidRPr="00F153F6">
        <w:rPr>
          <w:rFonts w:ascii="Times New Roman" w:eastAsiaTheme="minorEastAsia" w:hAnsi="Times New Roman" w:cs="Times New Roman"/>
          <w:sz w:val="24"/>
          <w:szCs w:val="24"/>
        </w:rPr>
        <w:t xml:space="preserve">such as what factors are driving, enabling, or inhibiting the changes in the </w:t>
      </w:r>
      <w:r w:rsidR="00F4778A" w:rsidRPr="00F153F6">
        <w:rPr>
          <w:rFonts w:ascii="Times New Roman" w:eastAsiaTheme="minorEastAsia" w:hAnsi="Times New Roman" w:cs="Times New Roman"/>
          <w:sz w:val="24"/>
          <w:szCs w:val="24"/>
        </w:rPr>
        <w:t>evolving</w:t>
      </w:r>
      <w:r w:rsidR="002B457C" w:rsidRPr="00F153F6">
        <w:rPr>
          <w:rFonts w:ascii="Times New Roman" w:eastAsiaTheme="minorEastAsia" w:hAnsi="Times New Roman" w:cs="Times New Roman"/>
          <w:sz w:val="24"/>
          <w:szCs w:val="24"/>
        </w:rPr>
        <w:t xml:space="preserve"> dynamics? </w:t>
      </w:r>
      <w:r w:rsidR="00C83188" w:rsidRPr="00F153F6">
        <w:rPr>
          <w:rFonts w:ascii="Times New Roman" w:eastAsiaTheme="minorEastAsia" w:hAnsi="Times New Roman" w:cs="Times New Roman"/>
          <w:sz w:val="24"/>
          <w:szCs w:val="24"/>
        </w:rPr>
        <w:t xml:space="preserve">Which </w:t>
      </w:r>
      <w:r w:rsidR="002B457C" w:rsidRPr="00F153F6">
        <w:rPr>
          <w:rFonts w:ascii="Times New Roman" w:eastAsiaTheme="minorEastAsia" w:hAnsi="Times New Roman" w:cs="Times New Roman"/>
          <w:sz w:val="24"/>
          <w:szCs w:val="24"/>
        </w:rPr>
        <w:t xml:space="preserve">elements are changing during the </w:t>
      </w:r>
      <w:r w:rsidR="00846ECE" w:rsidRPr="00F153F6">
        <w:rPr>
          <w:rFonts w:ascii="Times New Roman" w:eastAsiaTheme="minorEastAsia" w:hAnsi="Times New Roman" w:cs="Times New Roman"/>
          <w:sz w:val="24"/>
          <w:szCs w:val="24"/>
        </w:rPr>
        <w:t>shifts,</w:t>
      </w:r>
      <w:r w:rsidR="002B457C" w:rsidRPr="00F153F6">
        <w:rPr>
          <w:rFonts w:ascii="Times New Roman" w:eastAsiaTheme="minorEastAsia" w:hAnsi="Times New Roman" w:cs="Times New Roman"/>
          <w:sz w:val="24"/>
          <w:szCs w:val="24"/>
        </w:rPr>
        <w:t xml:space="preserve"> and </w:t>
      </w:r>
      <w:r w:rsidR="00C83188" w:rsidRPr="00F153F6">
        <w:rPr>
          <w:rFonts w:ascii="Times New Roman" w:eastAsiaTheme="minorEastAsia" w:hAnsi="Times New Roman" w:cs="Times New Roman"/>
          <w:sz w:val="24"/>
          <w:szCs w:val="24"/>
        </w:rPr>
        <w:t xml:space="preserve">which are </w:t>
      </w:r>
      <w:r w:rsidR="002B457C" w:rsidRPr="00F153F6">
        <w:rPr>
          <w:rFonts w:ascii="Times New Roman" w:eastAsiaTheme="minorEastAsia" w:hAnsi="Times New Roman" w:cs="Times New Roman"/>
          <w:sz w:val="24"/>
          <w:szCs w:val="24"/>
        </w:rPr>
        <w:t xml:space="preserve">not? </w:t>
      </w:r>
      <w:r w:rsidR="00D145D9" w:rsidRPr="00F153F6">
        <w:rPr>
          <w:rFonts w:ascii="Times New Roman" w:eastAsiaTheme="minorEastAsia" w:hAnsi="Times New Roman" w:cs="Times New Roman"/>
          <w:sz w:val="24"/>
          <w:szCs w:val="24"/>
        </w:rPr>
        <w:t xml:space="preserve">And </w:t>
      </w:r>
      <w:r w:rsidR="00F4778A" w:rsidRPr="00F153F6">
        <w:rPr>
          <w:rFonts w:ascii="Times New Roman" w:eastAsiaTheme="minorEastAsia" w:hAnsi="Times New Roman" w:cs="Times New Roman"/>
          <w:sz w:val="24"/>
          <w:szCs w:val="24"/>
        </w:rPr>
        <w:t>how</w:t>
      </w:r>
      <w:r w:rsidR="002B457C" w:rsidRPr="00F153F6">
        <w:rPr>
          <w:rFonts w:ascii="Times New Roman" w:eastAsiaTheme="minorEastAsia" w:hAnsi="Times New Roman" w:cs="Times New Roman"/>
          <w:sz w:val="24"/>
          <w:szCs w:val="24"/>
        </w:rPr>
        <w:t xml:space="preserve"> is </w:t>
      </w:r>
      <w:r w:rsidR="00D145D9" w:rsidRPr="00F153F6">
        <w:rPr>
          <w:rFonts w:ascii="Times New Roman" w:eastAsiaTheme="minorEastAsia" w:hAnsi="Times New Roman" w:cs="Times New Roman"/>
          <w:sz w:val="24"/>
          <w:szCs w:val="24"/>
        </w:rPr>
        <w:t xml:space="preserve">the temporal </w:t>
      </w:r>
      <w:r w:rsidR="002B457C" w:rsidRPr="00F153F6">
        <w:rPr>
          <w:rFonts w:ascii="Times New Roman" w:eastAsiaTheme="minorEastAsia" w:hAnsi="Times New Roman" w:cs="Times New Roman"/>
          <w:sz w:val="24"/>
          <w:szCs w:val="24"/>
        </w:rPr>
        <w:t xml:space="preserve">context playing a role in the </w:t>
      </w:r>
      <w:r w:rsidR="00F4778A" w:rsidRPr="00F153F6">
        <w:rPr>
          <w:rFonts w:ascii="Times New Roman" w:eastAsiaTheme="minorEastAsia" w:hAnsi="Times New Roman" w:cs="Times New Roman"/>
          <w:sz w:val="24"/>
          <w:szCs w:val="24"/>
        </w:rPr>
        <w:t>evolving</w:t>
      </w:r>
      <w:r w:rsidR="002B457C" w:rsidRPr="00F153F6">
        <w:rPr>
          <w:rFonts w:ascii="Times New Roman" w:eastAsiaTheme="minorEastAsia" w:hAnsi="Times New Roman" w:cs="Times New Roman"/>
          <w:sz w:val="24"/>
          <w:szCs w:val="24"/>
        </w:rPr>
        <w:t xml:space="preserve"> dynamic?</w:t>
      </w:r>
      <w:r w:rsidR="00D145D9" w:rsidRPr="00F153F6">
        <w:rPr>
          <w:rFonts w:ascii="Times New Roman" w:eastAsiaTheme="minorEastAsia" w:hAnsi="Times New Roman" w:cs="Times New Roman"/>
          <w:sz w:val="24"/>
          <w:szCs w:val="24"/>
        </w:rPr>
        <w:t xml:space="preserve"> How to understand the concept of “temporality” in the </w:t>
      </w:r>
      <w:r w:rsidR="00F4778A" w:rsidRPr="00F153F6">
        <w:rPr>
          <w:rFonts w:ascii="Times New Roman" w:eastAsiaTheme="minorEastAsia" w:hAnsi="Times New Roman" w:cs="Times New Roman"/>
          <w:sz w:val="24"/>
          <w:szCs w:val="24"/>
        </w:rPr>
        <w:t>evolving</w:t>
      </w:r>
      <w:r w:rsidR="00D145D9" w:rsidRPr="00F153F6">
        <w:rPr>
          <w:rFonts w:ascii="Times New Roman" w:eastAsiaTheme="minorEastAsia" w:hAnsi="Times New Roman" w:cs="Times New Roman"/>
          <w:sz w:val="24"/>
          <w:szCs w:val="24"/>
        </w:rPr>
        <w:t xml:space="preserve"> ICT-based knowledge work?</w:t>
      </w:r>
    </w:p>
    <w:p w14:paraId="459B5F34" w14:textId="77A1D31E" w:rsidR="002B457C" w:rsidRPr="00F153F6" w:rsidRDefault="002B457C" w:rsidP="002B457C">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Such </w:t>
      </w:r>
      <w:r w:rsidR="001F4535" w:rsidRPr="00F153F6">
        <w:rPr>
          <w:rFonts w:ascii="Times New Roman" w:eastAsiaTheme="minorEastAsia" w:hAnsi="Times New Roman" w:cs="Times New Roman"/>
          <w:sz w:val="24"/>
          <w:szCs w:val="24"/>
        </w:rPr>
        <w:t xml:space="preserve">a </w:t>
      </w:r>
      <w:r w:rsidR="00205CF8" w:rsidRPr="00F153F6">
        <w:rPr>
          <w:rFonts w:ascii="Times New Roman" w:eastAsiaTheme="minorEastAsia" w:hAnsi="Times New Roman" w:cs="Times New Roman"/>
          <w:sz w:val="24"/>
          <w:szCs w:val="24"/>
        </w:rPr>
        <w:t>co-evolutionary nature of ICT-based IOKE practice has</w:t>
      </w:r>
      <w:r w:rsidR="00475024" w:rsidRPr="00F153F6">
        <w:rPr>
          <w:rFonts w:ascii="Times New Roman" w:eastAsiaTheme="minorEastAsia" w:hAnsi="Times New Roman" w:cs="Times New Roman"/>
          <w:sz w:val="24"/>
          <w:szCs w:val="24"/>
        </w:rPr>
        <w:t xml:space="preserve"> also</w:t>
      </w:r>
      <w:r w:rsidR="00205CF8" w:rsidRPr="00F153F6">
        <w:rPr>
          <w:rFonts w:ascii="Times New Roman" w:eastAsiaTheme="minorEastAsia" w:hAnsi="Times New Roman" w:cs="Times New Roman"/>
          <w:sz w:val="24"/>
          <w:szCs w:val="24"/>
        </w:rPr>
        <w:t xml:space="preserve"> largely enriched </w:t>
      </w:r>
      <w:r w:rsidR="00B94D80" w:rsidRPr="00F153F6">
        <w:rPr>
          <w:rFonts w:ascii="Times New Roman" w:eastAsiaTheme="minorEastAsia" w:hAnsi="Times New Roman" w:cs="Times New Roman"/>
          <w:sz w:val="24"/>
          <w:szCs w:val="24"/>
        </w:rPr>
        <w:t>technology affordance studies</w:t>
      </w:r>
      <w:r w:rsidRPr="00F153F6">
        <w:rPr>
          <w:rFonts w:ascii="Times New Roman" w:eastAsiaTheme="minorEastAsia" w:hAnsi="Times New Roman" w:cs="Times New Roman"/>
          <w:sz w:val="24"/>
          <w:szCs w:val="24"/>
        </w:rPr>
        <w:t xml:space="preserve"> </w:t>
      </w:r>
      <w:r w:rsidR="00846ECE" w:rsidRPr="00F153F6">
        <w:rPr>
          <w:rFonts w:ascii="Times New Roman" w:eastAsiaTheme="minorEastAsia" w:hAnsi="Times New Roman" w:cs="Times New Roman"/>
          <w:sz w:val="24"/>
          <w:szCs w:val="24"/>
        </w:rPr>
        <w:t xml:space="preserve">in the </w:t>
      </w:r>
      <w:r w:rsidRPr="00F153F6">
        <w:rPr>
          <w:rFonts w:ascii="Times New Roman" w:eastAsiaTheme="minorEastAsia" w:hAnsi="Times New Roman" w:cs="Times New Roman"/>
          <w:sz w:val="24"/>
          <w:szCs w:val="24"/>
        </w:rPr>
        <w:t>knowledge work</w:t>
      </w:r>
      <w:r w:rsidR="00846ECE" w:rsidRPr="00F153F6">
        <w:rPr>
          <w:rFonts w:ascii="Times New Roman" w:eastAsiaTheme="minorEastAsia" w:hAnsi="Times New Roman" w:cs="Times New Roman"/>
          <w:sz w:val="24"/>
          <w:szCs w:val="24"/>
        </w:rPr>
        <w:t xml:space="preserve"> settings</w:t>
      </w:r>
      <w:r w:rsidR="00B94D80" w:rsidRPr="00F153F6">
        <w:rPr>
          <w:rFonts w:ascii="Times New Roman" w:eastAsiaTheme="minorEastAsia" w:hAnsi="Times New Roman" w:cs="Times New Roman"/>
          <w:sz w:val="24"/>
          <w:szCs w:val="24"/>
        </w:rPr>
        <w:t xml:space="preserve">. </w:t>
      </w:r>
      <w:r w:rsidRPr="00F153F6">
        <w:rPr>
          <w:rFonts w:ascii="Times New Roman" w:eastAsiaTheme="minorEastAsia" w:hAnsi="Times New Roman" w:cs="Times New Roman"/>
          <w:sz w:val="24"/>
          <w:szCs w:val="24"/>
        </w:rPr>
        <w:t>For example, the present study has identified different bundles of ICT affordances and constraints that are connected for different knowledgeabilit</w:t>
      </w:r>
      <w:r w:rsidR="00AB264C" w:rsidRPr="00F153F6">
        <w:rPr>
          <w:rFonts w:ascii="Times New Roman" w:eastAsiaTheme="minorEastAsia" w:hAnsi="Times New Roman" w:cs="Times New Roman"/>
          <w:sz w:val="24"/>
          <w:szCs w:val="24"/>
        </w:rPr>
        <w:t>ies</w:t>
      </w:r>
      <w:r w:rsidRPr="00F153F6">
        <w:rPr>
          <w:rFonts w:ascii="Times New Roman" w:eastAsiaTheme="minorEastAsia" w:hAnsi="Times New Roman" w:cs="Times New Roman"/>
          <w:sz w:val="24"/>
          <w:szCs w:val="24"/>
        </w:rPr>
        <w:t xml:space="preserve"> in ICT-based IOKE practice. Existing literature indicates that ICT artefacts can provide multiple affordances (i.e., bundle of affordance) and these affordances are interrelated and interdependent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{"citationID":"U9ZCzyWA","properties":{"formattedCitation":"(Volkoff &amp; Strong, 2017; H. Wang et al., 2018)","plainCitation":"(Volkoff &amp; Strong, 2017; H. Wang et al., 2018)","noteIndex":0},"citationItems":[{"id":10198,"uris":["http://zotero.org/users/5709166/items/BDAFLBCH"],"itemData":{"id":10198,"type":"chapter","abstract":"In this chapter we provide an overview of Affordance Theory, and provide guidance to IS researchers on how to use it properly and productively in their research. We start by examining the core features of Gibson’s original theory and considering some of the challenges we encounter when translating it from ecological psychology to IS. We then distill these observations into six principles for appropriately applying an affordance lens for IS research, after which we discuss three unresolved issues and our views on how these might be addressed. The chapter then comments on the critical realist underpinnings of affordance theory, and how researchers who are not critical realists might utilize an affordance lens nonetheless. It concludes by identifying research opportunities enabled by the application of an affordance lens, and the observation that by finally having a tool that allows us to include the IT artifact appropriately, our theories become of real value to practitioners.","container-title":"The Routledge Companion to Management Information Systems","edition":"1","event-place":"Abingdon, Oxon ; New York, NY : Routledge, 2017.","ISBN":"978-1-315-61936-1","language":"en","note":"DOI: 10.4324/9781315619361-18","page":"232-245","publisher":"Routledge","publisher-place":"Abingdon, Oxon ; New York, NY : Routledge, 2017.","source":"DOI.org (Crossref)","title":"Affordance theory and how to use it in IS research","URL":"https://www.taylorfrancis.com/books/9781317213727/chapters/10.4324/9781315619361-18","editor":[{"family":"Galliers","given":"Robert D."},{"family":"Stein","given":"Mari-Klara"}],"author":[{"family":"Volkoff","given":"Olga"},{"family":"Strong","given":"Diane M."}],"accessed":{"date-parts":[["2022",8,22]]},"issued":{"date-parts":[["2017",8,15]]}}},{"id":10358,"uris":["http://zotero.org/users/5709166/items/95MTTMA4"],"itemData":{"id":10358,"type":"article-journal","abstract":"This paper analyzes the status quo and tendency of the affordance theory in Information System literature, which can help us understand the relationship between technologies, users and organizations. This would pose a significant value on the related organizational changes and the use of social media. Based on the data from top journals, we reviewed 111 papers from Information Systems, Organization Studies and Management literatures on affordances according to the method of bibliometrics. From the analysis, we know that although the Information System discipline was a relatively late adopter, there is a large space to explore affordances in IS context. Based on the theoretical framework of affordances existence, perception, actualization and effects, we review the primary researches on affordances in IS discipline. In conclusion, IS scholars should focus on the affordance actualization, consider social affordances alongside technological affordances and improve our understanding of IT/IS-related organizational change and social media use in complicated social process.","container-title":"Journal of Service Science and Management","DOI":"10.4236/jssm.2018.111006","issue":"1","language":"en","license":"http://creativecommons.org/licenses/by/4.0/","note":"number: 1\npublisher: Scientific Research Publishing","page":"56-70","source":"www.scirp.org","title":"A Review of Application of Affordance Theory in Information Systems","volume":"11","author":[{"family":"Wang","given":"Huifen"},{"family":"Wang","given":"Jialu"},{"family":"Tang","given":"Qiuhong"}],"issued":{"date-parts":[["2018",1,10]]}}}],"schema":"https://github.com/citation-style-language/schema/raw/master/csl-citation.json"}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hAnsi="Times New Roman" w:cs="Times New Roman"/>
          <w:sz w:val="24"/>
          <w:szCs w:val="24"/>
        </w:rPr>
        <w:t>(Volkoff &amp; Strong, 2017; Wang et al., 2018)</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Studying the relationships between diverse affordances is significant to understand how and when action possibilities emerge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{"citationID":"O2W4yUac","properties":{"formattedCitation":"(Bloomfield et al., 2010; Strong et al., 2014)","plainCitation":"(Bloomfield et al., 2010; Strong et al., 2014)","noteIndex":0},"citationItems":[{"id":10384,"uris":["http://zotero.org/users/5709166/items/Y7HKGZ4W"],"itemData":{"id":10384,"type":"article-journal","abstract":"Borrowed from ecological psychology, the concept of affordances is often said to offer the social study of technology a means of re-framing the question of what is, and what is not, ?social? about technological artefacts. The concept, many argue, enables us to chart a safe course between the perils of technological determinism and social constructivism. This article questions the sociological adequacy of the concept as conventionally deployed. Drawing on ethnographic work on the ways technological artefacts engage, and are engaged by, disabled bodies, we propose that the ?affordances? of technological objects are not reducible to their material constitution but are inextricably bound up with specific, historically situated modes of engagement and ways of life.","container-title":"Sociology","DOI":"10.1177/0038038510362469","ISSN":"0038-0385","issue":"3","note":"publisher: SAGE Publications Ltd","page":"415-433","source":"SAGE Journals","title":"Bodies, Technologies and Action Possibilities: When is an Affordance?","title-short":"Bodies, Technologies and Action Possibilities","volume":"44","author":[{"family":"Bloomfield","given":"Brian P."},{"family":"Latham","given":"Yvonne"},{"family":"Vurdubakis","given":"Theo"}],"issued":{"date-parts":[["2010",6,1]]}}},{"id":10381,"uris":["http://zotero.org/users/5709166/items/32XYD8ZF"],"itemData":{"id":10381,"type":"article-journal","abstract":"While organizations implement information technology (IT) to effect change, current theories of IT-associated organizational change pay insufficient attention to the change goals, the role of IT in organizational change, and the multilevel nature of change processes. We take a fresh look at IT-associated organizational change using grounded theory methods. Our longitudinal study of an electronic health record (EHR) system implementation in a multi-site medical group found user behaviors that did not fit well with existing theories. Instead, we found that they fit better with the concept of affordances from ecological psychology. In developing our affordance-based theory of IT-associated organizational change from our field data, we discovered three gaps in the affordance literature; namely, the lack of theory for (1) the process of actualizing an affordance’s potential, (2) affordances in an organizational context, and (3) bundles of interrelated affordances. This paper extends the theory of affordances to handle these three gaps and, in doing so, develops a mid-range theory for EHR-associated organizational change in a healthcare organization. While the resulting theory is specific to EHR implementations, it offers a template for other mid-range affordanceactualization theories and a more general affordance-actualization lens. Our affordance-actualization lens considers the materiality of the IT artifact, the non-deterministic process by which IT leads to organizational effects, the multilevel nature of IT-associated change processes, and the intentionality of managers and users as agents of change, and thus addresses important criteria for theories of IT effects in organizations. The paper also provides practical guidance for implementing EHR systems and other organizational systems.","container-title":"Journal of the Association for Information Systems","DOI":"10.17705/1jais.00353","ISSN":"15369323","issue":"2","journalAbbreviation":"JAIS","language":"en","page":"53-85","source":"DOI.org (Crossref)","title":"A Theory of Organization-EHR Affordance Actualization","volume":"15","author":[{"family":"Strong","given":"Diane"},{"family":"Volkoff","given":"Olga"},{"family":"Johnson","given":"Sharon"},{"family":"Pelletier","given":"Lori"},{"family":"Tulu","given":"Bengisu"},{"family":"Bar-On","given":"Isa"},{"family":"Trudel","given":"John"},{"family":"Garber","given":"Lawrence"}],"issued":{"date-parts":[["2014",2]]}}}],"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hAnsi="Times New Roman" w:cs="Times New Roman"/>
          <w:sz w:val="24"/>
          <w:szCs w:val="24"/>
        </w:rPr>
        <w:t>(Bloomfield et al., 2010; Strong et al., 2014)</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The present findings suggest </w:t>
      </w:r>
      <w:r w:rsidRPr="00F153F6">
        <w:rPr>
          <w:rFonts w:ascii="Times New Roman" w:eastAsiaTheme="minorEastAsia" w:hAnsi="Times New Roman" w:cs="Times New Roman"/>
          <w:sz w:val="24"/>
          <w:szCs w:val="24"/>
        </w:rPr>
        <w:lastRenderedPageBreak/>
        <w:t>that actors need to actualise a bundle of affordances or constraints of ICT so that they can enact their corresponding knowledgeability. This means that ICT affordances and constraints are bundled in a way that serve a distinct knowing-oriented goal, and as the goal changes the bundle of affordances and constraints</w:t>
      </w:r>
      <w:r w:rsidR="00AB264C" w:rsidRPr="00F153F6">
        <w:rPr>
          <w:rFonts w:ascii="Times New Roman" w:eastAsiaTheme="minorEastAsia" w:hAnsi="Times New Roman" w:cs="Times New Roman"/>
          <w:sz w:val="24"/>
          <w:szCs w:val="24"/>
        </w:rPr>
        <w:t xml:space="preserve"> also</w:t>
      </w:r>
      <w:r w:rsidRPr="00F153F6">
        <w:rPr>
          <w:rFonts w:ascii="Times New Roman" w:eastAsiaTheme="minorEastAsia" w:hAnsi="Times New Roman" w:cs="Times New Roman"/>
          <w:sz w:val="24"/>
          <w:szCs w:val="24"/>
        </w:rPr>
        <w:t xml:space="preserve"> change. Therefore, the present study extends current understanding on the relationship among ICT affordances by identifying what affordances/constraints are bundled for which knowledgeability and how they co-evolve over different project life stages towards </w:t>
      </w:r>
      <w:r w:rsidR="00F4778A" w:rsidRPr="00F153F6">
        <w:rPr>
          <w:rFonts w:ascii="Times New Roman" w:eastAsiaTheme="minorEastAsia" w:hAnsi="Times New Roman" w:cs="Times New Roman"/>
          <w:sz w:val="24"/>
          <w:szCs w:val="24"/>
        </w:rPr>
        <w:t>an</w:t>
      </w:r>
      <w:r w:rsidRPr="00F153F6">
        <w:rPr>
          <w:rFonts w:ascii="Times New Roman" w:eastAsiaTheme="minorEastAsia" w:hAnsi="Times New Roman" w:cs="Times New Roman"/>
          <w:sz w:val="24"/>
          <w:szCs w:val="24"/>
        </w:rPr>
        <w:t xml:space="preserve"> </w:t>
      </w:r>
      <w:r w:rsidR="00F4778A" w:rsidRPr="00F153F6">
        <w:rPr>
          <w:rFonts w:ascii="Times New Roman" w:eastAsiaTheme="minorEastAsia" w:hAnsi="Times New Roman" w:cs="Times New Roman"/>
          <w:sz w:val="24"/>
          <w:szCs w:val="24"/>
        </w:rPr>
        <w:t>evolving</w:t>
      </w:r>
      <w:r w:rsidRPr="00F153F6">
        <w:rPr>
          <w:rFonts w:ascii="Times New Roman" w:eastAsiaTheme="minorEastAsia" w:hAnsi="Times New Roman" w:cs="Times New Roman"/>
          <w:sz w:val="24"/>
          <w:szCs w:val="24"/>
        </w:rPr>
        <w:t xml:space="preserve"> dynamic of ICT-based IOKE practice.  </w:t>
      </w:r>
    </w:p>
    <w:p w14:paraId="1A9DF842" w14:textId="6F5AC5F9" w:rsidR="002B457C" w:rsidRPr="00F153F6" w:rsidRDefault="002B457C"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lang w:eastAsia="zh-CN"/>
        </w:rPr>
        <w:t>In addition, the present study has explored various ICT afforded/constrained abilities that allow human</w:t>
      </w:r>
      <w:r w:rsidR="001F4535" w:rsidRPr="00F153F6">
        <w:rPr>
          <w:rFonts w:ascii="Times New Roman" w:eastAsiaTheme="minorEastAsia" w:hAnsi="Times New Roman" w:cs="Times New Roman"/>
          <w:sz w:val="24"/>
          <w:szCs w:val="24"/>
          <w:lang w:eastAsia="zh-CN"/>
        </w:rPr>
        <w:t>s</w:t>
      </w:r>
      <w:r w:rsidRPr="00F153F6">
        <w:rPr>
          <w:rFonts w:ascii="Times New Roman" w:eastAsiaTheme="minorEastAsia" w:hAnsi="Times New Roman" w:cs="Times New Roman"/>
          <w:sz w:val="24"/>
          <w:szCs w:val="24"/>
          <w:lang w:eastAsia="zh-CN"/>
        </w:rPr>
        <w:t xml:space="preserve"> to </w:t>
      </w:r>
      <w:r w:rsidRPr="00F153F6">
        <w:rPr>
          <w:rFonts w:ascii="Times New Roman" w:eastAsiaTheme="minorEastAsia" w:hAnsi="Times New Roman" w:cs="Times New Roman"/>
          <w:sz w:val="24"/>
          <w:szCs w:val="24"/>
        </w:rPr>
        <w:t xml:space="preserve">accomplish their knowledge work. These afforded/constrained abilities demonstrate an actualisation process of ICT affordance – how ICT affordances/constraints are </w:t>
      </w:r>
      <w:r w:rsidRPr="00F153F6">
        <w:rPr>
          <w:rFonts w:ascii="Times New Roman" w:eastAsiaTheme="minorEastAsia" w:hAnsi="Times New Roman" w:cs="Times New Roman"/>
          <w:sz w:val="24"/>
          <w:szCs w:val="24"/>
          <w:lang w:eastAsia="zh-CN"/>
        </w:rPr>
        <w:t xml:space="preserve">actualised by actors as they engage with different ICT artefacts. </w:t>
      </w:r>
      <w:r w:rsidRPr="00F153F6">
        <w:rPr>
          <w:rFonts w:ascii="Times New Roman" w:eastAsiaTheme="minorEastAsia" w:hAnsi="Times New Roman" w:cs="Times New Roman"/>
          <w:sz w:val="24"/>
          <w:szCs w:val="24"/>
        </w:rPr>
        <w:t xml:space="preserve">As Strong et al.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{"citationID":"jyPmjrZx","properties":{"formattedCitation":"(2014, p. 70)","plainCitation":"(2014, p. 70)","noteIndex":0},"citationItems":[{"id":10381,"uris":["http://zotero.org/users/5709166/items/32XYD8ZF"],"itemData":{"id":10381,"type":"article-journal","abstract":"While organizations implement information technology (IT) to effect change, current theories of IT-associated organizational change pay insufficient attention to the change goals, the role of IT in organizational change, and the multilevel nature of change processes. We take a fresh look at IT-associated organizational change using grounded theory methods. Our longitudinal study of an electronic health record (EHR) system implementation in a multi-site medical group found user behaviors that did not fit well with existing theories. Instead, we found that they fit better with the concept of affordances from ecological psychology. In developing our affordance-based theory of IT-associated organizational change from our field data, we discovered three gaps in the affordance literature; namely, the lack of theory for (1) the process of actualizing an affordance’s potential, (2) affordances in an organizational context, and (3) bundles of interrelated affordances. This paper extends the theory of affordances to handle these three gaps and, in doing so, develops a mid-range theory for EHR-asso</w:instrText>
      </w:r>
      <w:r w:rsidRPr="00F153F6">
        <w:rPr>
          <w:rFonts w:ascii="Times New Roman" w:eastAsiaTheme="minorEastAsia" w:hAnsi="Times New Roman" w:cs="Times New Roman"/>
          <w:sz w:val="24"/>
          <w:szCs w:val="24"/>
          <w:lang w:eastAsia="zh-CN"/>
        </w:rPr>
        <w:instrText xml:space="preserve">ciated organizational change in a healthcare organization. While the resulting theory is specific to EHR implementations, it offers a template for other mid-range affordanceactualization theories and a more general affordance-actualization lens. Our affordance-actualization lens considers the materiality of the IT artifact, the non-deterministic process by which IT leads to organizational effects, the multilevel nature of IT-associated change processes, and the intentionality of managers and users as agents of change, and thus addresses important criteria for theories of IT effects in organizations. The paper also provides practical guidance for implementing EHR systems and other organizational systems.","container-title":"Journal of the Association for Information Systems","DOI":"10.17705/1jais.00353","ISSN":"15369323","issue":"2","journalAbbreviation":"JAIS","language":"en","page":"53-85","source":"DOI.org (Crossref)","title":"A Theory of Organization-EHR Affordance Actualization","volume":"15","author":[{"family":"Strong","given":"Diane"},{"family":"Volkoff","given":"Olga"},{"family":"Johnson","given":"Sharon"},{"family":"Pelletier","given":"Lori"},{"family":"Tulu","given":"Bengisu"},{"family":"Bar-On","given":"Isa"},{"family":"Trudel","given":"John"},{"family":"Garber","given":"Lawrence"}],"issued":{"date-parts":[["2014",2]]}},"locator":"70","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hAnsi="Times New Roman" w:cs="Times New Roman"/>
          <w:sz w:val="24"/>
          <w:szCs w:val="24"/>
          <w:lang w:eastAsia="zh-CN"/>
        </w:rPr>
        <w:t>(2014, p. 70)</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defined, affordance actualisation is “the actions taken by actors as they take advantage of one or more affordances through their use of the technology to achieve immediate concrete outcomes in support of organizational goals”. In the context of the present study, these immediate concrete outcomes are the accomplishment of know-how, and the afforded/constrained abilities show the actions taken by actors as they utilise ICT affordances in support of their knowledge work. By </w:t>
      </w:r>
      <w:r w:rsidR="002245EA" w:rsidRPr="00F153F6">
        <w:rPr>
          <w:rFonts w:ascii="Times New Roman" w:eastAsiaTheme="minorEastAsia" w:hAnsi="Times New Roman" w:cs="Times New Roman"/>
          <w:sz w:val="24"/>
          <w:szCs w:val="24"/>
        </w:rPr>
        <w:t>identifying</w:t>
      </w:r>
      <w:r w:rsidRPr="00F153F6">
        <w:rPr>
          <w:rFonts w:ascii="Times New Roman" w:eastAsiaTheme="minorEastAsia" w:hAnsi="Times New Roman" w:cs="Times New Roman"/>
          <w:sz w:val="24"/>
          <w:szCs w:val="24"/>
        </w:rPr>
        <w:t xml:space="preserve"> various ICT afforded/constrained abilities, the present study therefore contributes to affordance actualisation theory by connecting ICT affordances/constraints to associated knowing-oriented goals (i.e., human intentionality of know-how). This can inform the design of ICT artefacts that are easier to use in the context of human knowledge work. Existing applications of affordance theory in </w:t>
      </w:r>
      <w:r w:rsidR="001F4535" w:rsidRPr="00F153F6">
        <w:rPr>
          <w:rFonts w:ascii="Times New Roman" w:eastAsiaTheme="minorEastAsia" w:hAnsi="Times New Roman" w:cs="Times New Roman"/>
          <w:sz w:val="24"/>
          <w:szCs w:val="24"/>
        </w:rPr>
        <w:t xml:space="preserve">the </w:t>
      </w:r>
      <w:r w:rsidRPr="00F153F6">
        <w:rPr>
          <w:rFonts w:ascii="Times New Roman" w:eastAsiaTheme="minorEastAsia" w:hAnsi="Times New Roman" w:cs="Times New Roman"/>
          <w:sz w:val="24"/>
          <w:szCs w:val="24"/>
        </w:rPr>
        <w:t>IS discipline show that there may be missteps or obstacles when actors actualise affordance</w:t>
      </w:r>
      <w:r w:rsidR="001F4535" w:rsidRPr="00F153F6">
        <w:rPr>
          <w:rFonts w:ascii="Times New Roman" w:eastAsiaTheme="minorEastAsia" w:hAnsi="Times New Roman" w:cs="Times New Roman"/>
          <w:sz w:val="24"/>
          <w:szCs w:val="24"/>
        </w:rPr>
        <w:t>s</w:t>
      </w:r>
      <w:r w:rsidRPr="00F153F6">
        <w:rPr>
          <w:rFonts w:ascii="Times New Roman" w:eastAsiaTheme="minorEastAsia" w:hAnsi="Times New Roman" w:cs="Times New Roman"/>
          <w:sz w:val="24"/>
          <w:szCs w:val="24"/>
        </w:rPr>
        <w:t xml:space="preserve"> in </w:t>
      </w:r>
      <w:r w:rsidR="001F4535" w:rsidRPr="00F153F6">
        <w:rPr>
          <w:rFonts w:ascii="Times New Roman" w:eastAsiaTheme="minorEastAsia" w:hAnsi="Times New Roman" w:cs="Times New Roman"/>
          <w:sz w:val="24"/>
          <w:szCs w:val="24"/>
        </w:rPr>
        <w:t xml:space="preserve">the </w:t>
      </w:r>
      <w:r w:rsidRPr="00F153F6">
        <w:rPr>
          <w:rFonts w:ascii="Times New Roman" w:eastAsiaTheme="minorEastAsia" w:hAnsi="Times New Roman" w:cs="Times New Roman"/>
          <w:sz w:val="24"/>
          <w:szCs w:val="24"/>
        </w:rPr>
        <w:t xml:space="preserve">real domain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{"citationID":"xZrCMrav","properties":{"formattedCitation":"(Strong et al., 2014; Volkoff &amp; Strong, 2017)","plainCitation":"(Strong et al., 2014; Volkoff &amp; Strong, 2017)","noteIndex":0},"citationItems":[{"id":10381,"uris":["http://zotero.org/users/5709166/items/32XYD8ZF"],"itemData":{"id":10381,"type":"article-journal","abstract":"While organizations implement information technology (IT) to effect change, current theories of IT-associated organizational change pay insufficient attention to the change goals, the role of IT in organizational change, and the multilevel nature of change processes. We take a fresh look at IT-associated organizational change using grounded theory methods. Our longitudinal study of an electronic health record (EHR) system implementation in a multi-site medical group found user behaviors that did not fit well with existing theories. Instead, we found that they fit better with the concept of affordances from ecological psychology. In developing our affordance-based theory of IT-associated organizational change from our field data, we discovered three gaps in the affordance literature; namely, the lack of theory for (1) the process of actualizing an affordance’s potential, (2) affordances in an organizational context, and (3) bundles of interrelated affordances. This paper extends the theory of affordances to handle these three gaps and, in doing so, develops a mid-range theory for EHR-associated organizational change in a healthcare organization. While the resulting theory is specific to EHR implementations, it offers a template for other mid-range affordanceactualization theories and a more general affordance-actualization lens. Our affordance-actualization lens considers the materiality of the IT artifact, the non-deterministic process by which IT leads to organizational effects, the multilevel nature of IT-associated change processes, and the intentionality of managers and users as agents of change, and thus addresses important criteria for theories of IT effects in organizations. The paper also provides practical guidance for implementing EHR systems and other organizational systems.","container-title":"Journal of the Association for Information Systems","DOI":"10.17705/1jais.00353","ISSN":"15369323","issue":"2","journalAbbreviation":"JAIS","language":"en","page":"53-85","source":"DOI.org (Crossref)","title":"A Theory of Organization-EHR Affordance Actualization","volume":"15","author":[{"family":"Strong","given":"Diane"},{"family":"Volkoff","given":"Olga"},{"family":"Johnson","given":"Sharon"},{"family":"Pelletier","given":"Lori"},{"family":"Tulu","given":"Bengisu"},{"family":"Bar-On","given":"Isa"},{"family":"Trudel","given":"John"},{"family":"Garber","given":"Lawrence"}],"issued":{"date-parts":[["2014",2]]}}},{"id":10198,"uris":["http://zotero.org/users/5709166/items/BDAFLBCH"],"itemData":{"id":10198,"type":"chapter","abstract":"In this chapter we provide an overview of Affordance Theory, and provide guidance to IS researchers on how to use it properly and productively in their research. We start by examining the core features of Gibson’s original theory and considering some of the challenges we encounter when translating it from ecological psychology to IS. We then distill these observations into six principles for appropriately applying an affordance lens for IS research, after which we discuss three unresolved issues and our views on how these might be addressed. The chapter then comments on the critical realist underpinnings of affordance theory, and how researchers who are not critical realists might utilize an affordance lens nonetheless. It concludes by identifying research opportunities enabled by the application of an affordance lens, and the observation that by finally having a tool that allows us to include the IT artifact appropriately, our theories become of real value to practitioners.","container-title":"The Routledge Companion to Management Information Systems","edition":"1","event-place":"Abingdon, Oxon ; New York, NY : Routledge, 2017.","ISBN":"978-1-315-61936-1","language":"en","note":"DOI: 10.4324/9781315619361-18","page":"232-245","publisher":"Routledge","publisher-place":"Abingdon, Oxon ; New York, NY : Routledge, 2017.","source":"DOI.org (Crossref)","title":"Affordance theory and how to use it in IS research","URL":"https://www.taylorfrancis.com/books/9781317213727/chapters/10.4324/9781315619361-18","editor":[{"family":"Galliers","given":"Robert D."},{"family":"Stein","given":"Mari-Klara"}],"author":[{"family":"Volkoff","given":"Olga"},{"family":"Strong","given":"Diane M."}],"accessed":{"date-parts":[["2022",8,22]]},"issued":{"date-parts":[["2017",8,15]]}}}],"schema":"https://github.com/citation-style-language/schema/raw/master/csl-citation.json"}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hAnsi="Times New Roman" w:cs="Times New Roman"/>
          <w:sz w:val="24"/>
          <w:szCs w:val="24"/>
        </w:rPr>
        <w:t>(Strong et al., 2014; Volkoff &amp; Strong, 2017)</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Therefore, researcher</w:t>
      </w:r>
      <w:r w:rsidR="00AB264C" w:rsidRPr="00F153F6">
        <w:rPr>
          <w:rFonts w:ascii="Times New Roman" w:eastAsiaTheme="minorEastAsia" w:hAnsi="Times New Roman" w:cs="Times New Roman"/>
          <w:sz w:val="24"/>
          <w:szCs w:val="24"/>
        </w:rPr>
        <w:t>s</w:t>
      </w:r>
      <w:r w:rsidRPr="00F153F6">
        <w:rPr>
          <w:rFonts w:ascii="Times New Roman" w:eastAsiaTheme="minorEastAsia" w:hAnsi="Times New Roman" w:cs="Times New Roman"/>
          <w:sz w:val="24"/>
          <w:szCs w:val="24"/>
        </w:rPr>
        <w:t xml:space="preserve"> should pay more attention on the process of affordance actualisation to demonstrate enabled or limited abilities that actors encounter during their organisation work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{"citationID":"4eOd5iyi","properties":{"formattedCitation":"(H. Wang et al., 2018)","plainCitation":"(H. Wang et al., 2018)","dontUpdate":true,"noteIndex":0},"citationItems":[{"id":10358,"uris":["http://zotero.org/users/5709166/items/95MTTMA4"],"itemData":{"id":10358,"type":"article-journal","abstract":"This paper analyzes the status quo and tendency of the affordance theory in Information System literature, which can help us understand the relationship between technologies, users and organizations. This would pose a significant value on the related organizational changes and the use of social media. Based on the data from top journals, we reviewed 111 papers from Information Systems, Organization Studies and Management literatures on affordances according to the method of bibliometrics. From the analysis, we know that although the Information System discipline was a relatively late adopter, there is a large space to explore affordances in IS context. Based on the theoretical framework of affordances existence, perception, actualization and effects, we review the primary researches on affordances in IS discipline. In conclusion, IS scholars should focus on the affordance actualization, consider social affordances alongside technological affordances and improve our understanding of IT/IS-related organizational change and social media use in complicated social process.","container-title":"Journal of Service Science and Management","DOI":"10.4236/jssm.2018.111006","issue":"1","language":"en","license":"http://creativecommons.org/licenses/by/4.0/","note":"number: 1\npublisher: Scientific Research Publishing","page":"56-70","source":"www.scirp.org","title":"A Review of Application of Affordance Theory in Information Systems","volume":"11","author":[{"family":"Wang","given":"Huifen"},{"family":"Wang","given":"Jialu"},{"family":"Tang","given":"Qiuhong"}],"issued":{"date-parts":[["2018",1,10]]}}}],"schema":"https://github.com/citation-style-language/schema/raw/master/csl-citation.json"}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hAnsi="Times New Roman" w:cs="Times New Roman"/>
          <w:sz w:val="24"/>
          <w:szCs w:val="24"/>
        </w:rPr>
        <w:t>(Wang et al., 2018)</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The present study thus responds to such call</w:t>
      </w:r>
      <w:r w:rsidR="001F4535" w:rsidRPr="00F153F6">
        <w:rPr>
          <w:rFonts w:ascii="Times New Roman" w:eastAsiaTheme="minorEastAsia" w:hAnsi="Times New Roman" w:cs="Times New Roman"/>
          <w:sz w:val="24"/>
          <w:szCs w:val="24"/>
        </w:rPr>
        <w:t>s</w:t>
      </w:r>
      <w:r w:rsidRPr="00F153F6">
        <w:rPr>
          <w:rFonts w:ascii="Times New Roman" w:eastAsiaTheme="minorEastAsia" w:hAnsi="Times New Roman" w:cs="Times New Roman"/>
          <w:sz w:val="24"/>
          <w:szCs w:val="24"/>
        </w:rPr>
        <w:t xml:space="preserve"> by demonstrating various</w:t>
      </w:r>
      <w:r w:rsidR="002245EA" w:rsidRPr="00F153F6">
        <w:rPr>
          <w:rFonts w:ascii="Times New Roman" w:eastAsiaTheme="minorEastAsia" w:hAnsi="Times New Roman" w:cs="Times New Roman"/>
          <w:sz w:val="24"/>
          <w:szCs w:val="24"/>
        </w:rPr>
        <w:t xml:space="preserve"> evolving</w:t>
      </w:r>
      <w:r w:rsidRPr="00F153F6">
        <w:rPr>
          <w:rFonts w:ascii="Times New Roman" w:eastAsiaTheme="minorEastAsia" w:hAnsi="Times New Roman" w:cs="Times New Roman"/>
          <w:sz w:val="24"/>
          <w:szCs w:val="24"/>
        </w:rPr>
        <w:t xml:space="preserve"> ICT afforded/constrained abilities in order to extend understanding </w:t>
      </w:r>
      <w:r w:rsidR="001F4535" w:rsidRPr="00F153F6">
        <w:rPr>
          <w:rFonts w:ascii="Times New Roman" w:eastAsiaTheme="minorEastAsia" w:hAnsi="Times New Roman" w:cs="Times New Roman"/>
          <w:sz w:val="24"/>
          <w:szCs w:val="24"/>
        </w:rPr>
        <w:t xml:space="preserve">of </w:t>
      </w:r>
      <w:r w:rsidRPr="00F153F6">
        <w:rPr>
          <w:rFonts w:ascii="Times New Roman" w:eastAsiaTheme="minorEastAsia" w:hAnsi="Times New Roman" w:cs="Times New Roman"/>
          <w:sz w:val="24"/>
          <w:szCs w:val="24"/>
        </w:rPr>
        <w:t>the ease or difficulties that human</w:t>
      </w:r>
      <w:r w:rsidR="001F4535" w:rsidRPr="00F153F6">
        <w:rPr>
          <w:rFonts w:ascii="Times New Roman" w:eastAsiaTheme="minorEastAsia" w:hAnsi="Times New Roman" w:cs="Times New Roman"/>
          <w:sz w:val="24"/>
          <w:szCs w:val="24"/>
        </w:rPr>
        <w:t>s</w:t>
      </w:r>
      <w:r w:rsidRPr="00F153F6">
        <w:rPr>
          <w:rFonts w:ascii="Times New Roman" w:eastAsiaTheme="minorEastAsia" w:hAnsi="Times New Roman" w:cs="Times New Roman"/>
          <w:sz w:val="24"/>
          <w:szCs w:val="24"/>
        </w:rPr>
        <w:t xml:space="preserve"> encounter as they actualise ICT affordances or constraints</w:t>
      </w:r>
      <w:r w:rsidR="00625C0E" w:rsidRPr="00F153F6">
        <w:rPr>
          <w:rFonts w:ascii="Times New Roman" w:eastAsiaTheme="minorEastAsia" w:hAnsi="Times New Roman" w:cs="Times New Roman"/>
          <w:sz w:val="24"/>
          <w:szCs w:val="24"/>
        </w:rPr>
        <w:t xml:space="preserve"> in knowledge work </w:t>
      </w:r>
      <w:r w:rsidR="008817B9" w:rsidRPr="00F153F6">
        <w:rPr>
          <w:rFonts w:ascii="Times New Roman" w:eastAsiaTheme="minorEastAsia" w:hAnsi="Times New Roman" w:cs="Times New Roman"/>
          <w:sz w:val="24"/>
          <w:szCs w:val="24"/>
        </w:rPr>
        <w:t>overtime</w:t>
      </w:r>
      <w:r w:rsidRPr="00F153F6">
        <w:rPr>
          <w:rFonts w:ascii="Times New Roman" w:eastAsiaTheme="minorEastAsia" w:hAnsi="Times New Roman" w:cs="Times New Roman"/>
          <w:sz w:val="24"/>
          <w:szCs w:val="24"/>
        </w:rPr>
        <w:t>.</w:t>
      </w:r>
      <w:r w:rsidR="00471B9A" w:rsidRPr="00F153F6">
        <w:rPr>
          <w:rFonts w:ascii="Times New Roman" w:eastAsiaTheme="minorEastAsia" w:hAnsi="Times New Roman" w:cs="Times New Roman"/>
          <w:sz w:val="24"/>
          <w:szCs w:val="24"/>
        </w:rPr>
        <w:t xml:space="preserve"> </w:t>
      </w:r>
    </w:p>
    <w:p w14:paraId="44B8E5AC" w14:textId="77777777" w:rsidR="000543CB" w:rsidRPr="00F153F6" w:rsidRDefault="000543CB" w:rsidP="004424B4">
      <w:pPr>
        <w:spacing w:line="360" w:lineRule="auto"/>
        <w:jc w:val="both"/>
        <w:rPr>
          <w:rFonts w:ascii="Times New Roman" w:eastAsiaTheme="minorEastAsia" w:hAnsi="Times New Roman" w:cs="Times New Roman"/>
          <w:sz w:val="24"/>
          <w:szCs w:val="24"/>
        </w:rPr>
      </w:pPr>
    </w:p>
    <w:p w14:paraId="1EB0C9EA" w14:textId="6113A4B9" w:rsidR="0015201A" w:rsidRPr="00F153F6" w:rsidRDefault="0015201A" w:rsidP="004424B4">
      <w:pPr>
        <w:pStyle w:val="Heading3"/>
        <w:spacing w:line="360" w:lineRule="auto"/>
        <w:jc w:val="both"/>
        <w:rPr>
          <w:rFonts w:ascii="Times New Roman" w:hAnsi="Times New Roman" w:cs="Times New Roman"/>
          <w:b/>
          <w:color w:val="auto"/>
          <w:sz w:val="28"/>
          <w:szCs w:val="28"/>
        </w:rPr>
      </w:pPr>
      <w:bookmarkStart w:id="670" w:name="_Toc118371161"/>
      <w:bookmarkStart w:id="671" w:name="_Toc133252186"/>
      <w:r w:rsidRPr="00F153F6">
        <w:rPr>
          <w:rFonts w:ascii="Times New Roman" w:hAnsi="Times New Roman" w:cs="Times New Roman"/>
          <w:b/>
          <w:color w:val="auto"/>
          <w:sz w:val="28"/>
          <w:szCs w:val="28"/>
        </w:rPr>
        <w:t>5.3.</w:t>
      </w:r>
      <w:r w:rsidR="002B457C" w:rsidRPr="00F153F6">
        <w:rPr>
          <w:rFonts w:ascii="Times New Roman" w:hAnsi="Times New Roman" w:cs="Times New Roman"/>
          <w:b/>
          <w:color w:val="auto"/>
          <w:sz w:val="28"/>
          <w:szCs w:val="28"/>
        </w:rPr>
        <w:t>2</w:t>
      </w:r>
      <w:r w:rsidRPr="00F153F6">
        <w:rPr>
          <w:rFonts w:ascii="Times New Roman" w:hAnsi="Times New Roman" w:cs="Times New Roman"/>
          <w:b/>
          <w:color w:val="auto"/>
          <w:sz w:val="28"/>
          <w:szCs w:val="28"/>
        </w:rPr>
        <w:t xml:space="preserve"> New Characteristics of Knowledgeabilities</w:t>
      </w:r>
      <w:bookmarkEnd w:id="670"/>
      <w:bookmarkEnd w:id="671"/>
      <w:r w:rsidRPr="00F153F6">
        <w:rPr>
          <w:rFonts w:ascii="Times New Roman" w:hAnsi="Times New Roman" w:cs="Times New Roman"/>
          <w:b/>
          <w:color w:val="auto"/>
          <w:sz w:val="28"/>
          <w:szCs w:val="28"/>
        </w:rPr>
        <w:t xml:space="preserve"> </w:t>
      </w:r>
    </w:p>
    <w:p w14:paraId="2A39C3E3" w14:textId="32601803"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As discussed in the literature review chapter, existing research has conceptualised knowledge in ICT-based IOKE practices mainly in two streams – objective perspective and practice-based </w:t>
      </w:r>
      <w:r w:rsidRPr="00F153F6">
        <w:rPr>
          <w:rFonts w:ascii="Times New Roman" w:eastAsiaTheme="minorEastAsia" w:hAnsi="Times New Roman" w:cs="Times New Roman"/>
          <w:sz w:val="24"/>
          <w:szCs w:val="24"/>
        </w:rPr>
        <w:lastRenderedPageBreak/>
        <w:t>perspective. As data</w:t>
      </w:r>
      <w:r w:rsidR="00A55433" w:rsidRPr="00F153F6">
        <w:rPr>
          <w:rFonts w:ascii="Times New Roman" w:eastAsiaTheme="minorEastAsia" w:hAnsi="Times New Roman" w:cs="Times New Roman"/>
          <w:sz w:val="24"/>
          <w:szCs w:val="24"/>
        </w:rPr>
        <w:t xml:space="preserve"> in the present study</w:t>
      </w:r>
      <w:r w:rsidRPr="00F153F6">
        <w:rPr>
          <w:rFonts w:ascii="Times New Roman" w:eastAsiaTheme="minorEastAsia" w:hAnsi="Times New Roman" w:cs="Times New Roman"/>
          <w:sz w:val="24"/>
          <w:szCs w:val="24"/>
        </w:rPr>
        <w:t xml:space="preserve"> informs, the present study purposefully employs a practice perspective to understand ICT-based IOKE practice and the findings show that such practice can be characterised by different knowledgeabilities. Knowledge in this study thus is understood as an ongoing and enacted capability </w:t>
      </w:r>
      <w:r w:rsidRPr="00F153F6">
        <w:rPr>
          <w:rFonts w:ascii="Times New Roman" w:eastAsiaTheme="minorEastAsia" w:hAnsi="Times New Roman" w:cs="Times New Roman"/>
          <w:sz w:val="24"/>
          <w:szCs w:val="24"/>
        </w:rPr>
        <w:fldChar w:fldCharType="begin"/>
      </w:r>
      <w:r w:rsidR="00B73834" w:rsidRPr="00F153F6">
        <w:rPr>
          <w:rFonts w:ascii="Times New Roman" w:eastAsiaTheme="minorEastAsia" w:hAnsi="Times New Roman" w:cs="Times New Roman"/>
          <w:sz w:val="24"/>
          <w:szCs w:val="24"/>
        </w:rPr>
        <w:instrText xml:space="preserve"> ADDIN ZOTERO_ITEM CSL_CITATION {"citationID":"XQBFy95n","properties":{"formattedCitation":"(Orlikowski, 2002a)","plainCitation":"(Orlikowski, 2002a)","noteIndex":0},"citationItems":[{"id":991,"uris":["http://zotero.org/users/5709166/items/LAGNZLDD"],"itemData":{"id":991,"type":"article-journal","abstract":"[In this paper, I outline a perspective on knowing in practice which highlights the essential role of human action in knowing how to get things done in complex organizational work. The perspective suggests that knowing is not a static embedded capability or stable disposition of actors, but rather an ongoing social accomplishment, constituted and reconstituted as actors engage the world in practice. In interpreting the findings of an empirical study conducted in a geographically dispersed high-tech organization, I suggest that the competence to do global product development is both collective and distributed, grounded in the everyday practices of organizational members. I conclude by discussing some of the research implications of a perspective on organizational knowing in practice.]","archive":"JSTOR","container-title":"Organization Science","ISSN":"1047-7039","issue":"3","page":"249-273","source":"JSTOR","title":"Knowing in Practice: Enacting a Collective Capability in Distributed Organizing","title-short":"Knowing in Practice","volume":"13","author":[{"family":"Orlikowski","given":"Wanda J."}],"issued":{"date-parts":[["2002"]]}}}],"schema":"https://github.com/citation-style-language/schema/raw/master/csl-citation.json"}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00B73834" w:rsidRPr="00F153F6">
        <w:rPr>
          <w:rFonts w:ascii="Times New Roman" w:hAnsi="Times New Roman" w:cs="Times New Roman"/>
          <w:sz w:val="24"/>
          <w:szCs w:val="24"/>
        </w:rPr>
        <w:t>(Orlikowski, 2002)</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which emerges from human interactions, and thus is described as knowledgeabilities that represent people’s knowing how to effectively accomplish their work. ICT-based IOKE practice is viewed as the site of such knowing, which affords the enactment of diverse knowledgeabilities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{"citationID":"Lu9mgC4A","properties":{"formattedCitation":"(Nicolini, 2011)","plainCitation":"(Nicolini, 2011)","noteIndex":0},"citationItems":[{"id":2340,"uris":["http://zotero.org/users/5709166/items/AC5AMJE4"],"itemData":{"id":2340,"type":"article-journal","container-title":"Organization Science","DOI":"10.1287/orsc.1100.0556","ISSN":"1047-7039, 1526-5455","issue":"3","journalAbbreviation":"Organization Science","language":"en","page":"602-620","source":"DOI.org (Crossref)","title":"Practice as the Site of Knowing: Insights from the Field of Telemedicine","title-short":"Practice as the Site of Knowing","volume":"22","author":[{"family":"Nicolini","given":"Davide"}],"issued":{"date-parts":[["2011",6]]}}}],"schema":"https://github.com/citation-style-language/schema/raw/master/csl-citation.json"}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(Nicolini, 2011)</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By studying the role of ICT in ICT-based IOKE practice, the present findings reconceptualise knowledgeabilities with the following characteristics: 1) knowledgeabilities emerge as situated and recurrent accomplishments, enacted through human interactions; 2) knowledgeability is sociomaterial; and 3) knowledgeabilities are inter-related. This study illustrates how the findings of these characteristics contribute to the existing literature in the ensuing discussion.</w:t>
      </w:r>
    </w:p>
    <w:p w14:paraId="38DA4937" w14:textId="2B85F499"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Knowledgeabilities emerge as situated and recurrent accomplishments from human interactions. Such situated and ongoing accomplishments are confirmed by existing understanding regarding practice-based knowing. For example, as Nicolini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{"citationID":"srwueV6L","properties":{"formattedCitation":"(2011, 2016)","plainCitation":"(2011, 2016)","noteIndex":0},"citationItems":[{"id":2340,"uris":["http://zotero.org/users/5709166/items/AC5AMJE4"],"itemData":{"id":2340,"type":"article-journal","container-title":"Organization Science","DOI":"10.1287/orsc.1100.0556","ISSN":"1047-7039, 1526-5455","issue":"3","journalAbbreviation":"Organization Science","language":"en","page":"602-620","source":"DOI.org (Crossref)","title":"Practice as the Site of Knowing: Insights from the Field of Telemedicine","title-short":"Practice as the Site of Knowing","volume":"22","author":[{"family":"Nicolini","given":"Davide"}],"issued":{"date-parts":[["2011",6]]}},"label":"page","suppress-author":true},{"id":2550,"uris":["http://zotero.org/users/5709166/items/467Q4RTU"],"itemData":{"id":2550,"type":"book","abstract":"This work explores the relationship among knowing, learning, and practice in the development of organizational knowledge. It explores the implications for intervention growing out of the notion that organizational knowledge cannot be conceived as a mental process residing in members' heads.","event-place":"New York","ISBN":"978-1-315-29097-3","note":"DOI: 10.4324/9781315290973","number-of-pages":"280","publisher":"Routledge","publisher-place":"New York","title":"Knowing in Organizations: A Practice-Based Approach: A Practice-Based Approach","title-short":"Knowing in Organizations","author":[{"family":"Nicolini","given":"Davide"}],"issued":{"date-parts":[["2016",8,5]]}},"label":"page","suppress-author":true}],"schema":"https://github.com/citation-style-language/schema/raw/master/csl-citation.json"}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(2011, 2016)</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argues, knowledgeability is highly sticky to the situated practice, which thus is less about being or having but more about becoming or turning through human actions in their everyday life. Similarly, Orlikowski </w:t>
      </w:r>
      <w:r w:rsidRPr="00F153F6">
        <w:rPr>
          <w:rFonts w:ascii="Times New Roman" w:eastAsiaTheme="minorEastAsia" w:hAnsi="Times New Roman" w:cs="Times New Roman"/>
          <w:sz w:val="24"/>
          <w:szCs w:val="24"/>
        </w:rPr>
        <w:fldChar w:fldCharType="begin"/>
      </w:r>
      <w:r w:rsidR="00B73834" w:rsidRPr="00F153F6">
        <w:rPr>
          <w:rFonts w:ascii="Times New Roman" w:eastAsiaTheme="minorEastAsia" w:hAnsi="Times New Roman" w:cs="Times New Roman"/>
          <w:sz w:val="24"/>
          <w:szCs w:val="24"/>
        </w:rPr>
        <w:instrText xml:space="preserve"> ADDIN ZOTERO_ITEM CSL_CITATION {"citationID":"boOCoh7p","properties":{"formattedCitation":"(2002a, 2006)","plainCitation":"(2002a, 2006)","noteIndex":0},"citationItems":[{"id":991,"uris":["http://zotero.org/users/5709166/items/LAGNZLDD"],"itemData":{"id":991,"type":"article-journal","abstract":"[In this paper, I outline a perspective on knowing in practice which highlights the essential role of human action in knowing how to get things done in complex organizational work. The perspective suggests that knowing is not a static embedded capability or stable disposition of actors, but rather an ongoing social accomplishment, constituted and reconstituted as actors engage the world in practice. In interpreting the findings of an empirical study conducted in a geographically dispersed high-tech organization, I suggest that the competence to do global product development is both collective and distributed, grounded in the everyday practices of organizational members. I conclude by discussing some of the research implications of a perspective on organizational knowing in practice.]","archive":"JSTOR","container-title":"Organization Science","ISSN":"1047-7039","issue":"3","page":"249-273","source":"JSTOR","title":"Knowing in Practice: Enacting a Collective Capability in Distributed Organizing","title-short":"Knowing in Practice","volume":"13","author":[{"family":"Orlikowski","given":"Wanda J."}],"issued":{"date-parts":[["2002"]]}},"label":"page","suppress-author":true},{"id":170,"uris":["http://zotero.org/users/5709166/items/LJEGGXSV"],"itemData":{"id":170,"type":"article-journal","container-title":"European Journal of Information Systems","DOI":"10.1057/palgrave.ejis.3000639","ISSN":"0960-085X, 1476-9344","issue":"5","journalAbbreviation":"European Journal of Information Systems","language":"en","page":"460-466","source":"DOI.org (Crossref)","title":"Material knowing: the scaffolding of human knowledgeability","title-short":"Material knowing","volume":"15","author":[{"family":"Orlikowski","given":"Wanda J"}],"issued":{"date-parts":[["2006",10]]}},"label":"page","suppress-author":true}],"schema":"https://github.com/citation-style-language/schema/raw/master/csl-citation.json"}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00B73834" w:rsidRPr="00F153F6">
        <w:rPr>
          <w:rFonts w:ascii="Times New Roman" w:hAnsi="Times New Roman" w:cs="Times New Roman"/>
          <w:sz w:val="24"/>
          <w:szCs w:val="24"/>
        </w:rPr>
        <w:t>(2002, 2006)</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argues that knowing in practice is an ongoing accomplishment through human actions, and the enactment of knowledgeability reflects the performativity of knowledge instead of a representational or static substance. However, these studies tend to imply how unidirectional actions afford the enactment of human knowledgeability. The present study adds a more nuanced understanding on these studies, helping to reveal how the enactment of human knowledgeability is a result of human collective interactions where the role of collective participation and engagements should be taken into account. This is a more meso-perspective to view the performativity of knowledge – knowledge is enacted in joint participation in collaborative activities. As Lave and Wanger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{"citationID":"bKRNz9lB","properties":{"formattedCitation":"(1991)","plainCitation":"(1991)","noteIndex":0},"citationItems":[{"id":10244,"uris":["http://zotero.org/users/5709166/items/GTDHE27S"],"itemData":{"id":10244,"type":"book","abstract":"In this important theoretical treatise, Jean Lave, anthropologist, and Etienne Wenger, computer scientist, push forward the notion of situated learning--that learning is fundamentally a social process and not solely in the learner's head. The authors maintain that learning viewed as situated activity has as its central defining characteristic a process they call legitimate peripheral participation. Learners participate in communities of practitioners, moving toward full participation in the sociocultural practices of a community. Legitimate peripheral participation provides a way to speak about crucial relations between newcomers and oldtimers and about their activities, identities, artifacts, knowledge and practice. The communities discussed in the book are midwives, tailors, quartermasters, butchers, and recovering alcoholics, however, the process by which participants in those communities learn can be generalized to other social groups.","ISBN":"978-0-521-42374-8","language":"en","note":"Google-Books-ID: CAVIOrW3vYAC","number-of-pages":"144","publisher":"Cambridge University Press","source":"Google Books","title":"Situated Learning: Legitimate Peripheral Participation","title-short":"Situated Learning","author":[{"family":"Lave","given":"Jean"},{"family":"Wenger","given":"Etienne"}],"issued":{"date-parts":[["1991",9,27]]}},"label":"page","suppress-author":true}],"schema":"https://github.com/citation-style-language/schema/raw/master/csl-citation.json"}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(1991)</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suggest in their notion of legitimate peripheral participation, situated learning always takes place since people actively interact with each other. It is thus essential to understand the significance of the network of multiple actors and how they build relations to develop communities of practices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{"citationID":"u8t3YsfM","properties":{"formattedCitation":"(Pan et al., 2015; Wenger, 2011)","plainCitation":"(Pan et al., 2015; Wenger, 2011)","noteIndex":0},"citationItems":[{"id":1983,"uris":["http://zotero.org/users/5709166/items/6DBTPX35"],"itemData":{"id":1983,"type":"article-journal","abstract":"Virtual community of practice (VCoP) is an important form of knowledge management systems. Would the integration of social networking support into traditional forum-based VCoP benefit knowledge exchange in the community? If so, why? Based on social capital theory and transactive memory system research, this study suggests that social networking support will enhance knowledge exchange in VCoP. In a field study, this study found that social networking support intensifies dyadic knowledge exchange among friends and reduces the probability that dyads stop knowledge exchange. These findings empirically confirm the effect of social networking support integration in VCoP, offering an investment justification for practitioners.","container-title":"Information &amp; Management","DOI":"10.1016/j.im.2014.10.001","ISSN":"0378-7206","issue":"1","journalAbbreviation":"Information &amp; Management","language":"en","page":"61-70","source":"ScienceDirect","title":"Integrating social networking support for dyadic knowledge exchange: A study in a virtual community of practice","title-short":"Integrating social networking support for dyadic knowledge exchange","volume":"52","author":[{"family":"Pan","given":"Yonggang"},{"family":"Xu","given":"Yunjie (Calvin)"},{"family":"Wang","given":"Xiaolun"},{"family":"Zhang","given":"Chenghong"},{"family":"Ling","given":"Hong"},{"family":"Lin","given":"Jie"}],"issued":{"date-parts":[["2015",1,1]]}},"label":"page"},{"id":436,"uris":["http://zotero.org/users/5709166/items/Q2EW8DBN"],"itemData":{"id":436,"type":"article-journal","container-title":"Communities of practice","language":"en","page":"7","source":"Zotero","title":"Communities of Practice - a prief introduction","author":[{"family":"Wenger","given":"Etienne"}],"issued":{"date-parts":[["2011"]]}}}],"schema":"https://github.com/citation-style-language/schema/raw/master/csl-citation.json"}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(Pan et al., 2015; Wenger, 2011)</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Such emphasis on interactions </w:t>
      </w:r>
      <w:r w:rsidR="00A55433" w:rsidRPr="00F153F6">
        <w:rPr>
          <w:rFonts w:ascii="Times New Roman" w:eastAsiaTheme="minorEastAsia" w:hAnsi="Times New Roman" w:cs="Times New Roman"/>
          <w:sz w:val="24"/>
          <w:szCs w:val="24"/>
        </w:rPr>
        <w:t>takes into account</w:t>
      </w:r>
      <w:r w:rsidRPr="00F153F6">
        <w:rPr>
          <w:rFonts w:ascii="Times New Roman" w:eastAsiaTheme="minorEastAsia" w:hAnsi="Times New Roman" w:cs="Times New Roman"/>
          <w:sz w:val="24"/>
          <w:szCs w:val="24"/>
        </w:rPr>
        <w:t xml:space="preserve"> the distinctiveness of different actors who get involved in the practice and enact their knowledgeabilities. This accordingly contributes to existing studies on: collaborative knowing, </w:t>
      </w:r>
      <w:r w:rsidRPr="00F153F6">
        <w:rPr>
          <w:rFonts w:ascii="Times New Roman" w:eastAsiaTheme="minorEastAsia" w:hAnsi="Times New Roman" w:cs="Times New Roman"/>
          <w:sz w:val="24"/>
          <w:szCs w:val="24"/>
        </w:rPr>
        <w:lastRenderedPageBreak/>
        <w:t xml:space="preserve">open innovation, and collaborative learning. For example, Hsiao et al.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{"citationID":"uBI9CBeL","properties":{"formattedCitation":"(2012)","plainCitation":"(2012)","noteIndex":0},"citationItems":[{"id":10255,"uris":["http://zotero.org/users/5709166/items/Y7VESWIK"],"itemData":{"id":10255,"type":"article-journal","abstract":"This article elaborates how experts employ boundary objects to perform collaborative work in situ across boundaries. Our study takes a practice lens to examine the adaptive nature of cross-boundary spanning. We conduct a field study and analyse engineers' troubleshooting tasks in maintaining sophisticated wafer-fabrication machines. Our findings report three organizing practices: identifying problem boundaries, orchestrating collective responsibilities, and developing a systemic understanding. This mode of organizing explains how experts draw lessons from boundary objects to facilitate adaptive learning and collaboration for solving complicated problems in interactive systems. Our analysis contributes to theories of cross-boundary spanning, adaptive learning, and problem-solving, and suggests practical lessons in managing cross-boundary work.","container-title":"Journal of Management Studies","DOI":"10.1111/j.1467-6486.2011.01024.x","ISSN":"1467-6486","issue":"3","language":"en","note":"_eprint: https://onlinelibrary.wiley.com/doi/pdf/10.1111/j.1467-6486.2011.01024.x","page":"463-491","source":"Wiley Online Library","title":"Collaborative Knowing: The Adaptive Nature of Cross-Boundary Spanning","title-short":"Collaborative Knowing","volume":"49","author":[{"family":"Hsiao","given":"Ruey-Lin"},{"family":"Tsai","given":"Dun-Hou"},{"family":"Lee","given":"Ching-Fang"}],"issued":{"date-parts":[["2012"]]}},"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(2012)</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drawing on a practice lens</w:t>
      </w:r>
      <w:r w:rsidR="00A55433" w:rsidRPr="00F153F6">
        <w:rPr>
          <w:rFonts w:ascii="Times New Roman" w:eastAsiaTheme="minorEastAsia" w:hAnsi="Times New Roman" w:cs="Times New Roman"/>
          <w:sz w:val="24"/>
          <w:szCs w:val="24"/>
        </w:rPr>
        <w:t>,</w:t>
      </w:r>
      <w:r w:rsidRPr="00F153F6">
        <w:rPr>
          <w:rFonts w:ascii="Times New Roman" w:eastAsiaTheme="minorEastAsia" w:hAnsi="Times New Roman" w:cs="Times New Roman"/>
          <w:sz w:val="24"/>
          <w:szCs w:val="24"/>
        </w:rPr>
        <w:t xml:space="preserve"> </w:t>
      </w:r>
      <w:r w:rsidR="00A55433" w:rsidRPr="00F153F6">
        <w:rPr>
          <w:rFonts w:ascii="Times New Roman" w:eastAsiaTheme="minorEastAsia" w:hAnsi="Times New Roman" w:cs="Times New Roman"/>
          <w:sz w:val="24"/>
          <w:szCs w:val="24"/>
        </w:rPr>
        <w:t>investigate</w:t>
      </w:r>
      <w:r w:rsidRPr="00F153F6">
        <w:rPr>
          <w:rFonts w:ascii="Times New Roman" w:eastAsiaTheme="minorEastAsia" w:hAnsi="Times New Roman" w:cs="Times New Roman"/>
          <w:sz w:val="24"/>
          <w:szCs w:val="24"/>
        </w:rPr>
        <w:t xml:space="preserve"> how an interactive expert system generates collaborative knowing through three boundary-spanning practices:</w:t>
      </w:r>
      <w:r w:rsidRPr="00F153F6">
        <w:rPr>
          <w:rFonts w:ascii="Times New Roman" w:hAnsi="Times New Roman" w:cs="Times New Roman"/>
          <w:sz w:val="24"/>
          <w:szCs w:val="24"/>
        </w:rPr>
        <w:t xml:space="preserve"> identifying problem boundaries, orchestrating collective responsibilities, and developing a systemic understanding</w:t>
      </w:r>
      <w:r w:rsidRPr="00F153F6">
        <w:rPr>
          <w:rFonts w:ascii="Times New Roman" w:eastAsiaTheme="minorEastAsia" w:hAnsi="Times New Roman" w:cs="Times New Roman"/>
          <w:sz w:val="24"/>
          <w:szCs w:val="24"/>
        </w:rPr>
        <w:t>. The present study contributes to this by uncovering how different domain experts engage in interactive conduct in cross-disciplinary inter-organisational Living Lab projects and accomplish cross-boundary collaboration where more diverse collaborative knowing is produced.</w:t>
      </w:r>
    </w:p>
    <w:p w14:paraId="565CAC64" w14:textId="349F6403"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Knowledgeability is sociomaterial. Such characteristic bears in mind that knowledgeability is both social and material – the duality of knowledge. Knowledgeability is social since it reflects the social structural properties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{"citationID":"kJd5Wn9c","properties":{"formattedCitation":"(Gao, 2007)","plainCitation":"(Gao, 2007)","noteIndex":0},"citationItems":[{"id":10226,"uris":["http://zotero.org/users/5709166/items/4AGRU2RH"],"itemData":{"id":10226,"type":"article-journal","abstract":"Through a case study, this paper attempts to establish an argument that structuration theory is a suitable tool for analyzing the issue of knowledge and process management in a consortium. To do so, we first theoretically demonstrate that structuration theory can be linked with the theory of organizational knowledge creation, assuming that structure is a type of categorization of knowledge, and knowledge creation is a structuration process. We then use structuration theory to dissect a consortium designing mobile commerce services. The case study concludes that the structuration perspective enables researchers to expose the improvisatory mechanism of organizational knowledge creation, in which distributed tacit knowledge is crystallized into collective explicit knowledge. The empirical observation argues that a consortium should have a pre-project phase when a common vocabulary is developed and an integrator is introduced. The experience of our case consortium—that the white book has emerged as a tool of knowledge and process management—can be drawn upon by other cases. Copyright © 2007 John Wiley &amp; Sons, Ltd.","container-title":"Knowledge and Process Management","DOI":"10.1002/kpm.273","ISSN":"1099-1441","issue":"2","language":"en","note":"_eprint: https://onlinelibrary.wiley.com/doi/pdf/10.1002/kpm.273","page":"104-116","source":"Wiley Online Library","title":"Using structuration theory to analyze knowledge and process management in a consortium: a case study","title-short":"Using structuration theory to analyze knowledge and process management in a consortium","volume":"14","author":[{"family":"Gao","given":"Ping"}],"issued":{"date-parts":[["2007"]]}}}],"schema":"https://github.com/citation-style-language/schema/raw/master/csl-citation.json"}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(Gao, 2007)</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it is embedded and embodied in, and emerges from social practices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{"citationID":"xfXnV8db","properties":{"formattedCitation":"(Gherardi &amp; Miele, 2018)","plainCitation":"(Gherardi &amp; Miele, 2018)","noteIndex":0},"citationItems":[{"id":10258,"uris":["http://zotero.org/users/5709166/items/6D88CVBF"],"itemData":{"id":10258,"type":"chapter","abstract":"A social perspective on knowledge does not exist independently of social relations and social practices. This chapter illustrates the travel of ideas around knowledge management within a social perspective through three processual activities: sharing knowledge and keeping knowledge alive within a community’s practices; embedding knowledge in material practices; and innovating as an ongoing process. Thus, we argue that a social perspective on knowing is based on three types of relations established between practices and knowledge: a relation of containment (knowledge is a process that takes place within situated practices); a relation of mutual constitution (knowing and practising produce each other); a relation of equivalence (the equivalence between knowing and practising arises when priority is denied to the knowledge that exists before the moment of its enactment). A social perspective on knowledge management has taken several turns from the concept of the community of practice to the development of practice-based studies.","container-title":"The Palgrave Handbook of Knowledge Management","event-place":"Cham","ISBN":"978-3-319-71434-9","language":"en","note":"DOI: 10.1007/978-3-319-71434-9_7","page":"151-176","publisher":"Springer International Publishing","publisher-place":"Cham","source":"Springer Link","title":"Knowledge Management from a Social Perspective: The Contribution of Practice-Based Studies","title-short":"Knowledge Management from a Social Perspective","URL":"https://doi.org/10.1007/978-3-319-71434-9_7","author":[{"family":"Gherardi","given":"Silvia"},{"family":"Miele","given":"Francesco"}],"editor":[{"family":"Syed","given":"Jawad"},{"family":"Murray","given":"Peter A."},{"family":"Hislop","given":"Donald"},{"family":"Mouzughi","given":"Yusra"}],"accessed":{"date-parts":[["2022",9,22]]},"issued":{"date-parts":[["2018"]]}}}],"schema":"https://github.com/citation-style-language/schema/raw/master/csl-citation.json"}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(Gherardi &amp; Miele, 2018)</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and is socially constructed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{"citationID":"78mnxFXZ","properties":{"formattedCitation":"(Koch, 2005; McAdam &amp; McCreedy, 2000)","plainCitation":"(Koch, 2005; McAdam &amp; McCreedy, 2000)","noteIndex":0},"citationItems":[{"id":10261,"uris":["http://zotero.org/users/5709166/items/UG6EP9I7"],"itemData":{"id":10261,"type":"book","abstract":"What happens after some social group, a tribe, clan, or even a modern nation, agrees--either tacitly or explicitly to govern and be governed according to an idea. The United States is governed by ideas laid down in the Constitution; The former Soviet Union by both Lenin and Stalin's interpretation of Karl Marx's thought. Regardless of social group, when deciding on the form of politics that ought to govern our social world the question of certainty is pivotal. How can we know that this way of governing is the best way? What happens when the strength of our certainty supercedes the actual political and social consequences that arise from agreed upon forms of governance? In Knowledge and Social Construction Andrew Koch makes the case that the more hypothetical and theoretical we are towards knowledge claims (our certainty) the more open our society will be. Following from the premise that human nature and subjectivity are social constructions, this book seeks to reorient the reader--away from the ontological tradition in political philosophy and toward an epistemological framework. Through an investigation of four competing epistemological models that are used in classic political and social philosophy texts, Andrew Koch provides us with an alternative framework for understanding social arrangements, conflicts, and institutions. This book, unlike anything written recently, represents a challenge to political science, philosophy, sociology: any discipline concerned with epistemology, society, culture, and politics.","ISBN":"978-0-7391-0920-5","language":"en","note":"Google-Books-ID: mCYU09brxSsC","number-of-pages":"186","publisher":"Lexington Books","source":"Google Books","title":"Knowledge and Social Construction","author":[{"family":"Koch","given":"Andrew M."}],"issued":{"date-parts":[["2005"]]}},"label":"page"},{"id":2350,"uris":["http://zotero.org/users/5709166/items/2ZRJ93TL"],"itemData":{"id":2350,"type":"article-journal","abstract":"There is a increasing interest in the area of knowledge management. Few studies exist which are holistic and seek to cover knowledge management as an emerging paradigm which embraces both theory and practice. This article describes such a study, throughout the article a critical perspective is adopted and applied to Knowledge Management.","container-title":"New Technology, Work and Employment","DOI":"10.1111/1468-005X.00071","ISSN":"1468-005X","issue":"2","language":"en","note":"_eprint: https://onlinelibrary.wiley.com/doi/pdf/10.1111/1468-005X.00071","page":"155-168","source":"Wiley Online Library","title":"A critique of knowledge management: using a social constructionist model","title-short":"A critique of knowledge management","volume":"15","author":[{"family":"McAdam","given":"Rodney"},{"family":"McCreedy","given":"Sandra"}],"issued":{"date-parts":[["2000"]]}}}],"schema":"https://github.com/citation-style-language/schema/raw/master/csl-citation.json"}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(Koch, 2005; McAdam &amp; McCreedy, 2000)</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Knowledgeability is also material since it is always bound up with the situated practices that are imbricated in materiality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{"citationID":"hvebO5UX","properties":{"formattedCitation":"(Gherardi &amp; Miele, 2018; Leonardi et al., 2012)","plainCitation":"(Gherardi &amp; Miele, 2018; Leonardi et al., 2012)","noteIndex":0},"citationItems":[{"id":10258,"uris":["http://zotero.org/users/5709166/items/6D88CVBF"],"itemData":{"id":10258,"type":"chapter","abstract":"A social perspective on knowledge does not exist independently of social relations and social practices. This chapter illustrates the travel of ideas around knowledge management within a social perspective through three processual activities: sharing knowledge and keeping knowledge alive within a community’s practices; embedding knowledge in material practices; and innovating as an ongoing process. Thus, we argue that a social perspective on knowing is based on three types of relations established between practices and knowledge: a relation of containment (knowledge is a process that takes place within situated practices); a relation of mutual constitution (knowing and practising produce each other); a relation of equivalence (the equivalence between knowing and practising arises when priority is denied to the knowledge that exists before the moment of its enactment). A social perspective on knowledge management has taken several turns from the concept of the community of practice to the development of practice-based studies.","container-title":"The Palgrave Handbook of Knowledge Management","event-place":"Cham","ISBN":"978-3-319-71434-9","language":"en","note":"DOI: 10.1007/978-3-319-71434-9_7","page":"151-176","publisher":"Springer International Publishing","publisher-place":"Cham","source":"Springer Link","title":"Knowledge Management from a Social Perspective: The Contribution of Practice-Based Studies","title-short":"Knowledge Management from a Social Perspective","URL":"https://doi.org/10.1007/978-3-319-71434-9_7","author":[{"family":"Gherardi","given":"Silvia"},{"family":"Miele","given":"Francesco"}],"editor":[{"family":"Syed","given":"Jawad"},{"family":"Murray","given":"Peter A."},{"family":"Hislop","given":"Donald"},{"family":"Mouzughi","given":"Yusra"}],"accessed":{"date-parts":[["2022",9,22]]},"issued":{"date-parts":[["2018"]]}}},{"id":174,"uris":["http://zotero.org/users/5709166/items/7TXSVG6N"],"itemData":{"id":174,"type":"book","abstract":"Ask a person on the street whether new technologies bring about important social change and you are likely to hear a resounding \"yes.\" But the answer is less definitive amongst academics who study technology and social practice. Scholarly writing has been heavily influenced by the ideology of technological determinism - the belief that some types or technologically driven social changes are inevitable and cannot be stopped. Rather than argue for or against notions of determinism, the authors in this book ask how the materiality (the arrangement of physical, digital, or rhetorical materials into particular forms that endure across differences in place and time) of technologies, ranging from computer-simulation tools and social media, to ranking devices and rumours, is actually implicated in the process of formal and informal organizing. The book builds a new theoretical framework to consider the important socio-technical changes confronting people's everyday experiences in and outside of work. Leading scholars in the field contribute original chapters examining the complex interactions between technology and the social, between artefact and humans. The discussion spans multiple disciplines, including management, information systems, informatics, communication, sociology, and the history of technology, and opens up a new area of research regarding the relationship between materiality and organizing.","ISBN":"978-0-19-164067-4","language":"en","note":"Google-Books-ID: SEdoAgAAQBAJ","number-of-pages":"380","publisher":"OUP Oxford","source":"Google Books","title":"Materiality and Organizing: Social Interaction in a Technological World","title-short":"Materiality and Organizing","author":[{"family":"Leonardi","given":"Paul M."},{"family":"Nardi","given":"Bonnie A."},{"family":"Kallinikos","given":"Jannis"}],"issued":{"date-parts":[["2012",11,22]]}}}],"schema":"https://github.com/citation-style-language/schema/raw/master/csl-citation.json"}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(Gherardi &amp; Miele, 2018; Leonardi et al., 2012)</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Similarly, As Orlikowski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{"citationID":"sgDvy1OY","properties":{"formattedCitation":"(2006)","plainCitation":"(2006)","noteIndex":0},"citationItems":[{"id":170,"uris":["http://zotero.org/users/5709166/items/LJEGGXSV"],"itemData":{"id":170,"type":"article-journal","container-title":"European Journal of Information Systems","DOI":"10.1057/palgrave.ejis.3000639","ISSN":"0960-085X, 1476-9344","issue":"5","journalAbbreviation":"European Journal of Information Systems","language":"en","page":"460-466","source":"DOI.org (Crossref)","title":"Material knowing: the scaffolding of human knowledgeability","title-short":"Material knowing","volume":"15","author":[{"family":"Orlikowski","given":"Wanda J"}],"issued":{"date-parts":[["2006",10]]}},"label":"page","suppress-author":true}],"schema":"https://github.com/citation-style-language/schema/raw/master/csl-citation.json"}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(2006)</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argues, it is the artefacts’ materiality that scaffolds human knowledgeability. These studies have provided significant implications for the understanding of sociomateriality of knowledgeability. However, the issue neglected in extant practice-based studies of knowledge is how the enactment of knowledgeability takes place as a result of social and material interactions. Studies such as Østerlie et al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{"citationID":"l5HNTk9R","properties":{"formattedCitation":"(2012)","plainCitation":"(2012)","noteIndex":0},"citationItems":[{"id":10263,"uris":["http://zotero.org/users/5709166/items/EXMDFC65"],"itemData":{"id":10263,"type":"article-journal","abstract":"This paper explores the relationship between materiality and knowing through the notion of dual materiality. Dual materiality highlights how digital technology becomes important, as its materiality plays an integral part in creating, not simply representing, the materiality of the physical world. We elaborate upon this insight through a theory on sociomaterial knowing grounded in ethnographic fieldwork within a petroleum company. The main theoretical proposition of this theory is that knowing arises from the emerging patterns of interaction between material phenomena, the material arrangements for knowing about these phenomena, and knowledge practices. We elaborate upon this through three predominant modes of knowing in petroleum production: instrumentation, interpretation, and learning. This paper contributes to the broader discourse on sociomateriality by refining ideas of materiality through the notion of dual materiality. We conclude by encouraging further exploration of different materialities in contemporary work and organizing.","container-title":"Information and Organization","DOI":"10.1016/j.infoandorg.2012.01.001","ISSN":"1471-7727","issue":"2","journalAbbreviation":"Information and Organization","language":"en","page":"85-105","source":"ScienceDirect","title":"Dual materiality and knowing in petroleum production","volume":"22","author":[{"family":"Østerlie","given":"Thomas"},{"family":"Almklov","given":"Petter G."},{"family":"Hepsø","given":"Vidar"}],"issued":{"date-parts":[["2012",4,1]]}},"label":"page","suppress-author":true}],"schema":"https://github.com/citation-style-language/schema/raw/master/csl-citation.json"}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(2012)</w:t>
      </w:r>
      <w:r w:rsidRPr="00F153F6">
        <w:rPr>
          <w:rFonts w:ascii="Times New Roman" w:eastAsiaTheme="minorEastAsia" w:hAnsi="Times New Roman" w:cs="Times New Roman"/>
          <w:sz w:val="24"/>
          <w:szCs w:val="24"/>
        </w:rPr>
        <w:fldChar w:fldCharType="end"/>
      </w:r>
      <w:r w:rsidR="00E9207F" w:rsidRPr="00F153F6">
        <w:rPr>
          <w:rFonts w:ascii="Times New Roman" w:eastAsiaTheme="minorEastAsia" w:hAnsi="Times New Roman" w:cs="Times New Roman"/>
          <w:sz w:val="24"/>
          <w:szCs w:val="24"/>
        </w:rPr>
        <w:t>’s</w:t>
      </w:r>
      <w:r w:rsidRPr="00F153F6">
        <w:rPr>
          <w:rFonts w:ascii="Times New Roman" w:eastAsiaTheme="minorEastAsia" w:hAnsi="Times New Roman" w:cs="Times New Roman"/>
          <w:sz w:val="24"/>
          <w:szCs w:val="24"/>
        </w:rPr>
        <w:t xml:space="preserve"> work emphasise the sociomaterial nature of knowing and suggests three modes of sociomaterial knowing: interpretation, implementation, and learning, while their focus is to refine the idea of materiality in sociomaterial knowing practice instead of how materiality mediates the enactment of sociomaterial knowing. Gherardi and Miele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{"citationID":"Uo8acxyS","properties":{"formattedCitation":"(2018)","plainCitation":"(2018)","noteIndex":0},"citationItems":[{"id":10258,"uris":["http://zotero.org/users/5709166/items/6D88CVBF"],"itemData":{"id":10258,"type":"chapter","abstract":"A social perspective on knowledge does not exist independently of social relations and social practices. This chapter illustrates the travel of ideas around knowledge management within a social perspective through three processual activities: sharing knowledge and keeping knowledge alive within a community’s practices; embedding knowledge in material practices; and innovating as an ongoing process. Thus, we argue that a social perspective on knowing is based on three types of relations established between practices and knowledge: a relation of containment (knowledge is a process that takes place within situated practices); a relation of mutual constitution (knowing and practising produce each other); a relation of equivalence (the equivalence between knowing and practising arises when priority is denied to the knowledge that exists before the moment of its enactment). A social perspective on knowledge management has taken several turns from the concept of the community of practice to the development of practice-based studies.","container-title":"The Palgrave Handbook of Knowledge Management","event-place":"Cham","ISBN":"978-3-319-71434-9","language":"en","note":"DOI: 10.1007/978-3-319-71434-9_7","page":"151-176","publisher":"Springer International Publishing","publisher-place":"Cham","source":"Springer Link","title":"Knowledge Management from a Social Perspective: The Contribution of Practice-Based Studies","title-short":"Knowledge Management from a Social Perspective","URL":"https://doi.org/10.1007/978-3-319-71434-9_7","author":[{"family":"Gherardi","given":"Silvia"},{"family":"Miele","given":"Francesco"}],"editor":[{"family":"Syed","given":"Jawad"},{"family":"Murray","given":"Peter A."},{"family":"Hislop","given":"Donald"},{"family":"Mouzughi","given":"Yusra"}],"accessed":{"date-parts":[["2022",9,22]]},"issued":{"date-parts":[["2018"]]}},"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(2018)</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suggest three ways of managing sociomaterial knowing, but do not show how materiality mediates the enactment of knowing in practice that informs the knowledge managing practice. The present findings thus contribute to this gap by studying knowledge and </w:t>
      </w:r>
      <w:r w:rsidR="00964DE8" w:rsidRPr="00F153F6">
        <w:rPr>
          <w:rFonts w:ascii="Times New Roman" w:eastAsiaTheme="minorEastAsia" w:hAnsi="Times New Roman" w:cs="Times New Roman"/>
          <w:sz w:val="24"/>
          <w:szCs w:val="24"/>
        </w:rPr>
        <w:t>ICT</w:t>
      </w:r>
      <w:r w:rsidRPr="00F153F6">
        <w:rPr>
          <w:rFonts w:ascii="Times New Roman" w:eastAsiaTheme="minorEastAsia" w:hAnsi="Times New Roman" w:cs="Times New Roman"/>
          <w:sz w:val="24"/>
          <w:szCs w:val="24"/>
        </w:rPr>
        <w:t xml:space="preserve"> together in practice and arguing that knowledge and ICT are shaped through the synergistic generation of knowledgeability and ICT afforded/constrained abilities in ICT-based IOKE practice as a way of managing knowledge for knowledge management. </w:t>
      </w:r>
    </w:p>
    <w:p w14:paraId="44921573" w14:textId="5F4DF593" w:rsidR="0015201A" w:rsidRPr="00F153F6" w:rsidRDefault="0015201A" w:rsidP="004424B4">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The present study argues that knowledgeabilities are inter-related with each other based on the findings that the enactment of a certain knowledgeability may be conditional or consequential to others. Prior research has indicated that different knowledgeabilities are not independent but inter-related and interact with each other </w:t>
      </w:r>
      <w:r w:rsidRPr="00F153F6">
        <w:rPr>
          <w:rFonts w:ascii="Times New Roman" w:eastAsiaTheme="minorEastAsia" w:hAnsi="Times New Roman" w:cs="Times New Roman"/>
          <w:sz w:val="24"/>
          <w:szCs w:val="24"/>
        </w:rPr>
        <w:fldChar w:fldCharType="begin"/>
      </w:r>
      <w:r w:rsidR="00B73834" w:rsidRPr="00F153F6">
        <w:rPr>
          <w:rFonts w:ascii="Times New Roman" w:eastAsiaTheme="minorEastAsia" w:hAnsi="Times New Roman" w:cs="Times New Roman"/>
          <w:sz w:val="24"/>
          <w:szCs w:val="24"/>
        </w:rPr>
        <w:instrText xml:space="preserve"> ADDIN ZOTERO_ITEM CSL_CITATION {"citationID":"4LgqA4nL","properties":{"formattedCitation":"(Le-Nguyen et al., 2018; Orlikowski, 2002a)","plainCitation":"(Le-Nguyen et al., 2018; Orlikowski, 2002a)","noteIndex":0},"citationItems":[{"id":10272,"uris":["http://zotero.org/users/5709166/items/7R5T4D68"],"itemData":{"id":10272,"type":"article-journal","abstract":"This paper draws attention to a major issue of Knowledge Management (KM) technology implementation: potential sources of incongruence between KM software and the adopting organization. Using the case of a global consultancy firm, the paper explains KM software-organization incongruences as the consequence of differences between organizational and KM software developer’s knowledge work context and practice. Such differences reflect the differing ‘situated’ knowledge work practices that KM software developers and adopting organizations deliberately acquire and evolve over time. Theoretically, this paper gives a more comprehensive account of how knowledge work practices emerged and were then embedded into the software or the organization. Practically, this study would help make organizations more aware of the factors influencing KM software adoption and implementation, particularly in the case of large firms that are characterized by highvalue, text-based content for decision-making such as professional service, R&amp;D, and healthcare organizations.","container-title":"Information Systems Frontiers","DOI":"10.1007/s10796-016-9713-3","ISSN":"1387-3326, 1572-9419","issue":"5","journalAbbreviation":"Inf Syst Front","language":"en","page":"1117-1133","source":"DOI.org (Crossref)","title":"Exploring knowledge management software implementation from a knowing-in-practice perspective","volume":"20","author":[{"family":"Le-Nguyen","given":"Khuong"},{"family":"Dyerson","given":"Romano"},{"family":"Harindranath","given":"G."}],"issued":{"date-parts":[["2018",10]]}}},{"id":991,"uris":["http://zotero.org/users/5709166/items/LAGNZLDD"],"itemData":{"id":991,"type":"article-journal","abstract":"[In this paper, I outline a perspective on knowing in practice which highlights the essential role of human action in knowing how to get things done in complex organizational work. The perspective suggests that knowing is not a static embedded capability or stable disposition of actors, but rather an ongoing social accomplishment, constituted and reconstituted as actors engage the world in practice. In interpreting the findings of an empirical study conducted in a geographically dispersed high-tech organization, I suggest that the competence to do global product development is both collective and distributed, grounded in the everyday practices of organizational members. I conclude by discussing some of the research implications of a perspective on organizational knowing in practice.]","archive":"JSTOR","container-title":"Organization Science","ISSN":"1047-7039","issue":"3","page":"249-273","source":"JSTOR","title":"Knowing in Practice: Enacting a Collective Capability in Distributed Organizing","title-short":"Knowing in Practice","volume":"13","author":[{"family":"Orlikowski","given":"Wanda J."}],"issued":{"date-parts":[["2002"]]}}}],"schema":"https://github.com/citation-style-language/schema/raw/master/csl-citation.json"}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00B73834" w:rsidRPr="00F153F6">
        <w:rPr>
          <w:rFonts w:ascii="Times New Roman" w:hAnsi="Times New Roman" w:cs="Times New Roman"/>
          <w:sz w:val="24"/>
          <w:szCs w:val="24"/>
        </w:rPr>
        <w:t>(Le-Nguyen et al., 2018; Orlikowski, 2002)</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However, these studies did not focus on the relationships among different knowledgeabilities (how they </w:t>
      </w:r>
      <w:r w:rsidRPr="00F153F6">
        <w:rPr>
          <w:rFonts w:ascii="Times New Roman" w:eastAsiaTheme="minorEastAsia" w:hAnsi="Times New Roman" w:cs="Times New Roman"/>
          <w:sz w:val="24"/>
          <w:szCs w:val="24"/>
        </w:rPr>
        <w:lastRenderedPageBreak/>
        <w:t xml:space="preserve">are inter-related and interact), which is a grey area of study as their relationship implies a new variable in determining the enactment of human knowledgeabilities in practice. For example, existing studies often suggest that knowledgeabilities, albeit different in its constituting activities or the accomplished knowing how, are usually overlapping in terms of their operation i.e., knowledgeabilities are usually operated interdependently of each other </w:t>
      </w:r>
      <w:r w:rsidRPr="00F153F6">
        <w:rPr>
          <w:rFonts w:ascii="Times New Roman" w:eastAsiaTheme="minorEastAsia" w:hAnsi="Times New Roman" w:cs="Times New Roman"/>
          <w:sz w:val="24"/>
          <w:szCs w:val="24"/>
        </w:rPr>
        <w:fldChar w:fldCharType="begin"/>
      </w:r>
      <w:r w:rsidR="00B73834" w:rsidRPr="00F153F6">
        <w:rPr>
          <w:rFonts w:ascii="Times New Roman" w:eastAsiaTheme="minorEastAsia" w:hAnsi="Times New Roman" w:cs="Times New Roman"/>
          <w:sz w:val="24"/>
          <w:szCs w:val="24"/>
        </w:rPr>
        <w:instrText xml:space="preserve"> ADDIN ZOTERO_ITEM CSL_CITATION {"citationID":"RwnfZxIv","properties":{"formattedCitation":"(Orlikowski, 2002a)","plainCitation":"(Orlikowski, 2002a)","noteIndex":0},"citationItems":[{"id":991,"uris":["http://zotero.org/users/5709166/items/LAGNZLDD"],"itemData":{"id":991,"type":"article-journal","abstract":"[In this paper, I outline a perspective on knowing in practice which highlights the essential role of human action in knowing how to get things done in complex organizational work. The perspective suggests that knowing is not a static embedded capability or stable disposition of actors, but rather an ongoing social accomplishment, constituted and reconstituted as actors engage the world in practice. In interpreting the findings of an empirical study conducted in a geographically dispersed high-tech organization, I suggest that the competence to do global product development is both collective and distributed, grounded in the everyday practices of organizational members. I conclude by discussing some of the research implications of a perspective on organizational knowing in practice.]","archive":"JSTOR","container-title":"Organization Science","ISSN":"1047-7039","issue":"3","page":"249-273","source":"JSTOR","title":"Knowing in Practice: Enacting a Collective Capability in Distributed Organizing","title-short":"Knowing in Practice","volume":"13","author":[{"family":"Orlikowski","given":"Wanda J."}],"issued":{"date-parts":[["2002"]]}}}],"schema":"https://github.com/citation-style-language/schema/raw/master/csl-citation.json"}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00B73834" w:rsidRPr="00F153F6">
        <w:rPr>
          <w:rFonts w:ascii="Times New Roman" w:hAnsi="Times New Roman" w:cs="Times New Roman"/>
          <w:sz w:val="24"/>
          <w:szCs w:val="24"/>
        </w:rPr>
        <w:t>(Orlikowski, 2002)</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However, the present findings show that different knowledgeabilities may have inter-relations such as one becomes the others’ condition or result. For example, stakeholders must develop their knowing how to cultivate relationships with other partners (condition knowledgeability: inter-connecting) so that they can develop their knowing how to learn from each other (core knowledgeability: interactive learning). As Gibson et al.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{"citationID":"Fmb9dMih","properties":{"formattedCitation":"(2021)","plainCitation":"(2021)","noteIndex":0},"citationItems":[{"id":9799,"uris":["http://zotero.org/users/5709166/items/2MGCEYF6"],"itemData":{"id":9799,"type":"article-journal","abstract":"Despite the dynamic nature of knowledge-related activities and the availability of a variety of communication technologies, many global teams habitually use technology in the same way across activities. However, as teams move through cycles of accumulating, integrating, and implementing knowledge, the purposes for communication technologies change. Current theorizing and empirical work on team knowledge management has yet to develop a dynamic theory that incorporates these changes. By conducting a multiwave, mixed method analysis of 48 global teams, we develop a theory of how global teams sustain effectiveness through technology affordance processes. We found that effective teams are those that recognize cues indicating change is necessary and coevolve a symbiosis between new activities, new purposes for interaction, and new uses of communication technologies. This coevolution of purpose with technology use forms new affordances, which enable the team to move on to new knowledge management activities and sustain effectiveness. Our theory more realistically models the dynamics of staying connected while sharing, combining, and implementing knowledge across the globe.","container-title":"Organization Science","DOI":"10.1287/orsc.2021.1478","ISSN":"1047-7039, 1526-5455","journalAbbreviation":"Organization Science","language":"en","page":"orsc.2021.1478","source":"DOI.org (Crossref)","title":"Sustaining Effectiveness in Global Teams: The Coevolution of Knowledge Management Activities and Technology Affordances","title-short":"Sustaining Effectiveness in Global Teams","author":[{"family":"Gibson","given":"Cristina B."},{"family":"Dunlop","given":"Patrick D."},{"family":"Majchrzak","given":"Ann"},{"family":"Chia","given":"Terence"}],"issued":{"date-parts":[["2021",8,11]]}},"label":"page","suppress-author":true}],"schema":"https://github.com/citation-style-language/schema/raw/master/csl-citation.json"}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eastAsiaTheme="minorEastAsia" w:hAnsi="Times New Roman" w:cs="Times New Roman"/>
          <w:sz w:val="24"/>
          <w:szCs w:val="24"/>
        </w:rPr>
        <w:t>(2021)</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identified, human knowledgeable activities may evolve as change cues are recognised. For example, when people recognise a lack of shared understanding or global applicability (realisation of knowledgeable characteristics), people’s knowledgeable activities may shift from idea accumulating to synthesising. This indicates that under certain circumstances one knowledgeability emerging from activities may change to another. The findings in the present study suggest three types of knowledgeabilities – conditional, core, and resulting, which extends the current understanding on how different knowledgeabilities are connected to support the evolution of human knowledgeable activities.</w:t>
      </w:r>
    </w:p>
    <w:p w14:paraId="448222BF" w14:textId="77777777" w:rsidR="000543CB" w:rsidRPr="00F153F6" w:rsidRDefault="000543CB" w:rsidP="004424B4">
      <w:pPr>
        <w:spacing w:line="360" w:lineRule="auto"/>
        <w:jc w:val="both"/>
        <w:rPr>
          <w:rFonts w:ascii="Times New Roman" w:hAnsi="Times New Roman" w:cs="Times New Roman"/>
          <w:sz w:val="24"/>
          <w:szCs w:val="24"/>
        </w:rPr>
      </w:pPr>
    </w:p>
    <w:p w14:paraId="4A7BE4E7" w14:textId="5F7DE695" w:rsidR="002B457C" w:rsidRPr="00F153F6" w:rsidRDefault="002B457C" w:rsidP="000543CB">
      <w:pPr>
        <w:pStyle w:val="Heading3"/>
        <w:spacing w:line="360" w:lineRule="auto"/>
        <w:ind w:firstLine="720"/>
        <w:jc w:val="both"/>
        <w:rPr>
          <w:rFonts w:ascii="Times New Roman" w:hAnsi="Times New Roman" w:cs="Times New Roman"/>
          <w:b/>
          <w:color w:val="auto"/>
          <w:sz w:val="28"/>
          <w:szCs w:val="28"/>
        </w:rPr>
      </w:pPr>
      <w:bookmarkStart w:id="672" w:name="_Toc118371160"/>
      <w:bookmarkStart w:id="673" w:name="_Toc133252187"/>
      <w:r w:rsidRPr="00F153F6">
        <w:rPr>
          <w:rFonts w:ascii="Times New Roman" w:hAnsi="Times New Roman" w:cs="Times New Roman"/>
          <w:b/>
          <w:color w:val="auto"/>
          <w:sz w:val="28"/>
          <w:szCs w:val="28"/>
        </w:rPr>
        <w:t xml:space="preserve">5.3.3 </w:t>
      </w:r>
      <w:bookmarkEnd w:id="672"/>
      <w:r w:rsidR="00076A36" w:rsidRPr="00F153F6">
        <w:rPr>
          <w:rFonts w:ascii="Times New Roman" w:hAnsi="Times New Roman" w:cs="Times New Roman"/>
          <w:b/>
          <w:color w:val="auto"/>
          <w:sz w:val="28"/>
          <w:szCs w:val="28"/>
        </w:rPr>
        <w:t>The Evolving Multi-Layer Context</w:t>
      </w:r>
      <w:bookmarkEnd w:id="673"/>
      <w:r w:rsidRPr="00F153F6">
        <w:rPr>
          <w:rFonts w:ascii="Times New Roman" w:hAnsi="Times New Roman" w:cs="Times New Roman"/>
          <w:b/>
          <w:color w:val="auto"/>
          <w:sz w:val="28"/>
          <w:szCs w:val="28"/>
        </w:rPr>
        <w:t xml:space="preserve"> </w:t>
      </w:r>
    </w:p>
    <w:p w14:paraId="1323CD6D" w14:textId="32F8FBED" w:rsidR="003C4A3D" w:rsidRPr="00F153F6" w:rsidRDefault="002B457C" w:rsidP="002B457C">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The present findings </w:t>
      </w:r>
      <w:r w:rsidR="003C4A3D" w:rsidRPr="00F153F6">
        <w:rPr>
          <w:rFonts w:ascii="Times New Roman" w:eastAsiaTheme="minorEastAsia" w:hAnsi="Times New Roman" w:cs="Times New Roman"/>
          <w:sz w:val="24"/>
          <w:szCs w:val="24"/>
        </w:rPr>
        <w:t>suggest</w:t>
      </w:r>
      <w:r w:rsidRPr="00F153F6">
        <w:rPr>
          <w:rFonts w:ascii="Times New Roman" w:eastAsiaTheme="minorEastAsia" w:hAnsi="Times New Roman" w:cs="Times New Roman"/>
          <w:sz w:val="24"/>
          <w:szCs w:val="24"/>
        </w:rPr>
        <w:t xml:space="preserve"> </w:t>
      </w:r>
      <w:r w:rsidR="002651EF" w:rsidRPr="00F153F6">
        <w:rPr>
          <w:rFonts w:ascii="Times New Roman" w:eastAsiaTheme="minorEastAsia" w:hAnsi="Times New Roman" w:cs="Times New Roman"/>
          <w:sz w:val="24"/>
          <w:szCs w:val="24"/>
        </w:rPr>
        <w:t xml:space="preserve">a multi-layer context - </w:t>
      </w:r>
      <w:r w:rsidRPr="00F153F6">
        <w:rPr>
          <w:rFonts w:ascii="Times New Roman" w:eastAsiaTheme="minorEastAsia" w:hAnsi="Times New Roman" w:cs="Times New Roman"/>
          <w:sz w:val="24"/>
          <w:szCs w:val="24"/>
        </w:rPr>
        <w:t>inter-organisational, intra-organisational and wider environmental context</w:t>
      </w:r>
      <w:r w:rsidR="002651EF" w:rsidRPr="00F153F6">
        <w:rPr>
          <w:rFonts w:ascii="Times New Roman" w:eastAsiaTheme="minorEastAsia" w:hAnsi="Times New Roman" w:cs="Times New Roman"/>
          <w:sz w:val="24"/>
          <w:szCs w:val="24"/>
        </w:rPr>
        <w:t xml:space="preserve">, which extends current work around contextual understanding of ICT-based </w:t>
      </w:r>
      <w:r w:rsidR="003C4A3D" w:rsidRPr="00F153F6">
        <w:rPr>
          <w:rFonts w:ascii="Times New Roman" w:eastAsiaTheme="minorEastAsia" w:hAnsi="Times New Roman" w:cs="Times New Roman"/>
          <w:sz w:val="24"/>
          <w:szCs w:val="24"/>
        </w:rPr>
        <w:t xml:space="preserve">inter-organisational </w:t>
      </w:r>
      <w:r w:rsidR="002651EF" w:rsidRPr="00F153F6">
        <w:rPr>
          <w:rFonts w:ascii="Times New Roman" w:eastAsiaTheme="minorEastAsia" w:hAnsi="Times New Roman" w:cs="Times New Roman"/>
          <w:sz w:val="24"/>
          <w:szCs w:val="24"/>
        </w:rPr>
        <w:t xml:space="preserve">knowledge work. </w:t>
      </w:r>
      <w:r w:rsidR="003C4A3D" w:rsidRPr="00F153F6">
        <w:rPr>
          <w:rFonts w:ascii="Times New Roman" w:eastAsiaTheme="minorEastAsia" w:hAnsi="Times New Roman" w:cs="Times New Roman"/>
          <w:sz w:val="24"/>
          <w:szCs w:val="24"/>
        </w:rPr>
        <w:t>Extant work study</w:t>
      </w:r>
      <w:r w:rsidR="007D4DCD" w:rsidRPr="00F153F6">
        <w:rPr>
          <w:rFonts w:ascii="Times New Roman" w:eastAsiaTheme="minorEastAsia" w:hAnsi="Times New Roman" w:cs="Times New Roman"/>
          <w:sz w:val="24"/>
          <w:szCs w:val="24"/>
        </w:rPr>
        <w:t>ing</w:t>
      </w:r>
      <w:r w:rsidR="003C4A3D" w:rsidRPr="00F153F6">
        <w:rPr>
          <w:rFonts w:ascii="Times New Roman" w:eastAsiaTheme="minorEastAsia" w:hAnsi="Times New Roman" w:cs="Times New Roman"/>
          <w:sz w:val="24"/>
          <w:szCs w:val="24"/>
        </w:rPr>
        <w:t xml:space="preserve"> ICT-based knowledge work in inter-organisational setting</w:t>
      </w:r>
      <w:r w:rsidR="007D4DCD" w:rsidRPr="00F153F6">
        <w:rPr>
          <w:rFonts w:ascii="Times New Roman" w:eastAsiaTheme="minorEastAsia" w:hAnsi="Times New Roman" w:cs="Times New Roman"/>
          <w:sz w:val="24"/>
          <w:szCs w:val="24"/>
        </w:rPr>
        <w:t>s</w:t>
      </w:r>
      <w:r w:rsidR="003C4A3D" w:rsidRPr="00F153F6">
        <w:rPr>
          <w:rFonts w:ascii="Times New Roman" w:eastAsiaTheme="minorEastAsia" w:hAnsi="Times New Roman" w:cs="Times New Roman"/>
          <w:sz w:val="24"/>
          <w:szCs w:val="24"/>
        </w:rPr>
        <w:t xml:space="preserve"> tend</w:t>
      </w:r>
      <w:r w:rsidR="007D4DCD" w:rsidRPr="00F153F6">
        <w:rPr>
          <w:rFonts w:ascii="Times New Roman" w:eastAsiaTheme="minorEastAsia" w:hAnsi="Times New Roman" w:cs="Times New Roman"/>
          <w:sz w:val="24"/>
          <w:szCs w:val="24"/>
        </w:rPr>
        <w:t>s</w:t>
      </w:r>
      <w:r w:rsidR="003C4A3D" w:rsidRPr="00F153F6">
        <w:rPr>
          <w:rFonts w:ascii="Times New Roman" w:eastAsiaTheme="minorEastAsia" w:hAnsi="Times New Roman" w:cs="Times New Roman"/>
          <w:sz w:val="24"/>
          <w:szCs w:val="24"/>
        </w:rPr>
        <w:t xml:space="preserve"> to </w:t>
      </w:r>
      <w:r w:rsidR="007D4DCD" w:rsidRPr="00F153F6">
        <w:rPr>
          <w:rFonts w:ascii="Times New Roman" w:eastAsiaTheme="minorEastAsia" w:hAnsi="Times New Roman" w:cs="Times New Roman"/>
          <w:sz w:val="24"/>
          <w:szCs w:val="24"/>
        </w:rPr>
        <w:t xml:space="preserve">position </w:t>
      </w:r>
      <w:r w:rsidR="003C4A3D" w:rsidRPr="00F153F6">
        <w:rPr>
          <w:rFonts w:ascii="Times New Roman" w:eastAsiaTheme="minorEastAsia" w:hAnsi="Times New Roman" w:cs="Times New Roman"/>
          <w:sz w:val="24"/>
          <w:szCs w:val="24"/>
        </w:rPr>
        <w:t xml:space="preserve">inter-organisational context as their primary focus. For example, </w:t>
      </w:r>
      <w:r w:rsidR="009364EB" w:rsidRPr="00F153F6">
        <w:rPr>
          <w:rFonts w:ascii="Times New Roman" w:eastAsiaTheme="minorEastAsia" w:hAnsi="Times New Roman" w:cs="Times New Roman"/>
          <w:sz w:val="24"/>
          <w:szCs w:val="24"/>
        </w:rPr>
        <w:t xml:space="preserve">Fu et al. </w:t>
      </w:r>
      <w:r w:rsidR="009364EB" w:rsidRPr="00F153F6">
        <w:rPr>
          <w:rFonts w:ascii="Times New Roman" w:eastAsiaTheme="minorEastAsia" w:hAnsi="Times New Roman" w:cs="Times New Roman"/>
          <w:sz w:val="24"/>
          <w:szCs w:val="24"/>
        </w:rPr>
        <w:fldChar w:fldCharType="begin"/>
      </w:r>
      <w:r w:rsidR="009364EB" w:rsidRPr="00F153F6">
        <w:rPr>
          <w:rFonts w:ascii="Times New Roman" w:eastAsiaTheme="minorEastAsia" w:hAnsi="Times New Roman" w:cs="Times New Roman"/>
          <w:sz w:val="24"/>
          <w:szCs w:val="24"/>
        </w:rPr>
        <w:instrText xml:space="preserve"> ADDIN ZOTERO_ITEM CSL_CITATION {"citationID":"KQCx5OBC","properties":{"formattedCitation":"(2019)","plainCitation":"(2019)","noteIndex":0},"citationItems":[{"id":137,"uris":["http://zotero.org/users/5709166/items/9NGHZAEU"],"itemData":{"id":137,"type":"article-journal","container-title":"Management Communication Quarterly","DOI":"10.1177/0893318918824041","ISSN":"0893-3189, 1552-6798","issue":"2","journalAbbreviation":"Management Communication Quarterly","language":"en","page":"219-237","source":"DOI.org (Crossref)","title":"Use and Affordances of ICTs in Interorganizational Collaboration: An Exploratory Study of ICTs in Nonprofit Partnerships","title-short":"Use and Affordances of ICTs in Interorganizational Collaboration","volume":"33","author":[{"family":"Fu","given":"Jiawei Sophia"},{"family":"Cooper","given":"Katherine R."},{"family":"Shumate","given":"Michelle"}],"issued":{"date-parts":[["2019",5]]}},"label":"page","suppress-author":true}],"schema":"https://github.com/citation-style-language/schema/raw/master/csl-citation.json"} </w:instrText>
      </w:r>
      <w:r w:rsidR="009364EB" w:rsidRPr="00F153F6">
        <w:rPr>
          <w:rFonts w:ascii="Times New Roman" w:eastAsiaTheme="minorEastAsia" w:hAnsi="Times New Roman" w:cs="Times New Roman"/>
          <w:sz w:val="24"/>
          <w:szCs w:val="24"/>
        </w:rPr>
        <w:fldChar w:fldCharType="separate"/>
      </w:r>
      <w:r w:rsidR="009364EB" w:rsidRPr="00F153F6">
        <w:rPr>
          <w:rFonts w:ascii="Times New Roman" w:hAnsi="Times New Roman" w:cs="Times New Roman"/>
          <w:sz w:val="24"/>
          <w:szCs w:val="24"/>
        </w:rPr>
        <w:t>(2019)</w:t>
      </w:r>
      <w:r w:rsidR="009364EB" w:rsidRPr="00F153F6">
        <w:rPr>
          <w:rFonts w:ascii="Times New Roman" w:eastAsiaTheme="minorEastAsia" w:hAnsi="Times New Roman" w:cs="Times New Roman"/>
          <w:sz w:val="24"/>
          <w:szCs w:val="24"/>
        </w:rPr>
        <w:fldChar w:fldCharType="end"/>
      </w:r>
      <w:r w:rsidR="00934283" w:rsidRPr="00F153F6">
        <w:rPr>
          <w:rFonts w:ascii="Times New Roman" w:eastAsiaTheme="minorEastAsia" w:hAnsi="Times New Roman" w:cs="Times New Roman"/>
          <w:sz w:val="24"/>
          <w:szCs w:val="24"/>
        </w:rPr>
        <w:t xml:space="preserve"> have demonstrated </w:t>
      </w:r>
      <w:r w:rsidR="007D4DCD" w:rsidRPr="00F153F6">
        <w:rPr>
          <w:rFonts w:ascii="Times New Roman" w:eastAsiaTheme="minorEastAsia" w:hAnsi="Times New Roman" w:cs="Times New Roman"/>
          <w:sz w:val="24"/>
          <w:szCs w:val="24"/>
        </w:rPr>
        <w:t xml:space="preserve">a </w:t>
      </w:r>
      <w:r w:rsidR="00934283" w:rsidRPr="00F153F6">
        <w:rPr>
          <w:rFonts w:ascii="Times New Roman" w:eastAsiaTheme="minorEastAsia" w:hAnsi="Times New Roman" w:cs="Times New Roman"/>
          <w:sz w:val="24"/>
          <w:szCs w:val="24"/>
        </w:rPr>
        <w:t>wide range of ICT tools to be used in different types of inter-organisational partnerships and identified affordances for inter-organisational collaboration team</w:t>
      </w:r>
      <w:r w:rsidR="007D4DCD" w:rsidRPr="00F153F6">
        <w:rPr>
          <w:rFonts w:ascii="Times New Roman" w:eastAsiaTheme="minorEastAsia" w:hAnsi="Times New Roman" w:cs="Times New Roman"/>
          <w:sz w:val="24"/>
          <w:szCs w:val="24"/>
        </w:rPr>
        <w:t>s</w:t>
      </w:r>
      <w:r w:rsidR="00934283" w:rsidRPr="00F153F6">
        <w:rPr>
          <w:rFonts w:ascii="Times New Roman" w:eastAsiaTheme="minorEastAsia" w:hAnsi="Times New Roman" w:cs="Times New Roman"/>
          <w:sz w:val="24"/>
          <w:szCs w:val="24"/>
        </w:rPr>
        <w:t>.</w:t>
      </w:r>
      <w:r w:rsidR="00DE37CC" w:rsidRPr="00F153F6">
        <w:rPr>
          <w:rFonts w:ascii="Times New Roman" w:eastAsiaTheme="minorEastAsia" w:hAnsi="Times New Roman" w:cs="Times New Roman"/>
          <w:sz w:val="24"/>
          <w:szCs w:val="24"/>
        </w:rPr>
        <w:t xml:space="preserve"> </w:t>
      </w:r>
      <w:r w:rsidR="004966C0" w:rsidRPr="00F153F6">
        <w:rPr>
          <w:rFonts w:ascii="Times New Roman" w:eastAsiaTheme="minorEastAsia" w:hAnsi="Times New Roman" w:cs="Times New Roman"/>
          <w:sz w:val="24"/>
          <w:szCs w:val="24"/>
        </w:rPr>
        <w:t xml:space="preserve">Gibson et al. </w:t>
      </w:r>
      <w:r w:rsidR="004966C0" w:rsidRPr="00F153F6">
        <w:rPr>
          <w:rFonts w:ascii="Times New Roman" w:eastAsiaTheme="minorEastAsia" w:hAnsi="Times New Roman" w:cs="Times New Roman"/>
          <w:sz w:val="24"/>
          <w:szCs w:val="24"/>
        </w:rPr>
        <w:fldChar w:fldCharType="begin"/>
      </w:r>
      <w:r w:rsidR="00CC5D09" w:rsidRPr="00F153F6">
        <w:rPr>
          <w:rFonts w:ascii="Times New Roman" w:eastAsiaTheme="minorEastAsia" w:hAnsi="Times New Roman" w:cs="Times New Roman"/>
          <w:sz w:val="24"/>
          <w:szCs w:val="24"/>
        </w:rPr>
        <w:instrText xml:space="preserve"> ADDIN ZOTERO_ITEM CSL_CITATION {"citationID":"EiGDFQfx","properties":{"formattedCitation":"(2021)","plainCitation":"(2021)","noteIndex":0},"citationItems":[{"id":9799,"uris":["http://zotero.org/users/5709166/items/2MGCEYF6"],"itemData":{"id":9799,"type":"article-journal","abstract":"Despite the dynamic nature of knowledge-related activities and the availability of a variety of communication technologies, many global teams habitually use technology in the same way across activities. However, as teams move through cycles of accumulating, integrating, and implementing knowledge, the purposes for communication technologies change. Current theorizing and empirical work on team knowledge management has yet to develop a dynamic theory that incorporates these changes. By conducting a multiwave, mixed method analysis of 48 global teams, we develop a theory of how global teams sustain effectiveness through technology affordance processes. We found that effective teams are those that recognize cues indicating change is necessary and coevolve a symbiosis between new activities, new purposes for interaction, and new uses of communication technologies. This coevolution of purpose with technology use forms new affordances, which enable the team to move on to new knowledge management activities and sustain effectiveness. Our theory more realistically models the dynamics of staying connected while sharing, combining, and implementing knowledge across the globe.","container-title":"Organization Science","DOI":"10.1287/orsc.2021.1478","ISSN":"1047-7039, 1526-5455","journalAbbreviation":"Organization Science","language":"en","page":"orsc.2021.1478","source":"DOI.org (Crossref)","title":"Sustaining Effectiveness in Global Teams: The Coevolution of Knowledge Management Activities and Technology Affordances","title-short":"Sustaining Effectiveness in Global Teams","author":[{"family":"Gibson","given":"Cristina B."},{"family":"Dunlop","given":"Patrick D."},{"family":"Majchrzak","given":"Ann"},{"family":"Chia","given":"Terence"}],"issued":{"date-parts":[["2021",8,11]]}},"label":"page","suppress-author":true}],"schema":"https://github.com/citation-style-language/schema/raw/master/csl-citation.json"} </w:instrText>
      </w:r>
      <w:r w:rsidR="004966C0" w:rsidRPr="00F153F6">
        <w:rPr>
          <w:rFonts w:ascii="Times New Roman" w:eastAsiaTheme="minorEastAsia" w:hAnsi="Times New Roman" w:cs="Times New Roman"/>
          <w:sz w:val="24"/>
          <w:szCs w:val="24"/>
        </w:rPr>
        <w:fldChar w:fldCharType="separate"/>
      </w:r>
      <w:r w:rsidR="004966C0" w:rsidRPr="00F153F6">
        <w:rPr>
          <w:rFonts w:ascii="Times New Roman" w:eastAsiaTheme="minorEastAsia" w:hAnsi="Times New Roman" w:cs="Times New Roman"/>
          <w:sz w:val="24"/>
          <w:szCs w:val="24"/>
        </w:rPr>
        <w:t>(2021)</w:t>
      </w:r>
      <w:r w:rsidR="004966C0" w:rsidRPr="00F153F6">
        <w:rPr>
          <w:rFonts w:ascii="Times New Roman" w:eastAsiaTheme="minorEastAsia" w:hAnsi="Times New Roman" w:cs="Times New Roman"/>
          <w:sz w:val="24"/>
          <w:szCs w:val="24"/>
        </w:rPr>
        <w:fldChar w:fldCharType="end"/>
      </w:r>
      <w:r w:rsidR="004966C0" w:rsidRPr="00F153F6">
        <w:rPr>
          <w:rFonts w:ascii="Times New Roman" w:eastAsiaTheme="minorEastAsia" w:hAnsi="Times New Roman" w:cs="Times New Roman"/>
          <w:sz w:val="24"/>
          <w:szCs w:val="24"/>
        </w:rPr>
        <w:t xml:space="preserve"> have explored diverse ICT affordances for knowledge management activities in global teams with an emphasis on ICT use and effects across team collaboration.</w:t>
      </w:r>
      <w:r w:rsidR="00DE37CC" w:rsidRPr="00F153F6">
        <w:rPr>
          <w:rFonts w:ascii="Times New Roman" w:eastAsiaTheme="minorEastAsia" w:hAnsi="Times New Roman" w:cs="Times New Roman"/>
          <w:sz w:val="24"/>
          <w:szCs w:val="24"/>
        </w:rPr>
        <w:t xml:space="preserve"> There are also many other studies that investigate cross-boundary collaboration emphasising the use and effects of ICT as boundary objects in inter-organisational knowledge work </w:t>
      </w:r>
      <w:r w:rsidR="00DE37CC" w:rsidRPr="00F153F6">
        <w:rPr>
          <w:rFonts w:ascii="Times New Roman" w:eastAsiaTheme="minorEastAsia" w:hAnsi="Times New Roman" w:cs="Times New Roman"/>
          <w:sz w:val="24"/>
          <w:szCs w:val="24"/>
        </w:rPr>
        <w:fldChar w:fldCharType="begin"/>
      </w:r>
      <w:r w:rsidR="00CC5D09" w:rsidRPr="00F153F6">
        <w:rPr>
          <w:rFonts w:ascii="Times New Roman" w:eastAsiaTheme="minorEastAsia" w:hAnsi="Times New Roman" w:cs="Times New Roman"/>
          <w:sz w:val="24"/>
          <w:szCs w:val="24"/>
        </w:rPr>
        <w:instrText xml:space="preserve"> ADDIN ZOTERO_ITEM CSL_CITATION {"citationID":"Jf7T6nbV","properties":{"formattedCitation":"(Carlile, 2002; Cronemberger et al., 2017; Kimble et al., 2010)","plainCitation":"(Carlile, 2002; Cronemberger et al., 2017; Kimble et al., 2010)","noteIndex":0},"citationItems":[{"id":157,"uris":["http://zotero.org/users/5709166/items/M26HEKDW"],"itemData":{"id":157,"type":"article-journal","abstract":"This study explores the premise that knowledge in new product development proves both a barrier to and a source of innovation. To understand the problematic nature of knowledge and the boundaries that result, an ethnographic study was used to understand how knowledge is structured differently across the four primary functions that are dependent on each other in the creation and production of a high-volume product. A pragmatic view of “knowledge in practice” is developed, describing knowledge as localized, embedded, and invested within a function and how, when working across functions, consequences often arise that generate problematic knowledge boundaries. The use of a boundary object is then described as a means of representing, learning about, and transforming knowledge to resolve the consequences that exist at a given boundary. Finally, this pragmatic view of knowledge and boundaries is proposed as a framework to revisit the differentiation and integration of knowledge.","container-title":"Organization Science","DOI":"10.1287/orsc.13.4.442.2953","ISSN":"1047-7039, 1526-5455","issue":"4","journalAbbreviation":"Organization Science","language":"en","page":"442-455","source":"DOI.org (Crossref)","title":"A Pragmatic View of Knowledge and Boundaries: Boundary Objects in New Product Development","title-short":"A Pragmatic View of Knowledge and Boundaries","volume":"13","author":[{"family":"Carlile","given":"Paul R."}],"issued":{"date-parts":[["2002",8]]}}},{"id":10528,"uris":["http://zotero.org/users/5709166/items/E5I9IBQ4"],"itemData":{"id":10528,"type":"paper-conference","abstract":"Boundary Objects (BO) have been avidly discussed in research, particularly in some fields such as organization theory. Nonetheless, insufficient attention has been given to its relevance to information sharing and integration in interorganizational systems in the public sector. We use structural equation modeling (SEM) to scrutinize data from a National Survey conducted in the United States in 2008 and look for evidence of the mediating role of boundary objects in contexts of complex organizational interactions. This preliminary study reveals insights about the relativistic nature BOs as mediating structures and draws conclusions about its actual weight with respect to successful collaboration in inter-organizational information exchanges across public organizations. We conclude with a research agenda for the future.","container-title":"Proceedings of the 18th Annual International Conference on Digital Government Research","DOI":"10.1145/3085228.3085238","event-place":"Staten Island NY USA","event-title":"dg.o '17: 18th Annual International Conference on Digital Government Research","ISBN":"978-1-4503-5317-5","language":"en","page":"167-176","publisher":"ACM","publisher-place":"Staten Island NY USA","source":"DOI.org (Crossref)","title":"Examining Boundary Objects in Inter-Organizational Information Sharing (IIS) Success","URL":"https://dl.acm.org/doi/10.1145/3085228.3085238","author":[{"family":"Cronemberger","given":"Felippe A."},{"family":"Sayogo","given":"Djoko Sigit"},{"family":"Gil-Garcia","given":"J. Ramon"}],"accessed":{"date-parts":[["2023",4,17]]},"issued":{"date-parts":[["2017",6,7]]}}},{"id":1530,"uris":["http://zotero.org/users/5709166/items/QNHHGBXL"],"itemData":{"id":1530,"type":"article-journal","abstract":"The article examines the process of innovation and knowledge sharing from a perspective that focuses on the influence that local circumstances can have. In particular, it looks at the problems of knowledge sharing between groups of professionals. It presents a comparative analysis of two studies, one involving two groups of IT professionals; the other a network of healthcare professionals. The data was collected in two sets. The first set consisted of the results from two earlier, independent studies; the second was collected specifically for this article. We investigate the role played by boundary objects and brokers. Through an analysis of the interplay between boundary object and broker, we uncover the dynamics of the innovation process and show that the role played by the broker can be political. We identify two strategies that are used by brokers in the selection of a boundary object. The first is directed towards achieving a balance between the actors involved and the second is directed towards controlling their activities. We conclude by suggesting that other researchers should also consider the interplay between broker and boundary object when examining cross-boundary knowledge sharing. © 2010 Elsevier Ltd. All rights reserved.","archive":"Scopus","container-title":"International Journal of Information Management","DOI":"10.1016/j.ijinfomgt.2010.02.002","ISSN":"02684012 (ISSN)","issue":"5","journalAbbreviation":"Int J Inf Manage","language":"English","page":"437-444","title":"Innovation and knowledge sharing across professional boundaries: Political interplay between boundary objects and brokers","volume":"30","author":[{"family":"Kimble","given":"C."},{"family":"Grenier","given":"C."},{"family":"Goglio-Primard","given":"K."}],"issued":{"date-parts":[["2010"]]}}}],"schema":"https://github.com/citation-style-language/schema/raw/master/csl-citation.json"} </w:instrText>
      </w:r>
      <w:r w:rsidR="00DE37CC" w:rsidRPr="00F153F6">
        <w:rPr>
          <w:rFonts w:ascii="Times New Roman" w:eastAsiaTheme="minorEastAsia" w:hAnsi="Times New Roman" w:cs="Times New Roman"/>
          <w:sz w:val="24"/>
          <w:szCs w:val="24"/>
        </w:rPr>
        <w:fldChar w:fldCharType="separate"/>
      </w:r>
      <w:r w:rsidR="00CC5D09" w:rsidRPr="00F153F6">
        <w:rPr>
          <w:rFonts w:ascii="Times New Roman" w:hAnsi="Times New Roman" w:cs="Times New Roman"/>
          <w:sz w:val="24"/>
          <w:szCs w:val="24"/>
        </w:rPr>
        <w:t>(Carlile, 2002; Cronemberger et al., 2017; Kimble et al., 2010)</w:t>
      </w:r>
      <w:r w:rsidR="00DE37CC" w:rsidRPr="00F153F6">
        <w:rPr>
          <w:rFonts w:ascii="Times New Roman" w:eastAsiaTheme="minorEastAsia" w:hAnsi="Times New Roman" w:cs="Times New Roman"/>
          <w:sz w:val="24"/>
          <w:szCs w:val="24"/>
        </w:rPr>
        <w:fldChar w:fldCharType="end"/>
      </w:r>
      <w:r w:rsidR="00DE37CC" w:rsidRPr="00F153F6">
        <w:rPr>
          <w:rFonts w:ascii="Times New Roman" w:eastAsiaTheme="minorEastAsia" w:hAnsi="Times New Roman" w:cs="Times New Roman"/>
          <w:sz w:val="24"/>
          <w:szCs w:val="24"/>
        </w:rPr>
        <w:t>.</w:t>
      </w:r>
      <w:r w:rsidR="004966C0" w:rsidRPr="00F153F6">
        <w:rPr>
          <w:rFonts w:ascii="Times New Roman" w:eastAsiaTheme="minorEastAsia" w:hAnsi="Times New Roman" w:cs="Times New Roman"/>
          <w:sz w:val="24"/>
          <w:szCs w:val="24"/>
        </w:rPr>
        <w:t xml:space="preserve"> </w:t>
      </w:r>
      <w:r w:rsidR="009364EB" w:rsidRPr="00F153F6">
        <w:rPr>
          <w:rFonts w:ascii="Times New Roman" w:eastAsiaTheme="minorEastAsia" w:hAnsi="Times New Roman" w:cs="Times New Roman"/>
          <w:sz w:val="24"/>
          <w:szCs w:val="24"/>
        </w:rPr>
        <w:t xml:space="preserve">These </w:t>
      </w:r>
      <w:r w:rsidR="00BC552E" w:rsidRPr="00F153F6">
        <w:rPr>
          <w:rFonts w:ascii="Times New Roman" w:eastAsiaTheme="minorEastAsia" w:hAnsi="Times New Roman" w:cs="Times New Roman"/>
          <w:sz w:val="24"/>
          <w:szCs w:val="24"/>
        </w:rPr>
        <w:t xml:space="preserve">studies tend to </w:t>
      </w:r>
      <w:r w:rsidR="009364EB" w:rsidRPr="00F153F6">
        <w:rPr>
          <w:rFonts w:ascii="Times New Roman" w:eastAsiaTheme="minorEastAsia" w:hAnsi="Times New Roman" w:cs="Times New Roman"/>
          <w:sz w:val="24"/>
          <w:szCs w:val="24"/>
        </w:rPr>
        <w:t>focus on</w:t>
      </w:r>
      <w:r w:rsidR="00BC552E" w:rsidRPr="00F153F6">
        <w:rPr>
          <w:rFonts w:ascii="Times New Roman" w:eastAsiaTheme="minorEastAsia" w:hAnsi="Times New Roman" w:cs="Times New Roman"/>
          <w:sz w:val="24"/>
          <w:szCs w:val="24"/>
        </w:rPr>
        <w:t xml:space="preserve"> ICT</w:t>
      </w:r>
      <w:r w:rsidR="007D4DCD" w:rsidRPr="00F153F6">
        <w:rPr>
          <w:rFonts w:ascii="Times New Roman" w:eastAsiaTheme="minorEastAsia" w:hAnsi="Times New Roman" w:cs="Times New Roman"/>
          <w:sz w:val="24"/>
          <w:szCs w:val="24"/>
        </w:rPr>
        <w:t>s</w:t>
      </w:r>
      <w:r w:rsidR="00BC552E" w:rsidRPr="00F153F6">
        <w:rPr>
          <w:rFonts w:ascii="Times New Roman" w:eastAsiaTheme="minorEastAsia" w:hAnsi="Times New Roman" w:cs="Times New Roman"/>
          <w:sz w:val="24"/>
          <w:szCs w:val="24"/>
        </w:rPr>
        <w:t xml:space="preserve"> </w:t>
      </w:r>
      <w:r w:rsidR="009364EB" w:rsidRPr="00F153F6">
        <w:rPr>
          <w:rFonts w:ascii="Times New Roman" w:eastAsiaTheme="minorEastAsia" w:hAnsi="Times New Roman" w:cs="Times New Roman"/>
          <w:sz w:val="24"/>
          <w:szCs w:val="24"/>
        </w:rPr>
        <w:t xml:space="preserve">that are </w:t>
      </w:r>
      <w:r w:rsidR="00BC552E" w:rsidRPr="00F153F6">
        <w:rPr>
          <w:rFonts w:ascii="Times New Roman" w:eastAsiaTheme="minorEastAsia" w:hAnsi="Times New Roman" w:cs="Times New Roman"/>
          <w:sz w:val="24"/>
          <w:szCs w:val="24"/>
        </w:rPr>
        <w:t xml:space="preserve">used </w:t>
      </w:r>
      <w:r w:rsidR="009364EB" w:rsidRPr="00F153F6">
        <w:rPr>
          <w:rFonts w:ascii="Times New Roman" w:eastAsiaTheme="minorEastAsia" w:hAnsi="Times New Roman" w:cs="Times New Roman"/>
          <w:sz w:val="24"/>
          <w:szCs w:val="24"/>
        </w:rPr>
        <w:t xml:space="preserve">only </w:t>
      </w:r>
      <w:r w:rsidR="004966C0" w:rsidRPr="00F153F6">
        <w:rPr>
          <w:rFonts w:ascii="Times New Roman" w:eastAsiaTheme="minorEastAsia" w:hAnsi="Times New Roman" w:cs="Times New Roman"/>
          <w:sz w:val="24"/>
          <w:szCs w:val="24"/>
        </w:rPr>
        <w:t>between members from inter-</w:t>
      </w:r>
      <w:r w:rsidR="004966C0" w:rsidRPr="00F153F6">
        <w:rPr>
          <w:rFonts w:ascii="Times New Roman" w:eastAsiaTheme="minorEastAsia" w:hAnsi="Times New Roman" w:cs="Times New Roman"/>
          <w:sz w:val="24"/>
          <w:szCs w:val="24"/>
        </w:rPr>
        <w:lastRenderedPageBreak/>
        <w:t>organisational collaboration team</w:t>
      </w:r>
      <w:r w:rsidR="00625C0E" w:rsidRPr="00F153F6">
        <w:rPr>
          <w:rFonts w:ascii="Times New Roman" w:eastAsiaTheme="minorEastAsia" w:hAnsi="Times New Roman" w:cs="Times New Roman"/>
          <w:sz w:val="24"/>
          <w:szCs w:val="24"/>
        </w:rPr>
        <w:t>s</w:t>
      </w:r>
      <w:r w:rsidR="009364EB" w:rsidRPr="00F153F6">
        <w:rPr>
          <w:rFonts w:ascii="Times New Roman" w:eastAsiaTheme="minorEastAsia" w:hAnsi="Times New Roman" w:cs="Times New Roman"/>
          <w:sz w:val="24"/>
          <w:szCs w:val="24"/>
        </w:rPr>
        <w:t xml:space="preserve">. However, the </w:t>
      </w:r>
      <w:r w:rsidR="004966C0" w:rsidRPr="00F153F6">
        <w:rPr>
          <w:rFonts w:ascii="Times New Roman" w:eastAsiaTheme="minorEastAsia" w:hAnsi="Times New Roman" w:cs="Times New Roman"/>
          <w:sz w:val="24"/>
          <w:szCs w:val="24"/>
        </w:rPr>
        <w:t>routinised</w:t>
      </w:r>
      <w:r w:rsidR="009364EB" w:rsidRPr="00F153F6">
        <w:rPr>
          <w:rFonts w:ascii="Times New Roman" w:eastAsiaTheme="minorEastAsia" w:hAnsi="Times New Roman" w:cs="Times New Roman"/>
          <w:sz w:val="24"/>
          <w:szCs w:val="24"/>
        </w:rPr>
        <w:t xml:space="preserve"> work </w:t>
      </w:r>
      <w:r w:rsidR="004966C0" w:rsidRPr="00F153F6">
        <w:rPr>
          <w:rFonts w:ascii="Times New Roman" w:eastAsiaTheme="minorEastAsia" w:hAnsi="Times New Roman" w:cs="Times New Roman"/>
          <w:sz w:val="24"/>
          <w:szCs w:val="24"/>
        </w:rPr>
        <w:t>regulated by their organisation’s leaders</w:t>
      </w:r>
      <w:r w:rsidR="009364EB" w:rsidRPr="00F153F6">
        <w:rPr>
          <w:rFonts w:ascii="Times New Roman" w:eastAsiaTheme="minorEastAsia" w:hAnsi="Times New Roman" w:cs="Times New Roman"/>
          <w:sz w:val="24"/>
          <w:szCs w:val="24"/>
        </w:rPr>
        <w:t xml:space="preserve"> (i.e., the rules and routines in </w:t>
      </w:r>
      <w:r w:rsidR="007D4DCD" w:rsidRPr="00F153F6">
        <w:rPr>
          <w:rFonts w:ascii="Times New Roman" w:eastAsiaTheme="minorEastAsia" w:hAnsi="Times New Roman" w:cs="Times New Roman"/>
          <w:sz w:val="24"/>
          <w:szCs w:val="24"/>
        </w:rPr>
        <w:t xml:space="preserve">the </w:t>
      </w:r>
      <w:r w:rsidR="009364EB" w:rsidRPr="00F153F6">
        <w:rPr>
          <w:rFonts w:ascii="Times New Roman" w:eastAsiaTheme="minorEastAsia" w:hAnsi="Times New Roman" w:cs="Times New Roman"/>
          <w:sz w:val="24"/>
          <w:szCs w:val="24"/>
        </w:rPr>
        <w:t xml:space="preserve">intra-organisational context) </w:t>
      </w:r>
      <w:r w:rsidR="00934283" w:rsidRPr="00F153F6">
        <w:rPr>
          <w:rFonts w:ascii="Times New Roman" w:eastAsiaTheme="minorEastAsia" w:hAnsi="Times New Roman" w:cs="Times New Roman"/>
          <w:sz w:val="24"/>
          <w:szCs w:val="24"/>
        </w:rPr>
        <w:t xml:space="preserve">or </w:t>
      </w:r>
      <w:r w:rsidR="004966C0" w:rsidRPr="00F153F6">
        <w:rPr>
          <w:rFonts w:ascii="Times New Roman" w:eastAsiaTheme="minorEastAsia" w:hAnsi="Times New Roman" w:cs="Times New Roman"/>
          <w:sz w:val="24"/>
          <w:szCs w:val="24"/>
        </w:rPr>
        <w:t xml:space="preserve">emerging </w:t>
      </w:r>
      <w:r w:rsidR="009364EB" w:rsidRPr="00F153F6">
        <w:rPr>
          <w:rFonts w:ascii="Times New Roman" w:eastAsiaTheme="minorEastAsia" w:hAnsi="Times New Roman" w:cs="Times New Roman"/>
          <w:sz w:val="24"/>
          <w:szCs w:val="24"/>
        </w:rPr>
        <w:t>ICT</w:t>
      </w:r>
      <w:r w:rsidR="004966C0" w:rsidRPr="00F153F6">
        <w:rPr>
          <w:rFonts w:ascii="Times New Roman" w:eastAsiaTheme="minorEastAsia" w:hAnsi="Times New Roman" w:cs="Times New Roman"/>
          <w:sz w:val="24"/>
          <w:szCs w:val="24"/>
        </w:rPr>
        <w:t xml:space="preserve"> introduced</w:t>
      </w:r>
      <w:r w:rsidR="00934283" w:rsidRPr="00F153F6">
        <w:rPr>
          <w:rFonts w:ascii="Times New Roman" w:eastAsiaTheme="minorEastAsia" w:hAnsi="Times New Roman" w:cs="Times New Roman"/>
          <w:sz w:val="24"/>
          <w:szCs w:val="24"/>
        </w:rPr>
        <w:t xml:space="preserve"> </w:t>
      </w:r>
      <w:r w:rsidR="004966C0" w:rsidRPr="00F153F6">
        <w:rPr>
          <w:rFonts w:ascii="Times New Roman" w:eastAsiaTheme="minorEastAsia" w:hAnsi="Times New Roman" w:cs="Times New Roman"/>
          <w:sz w:val="24"/>
          <w:szCs w:val="24"/>
        </w:rPr>
        <w:t>by</w:t>
      </w:r>
      <w:r w:rsidR="00934283" w:rsidRPr="00F153F6">
        <w:rPr>
          <w:rFonts w:ascii="Times New Roman" w:eastAsiaTheme="minorEastAsia" w:hAnsi="Times New Roman" w:cs="Times New Roman"/>
          <w:sz w:val="24"/>
          <w:szCs w:val="24"/>
        </w:rPr>
        <w:t xml:space="preserve"> the market</w:t>
      </w:r>
      <w:r w:rsidR="009364EB" w:rsidRPr="00F153F6">
        <w:rPr>
          <w:rFonts w:ascii="Times New Roman" w:eastAsiaTheme="minorEastAsia" w:hAnsi="Times New Roman" w:cs="Times New Roman"/>
          <w:sz w:val="24"/>
          <w:szCs w:val="24"/>
        </w:rPr>
        <w:t xml:space="preserve"> (i.e., </w:t>
      </w:r>
      <w:r w:rsidR="00934283" w:rsidRPr="00F153F6">
        <w:rPr>
          <w:rFonts w:ascii="Times New Roman" w:eastAsiaTheme="minorEastAsia" w:hAnsi="Times New Roman" w:cs="Times New Roman"/>
          <w:sz w:val="24"/>
          <w:szCs w:val="24"/>
        </w:rPr>
        <w:t>market</w:t>
      </w:r>
      <w:r w:rsidR="007D4DCD" w:rsidRPr="00F153F6">
        <w:rPr>
          <w:rFonts w:ascii="Times New Roman" w:eastAsiaTheme="minorEastAsia" w:hAnsi="Times New Roman" w:cs="Times New Roman"/>
          <w:sz w:val="24"/>
          <w:szCs w:val="24"/>
        </w:rPr>
        <w:t>-</w:t>
      </w:r>
      <w:r w:rsidR="00934283" w:rsidRPr="00F153F6">
        <w:rPr>
          <w:rFonts w:ascii="Times New Roman" w:eastAsiaTheme="minorEastAsia" w:hAnsi="Times New Roman" w:cs="Times New Roman"/>
          <w:sz w:val="24"/>
          <w:szCs w:val="24"/>
        </w:rPr>
        <w:t>available ICT from wider environmental context</w:t>
      </w:r>
      <w:r w:rsidR="007D4DCD" w:rsidRPr="00F153F6">
        <w:rPr>
          <w:rFonts w:ascii="Times New Roman" w:eastAsiaTheme="minorEastAsia" w:hAnsi="Times New Roman" w:cs="Times New Roman"/>
          <w:sz w:val="24"/>
          <w:szCs w:val="24"/>
        </w:rPr>
        <w:t>s</w:t>
      </w:r>
      <w:r w:rsidR="009364EB" w:rsidRPr="00F153F6">
        <w:rPr>
          <w:rFonts w:ascii="Times New Roman" w:eastAsiaTheme="minorEastAsia" w:hAnsi="Times New Roman" w:cs="Times New Roman"/>
          <w:sz w:val="24"/>
          <w:szCs w:val="24"/>
        </w:rPr>
        <w:t>)</w:t>
      </w:r>
      <w:r w:rsidR="00934283" w:rsidRPr="00F153F6">
        <w:rPr>
          <w:rFonts w:ascii="Times New Roman" w:eastAsiaTheme="minorEastAsia" w:hAnsi="Times New Roman" w:cs="Times New Roman"/>
          <w:sz w:val="24"/>
          <w:szCs w:val="24"/>
        </w:rPr>
        <w:t xml:space="preserve"> can also affect stakeholders’ perception and use of ICT in their inter-organisational work.</w:t>
      </w:r>
      <w:r w:rsidR="00BC552E" w:rsidRPr="00F153F6">
        <w:rPr>
          <w:rFonts w:ascii="Times New Roman" w:eastAsiaTheme="minorEastAsia" w:hAnsi="Times New Roman" w:cs="Times New Roman"/>
          <w:sz w:val="24"/>
          <w:szCs w:val="24"/>
        </w:rPr>
        <w:t xml:space="preserve"> </w:t>
      </w:r>
      <w:r w:rsidR="00DE37CC" w:rsidRPr="00F153F6">
        <w:rPr>
          <w:rFonts w:ascii="Times New Roman" w:eastAsiaTheme="minorEastAsia" w:hAnsi="Times New Roman" w:cs="Times New Roman"/>
          <w:sz w:val="24"/>
          <w:szCs w:val="24"/>
        </w:rPr>
        <w:t>By demonstrating various intra-organisational and wider environmental contextual conditions that can also influence ICT-based IOKE practice, the present stud</w:t>
      </w:r>
      <w:r w:rsidR="001F2CAB" w:rsidRPr="00F153F6">
        <w:rPr>
          <w:rFonts w:ascii="Times New Roman" w:eastAsiaTheme="minorEastAsia" w:hAnsi="Times New Roman" w:cs="Times New Roman"/>
          <w:sz w:val="24"/>
          <w:szCs w:val="24"/>
        </w:rPr>
        <w:t>y suggests a more complex environment surrounding ICT-based knowledge work in inter-organisational setting</w:t>
      </w:r>
      <w:r w:rsidR="007D4DCD" w:rsidRPr="00F153F6">
        <w:rPr>
          <w:rFonts w:ascii="Times New Roman" w:eastAsiaTheme="minorEastAsia" w:hAnsi="Times New Roman" w:cs="Times New Roman"/>
          <w:sz w:val="24"/>
          <w:szCs w:val="24"/>
        </w:rPr>
        <w:t>s</w:t>
      </w:r>
      <w:r w:rsidR="001F2CAB" w:rsidRPr="00F153F6">
        <w:rPr>
          <w:rFonts w:ascii="Times New Roman" w:eastAsiaTheme="minorEastAsia" w:hAnsi="Times New Roman" w:cs="Times New Roman"/>
          <w:sz w:val="24"/>
          <w:szCs w:val="24"/>
        </w:rPr>
        <w:t>. Therefore, the present research informs future stud</w:t>
      </w:r>
      <w:r w:rsidR="00625C0E" w:rsidRPr="00F153F6">
        <w:rPr>
          <w:rFonts w:ascii="Times New Roman" w:eastAsiaTheme="minorEastAsia" w:hAnsi="Times New Roman" w:cs="Times New Roman"/>
          <w:sz w:val="24"/>
          <w:szCs w:val="24"/>
        </w:rPr>
        <w:t>ies</w:t>
      </w:r>
      <w:r w:rsidR="001F2CAB" w:rsidRPr="00F153F6">
        <w:rPr>
          <w:rFonts w:ascii="Times New Roman" w:eastAsiaTheme="minorEastAsia" w:hAnsi="Times New Roman" w:cs="Times New Roman"/>
          <w:sz w:val="24"/>
          <w:szCs w:val="24"/>
        </w:rPr>
        <w:t xml:space="preserve"> </w:t>
      </w:r>
      <w:r w:rsidR="00625C0E" w:rsidRPr="00F153F6">
        <w:rPr>
          <w:rFonts w:ascii="Times New Roman" w:eastAsiaTheme="minorEastAsia" w:hAnsi="Times New Roman" w:cs="Times New Roman"/>
          <w:sz w:val="24"/>
          <w:szCs w:val="24"/>
        </w:rPr>
        <w:t>that</w:t>
      </w:r>
      <w:r w:rsidR="001F2CAB" w:rsidRPr="00F153F6">
        <w:rPr>
          <w:rFonts w:ascii="Times New Roman" w:eastAsiaTheme="minorEastAsia" w:hAnsi="Times New Roman" w:cs="Times New Roman"/>
          <w:sz w:val="24"/>
          <w:szCs w:val="24"/>
        </w:rPr>
        <w:t xml:space="preserve"> look beyond the inter-organisational context as the primary focus in investigating inter-organisational </w:t>
      </w:r>
      <w:r w:rsidR="005C3C6F" w:rsidRPr="00F153F6">
        <w:rPr>
          <w:rFonts w:ascii="Times New Roman" w:eastAsiaTheme="minorEastAsia" w:hAnsi="Times New Roman" w:cs="Times New Roman"/>
          <w:sz w:val="24"/>
          <w:szCs w:val="24"/>
        </w:rPr>
        <w:t>collaborations and</w:t>
      </w:r>
      <w:r w:rsidR="001F2CAB" w:rsidRPr="00F153F6">
        <w:rPr>
          <w:rFonts w:ascii="Times New Roman" w:eastAsiaTheme="minorEastAsia" w:hAnsi="Times New Roman" w:cs="Times New Roman"/>
          <w:sz w:val="24"/>
          <w:szCs w:val="24"/>
        </w:rPr>
        <w:t xml:space="preserve"> </w:t>
      </w:r>
      <w:r w:rsidR="007D4DCD" w:rsidRPr="00F153F6">
        <w:rPr>
          <w:rFonts w:ascii="Times New Roman" w:eastAsiaTheme="minorEastAsia" w:hAnsi="Times New Roman" w:cs="Times New Roman"/>
          <w:sz w:val="24"/>
          <w:szCs w:val="24"/>
        </w:rPr>
        <w:t>explore</w:t>
      </w:r>
      <w:r w:rsidR="001F2CAB" w:rsidRPr="00F153F6">
        <w:rPr>
          <w:rFonts w:ascii="Times New Roman" w:eastAsiaTheme="minorEastAsia" w:hAnsi="Times New Roman" w:cs="Times New Roman"/>
          <w:sz w:val="24"/>
          <w:szCs w:val="24"/>
        </w:rPr>
        <w:t xml:space="preserve"> </w:t>
      </w:r>
      <w:r w:rsidR="005C3C6F" w:rsidRPr="00F153F6">
        <w:rPr>
          <w:rFonts w:ascii="Times New Roman" w:eastAsiaTheme="minorEastAsia" w:hAnsi="Times New Roman" w:cs="Times New Roman"/>
          <w:sz w:val="24"/>
          <w:szCs w:val="24"/>
        </w:rPr>
        <w:t>different</w:t>
      </w:r>
      <w:r w:rsidR="001F2CAB" w:rsidRPr="00F153F6">
        <w:rPr>
          <w:rFonts w:ascii="Times New Roman" w:eastAsiaTheme="minorEastAsia" w:hAnsi="Times New Roman" w:cs="Times New Roman"/>
          <w:sz w:val="24"/>
          <w:szCs w:val="24"/>
        </w:rPr>
        <w:t xml:space="preserve"> implications from </w:t>
      </w:r>
      <w:r w:rsidR="005C3C6F" w:rsidRPr="00F153F6">
        <w:rPr>
          <w:rFonts w:ascii="Times New Roman" w:eastAsiaTheme="minorEastAsia" w:hAnsi="Times New Roman" w:cs="Times New Roman"/>
          <w:sz w:val="24"/>
          <w:szCs w:val="24"/>
        </w:rPr>
        <w:t>multiple</w:t>
      </w:r>
      <w:r w:rsidR="001F2CAB" w:rsidRPr="00F153F6">
        <w:rPr>
          <w:rFonts w:ascii="Times New Roman" w:eastAsiaTheme="minorEastAsia" w:hAnsi="Times New Roman" w:cs="Times New Roman"/>
          <w:sz w:val="24"/>
          <w:szCs w:val="24"/>
        </w:rPr>
        <w:t xml:space="preserve"> layers of context </w:t>
      </w:r>
      <w:r w:rsidR="005C3C6F" w:rsidRPr="00F153F6">
        <w:rPr>
          <w:rFonts w:ascii="Times New Roman" w:eastAsiaTheme="minorEastAsia" w:hAnsi="Times New Roman" w:cs="Times New Roman"/>
          <w:sz w:val="24"/>
          <w:szCs w:val="24"/>
        </w:rPr>
        <w:t>on</w:t>
      </w:r>
      <w:r w:rsidR="001F2CAB" w:rsidRPr="00F153F6">
        <w:rPr>
          <w:rFonts w:ascii="Times New Roman" w:eastAsiaTheme="minorEastAsia" w:hAnsi="Times New Roman" w:cs="Times New Roman"/>
          <w:sz w:val="24"/>
          <w:szCs w:val="24"/>
        </w:rPr>
        <w:t xml:space="preserve"> ICT-based inter-organisational knowledge work.  </w:t>
      </w:r>
      <w:r w:rsidR="00CC5D09" w:rsidRPr="00F153F6">
        <w:rPr>
          <w:rFonts w:ascii="Times New Roman" w:eastAsiaTheme="minorEastAsia" w:hAnsi="Times New Roman" w:cs="Times New Roman"/>
          <w:sz w:val="24"/>
          <w:szCs w:val="24"/>
        </w:rPr>
        <w:t xml:space="preserve"> </w:t>
      </w:r>
      <w:r w:rsidR="00BC552E" w:rsidRPr="00F153F6">
        <w:rPr>
          <w:rFonts w:ascii="Times New Roman" w:eastAsiaTheme="minorEastAsia" w:hAnsi="Times New Roman" w:cs="Times New Roman"/>
          <w:sz w:val="24"/>
          <w:szCs w:val="24"/>
        </w:rPr>
        <w:t xml:space="preserve"> </w:t>
      </w:r>
    </w:p>
    <w:p w14:paraId="217A48FA" w14:textId="3B1FD044" w:rsidR="00130E43" w:rsidRPr="00F153F6" w:rsidRDefault="002B457C" w:rsidP="002B457C">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 xml:space="preserve">Albeit this study has put these contextual layers </w:t>
      </w:r>
      <w:r w:rsidR="007D4DCD" w:rsidRPr="00F153F6">
        <w:rPr>
          <w:rFonts w:ascii="Times New Roman" w:eastAsiaTheme="minorEastAsia" w:hAnsi="Times New Roman" w:cs="Times New Roman"/>
          <w:sz w:val="24"/>
          <w:szCs w:val="24"/>
        </w:rPr>
        <w:t xml:space="preserve">in </w:t>
      </w:r>
      <w:r w:rsidRPr="00F153F6">
        <w:rPr>
          <w:rFonts w:ascii="Times New Roman" w:eastAsiaTheme="minorEastAsia" w:hAnsi="Times New Roman" w:cs="Times New Roman"/>
          <w:sz w:val="24"/>
          <w:szCs w:val="24"/>
        </w:rPr>
        <w:t xml:space="preserve">the background </w:t>
      </w:r>
      <w:r w:rsidR="007D4DCD" w:rsidRPr="00F153F6">
        <w:rPr>
          <w:rFonts w:ascii="Times New Roman" w:eastAsiaTheme="minorEastAsia" w:hAnsi="Times New Roman" w:cs="Times New Roman"/>
          <w:sz w:val="24"/>
          <w:szCs w:val="24"/>
        </w:rPr>
        <w:t xml:space="preserve">of </w:t>
      </w:r>
      <w:r w:rsidRPr="00F153F6">
        <w:rPr>
          <w:rFonts w:ascii="Times New Roman" w:eastAsiaTheme="minorEastAsia" w:hAnsi="Times New Roman" w:cs="Times New Roman"/>
          <w:sz w:val="24"/>
          <w:szCs w:val="24"/>
        </w:rPr>
        <w:t xml:space="preserve">the present framework, contextual conditions such as project team structure, powers, rules, routines, roles, culture, and climate are all considered as open-ended, recurrently shaped, and time-bounded characteristics of human interactions, and they are both the medium and outcome of ICT-based IOKE practice. The rationale that has led them </w:t>
      </w:r>
      <w:r w:rsidR="00625C0E" w:rsidRPr="00F153F6">
        <w:rPr>
          <w:rFonts w:ascii="Times New Roman" w:eastAsiaTheme="minorEastAsia" w:hAnsi="Times New Roman" w:cs="Times New Roman"/>
          <w:sz w:val="24"/>
          <w:szCs w:val="24"/>
        </w:rPr>
        <w:t xml:space="preserve">to </w:t>
      </w:r>
      <w:r w:rsidRPr="00F153F6">
        <w:rPr>
          <w:rFonts w:ascii="Times New Roman" w:eastAsiaTheme="minorEastAsia" w:hAnsi="Times New Roman" w:cs="Times New Roman"/>
          <w:sz w:val="24"/>
          <w:szCs w:val="24"/>
        </w:rPr>
        <w:t>becom</w:t>
      </w:r>
      <w:r w:rsidR="00625C0E" w:rsidRPr="00F153F6">
        <w:rPr>
          <w:rFonts w:ascii="Times New Roman" w:eastAsiaTheme="minorEastAsia" w:hAnsi="Times New Roman" w:cs="Times New Roman"/>
          <w:sz w:val="24"/>
          <w:szCs w:val="24"/>
        </w:rPr>
        <w:t>e</w:t>
      </w:r>
      <w:r w:rsidRPr="00F153F6">
        <w:rPr>
          <w:rFonts w:ascii="Times New Roman" w:eastAsiaTheme="minorEastAsia" w:hAnsi="Times New Roman" w:cs="Times New Roman"/>
          <w:sz w:val="24"/>
          <w:szCs w:val="24"/>
        </w:rPr>
        <w:t xml:space="preserve"> the background of the present framework is that the focus of this study is to uncover the role of ICT in ICT-based IOKE practice rather than to demonstrate in detail how these conditions are determined in practice. However, these contextual conditions together with knowledgeabilities and ICT co-shape the ICT-based IOKE practice – the ICT-based IOKE practice is context-shaped and context-dependent. This bears a resemblance with practice-based theories that understand context as emergent and recurrently renewed accomplishments of the practice </w:t>
      </w:r>
      <w:r w:rsidRPr="00F153F6">
        <w:rPr>
          <w:rFonts w:ascii="Times New Roman" w:eastAsiaTheme="minorEastAsia" w:hAnsi="Times New Roman" w:cs="Times New Roman"/>
          <w:sz w:val="24"/>
          <w:szCs w:val="24"/>
        </w:rPr>
        <w:fldChar w:fldCharType="begin"/>
      </w:r>
      <w:r w:rsidRPr="00F153F6">
        <w:rPr>
          <w:rFonts w:ascii="Times New Roman" w:eastAsiaTheme="minorEastAsia" w:hAnsi="Times New Roman" w:cs="Times New Roman"/>
          <w:sz w:val="24"/>
          <w:szCs w:val="24"/>
        </w:rPr>
        <w:instrText xml:space="preserve"> ADDIN ZOTERO_ITEM CSL_CITATION {"citationID":"m8BJeehw","properties":{"formattedCitation":"(Engestr\\uc0\\u246{}m et al., 1999; Lave &amp; Wenger, 1991; Nicolini, 2013b; Schatzki et al., 2005)","plainCitation":"(Engeström et al., 1999; Lave &amp; Wenger, 1991; Nicolini, 2013b; Schatzki et al., 2005)","noteIndex":0},"citationItems":[{"id":10236,"uris":["http://zotero.org/users/5709166/items/NRQACZDZ"],"itemData":{"id":10236,"type":"book","abstract":"Activity theory is an interdisciplinary approach to human sciences that originates in the cultural-historical psychology school of thought, intitiated by Vygotsky, Leont'ev and Luria. Activity theory takes the object-oriented, artifact-mediated collective activity system as its unit of analysis, thus bridging the gulf between the individual subject and the societal structure. This volume is the first comprehensive presentation of contemporary work in activity theory, with twenty-six original chapters by authors from ten countries. The first part of the book discusses central theoretical issues, and the second part is devoted to the acquisition and development of language. Part Three contains chapters on play, learning, and education, and Part Four addresses the meaning of new technology and the development of work activities. The final section covers issues of therapy and addiction.","ISBN":"978-0-521-43730-1","language":"en","note":"Google-Books-ID: GCVCZy2xHD4C","number-of-pages":"484","publisher":"Cambridge University Press","source":"Google Books","title":"Perspectives on Activity Theory","author":[{"family":"Engeström","given":"Yrjö"},{"family":"Miettinen","given":"Reijo"},{"family":"Punamäki","given":"Raija-Leena"}],"issued":{"date-parts":[["1999",1,13]]}}},{"id":10244,"uris":["http://zotero.org/users/5709166/items/GTDHE27S"],"itemData":{"id":10244,"type":"book","abstract":"In this important theoretical treatise, Jean Lave, anthropologist, and Etienne Wenger, computer scientist, push forward the notion of situated learning--that learning is fundamentally a social process and not solely in the learner's head. The authors maintain that learning viewed as situated activity has as its central defining characteristic a process they call legitimate peripheral participation. Learners participate in communities of practitioners, moving toward full participation in the sociocultural practices of a community. Legitimate peripheral participation provides a way to speak about crucial relations between newcomers and oldtimers and about their activities, identities, artifacts, knowledge and practice. The communities discussed in the book are midwives, tailors, quartermasters, butchers, and recovering alcoholics, however, the process by which participants in those communities learn can be generalized to other social groups.","ISBN":"978-0-521-42374-8","language":"en","note":"Google-Books-ID: CAVIOrW3vYAC","number-of-pages":"144","publisher":"Cambridge University Press","source":"Google Books","title":"Situated Learning: Legitimate Peripheral Participation","title-short":"Situated Learning","author":[{"family":"Lave","given":"Jean"},{"family":"Wenger","given":"Etienne"}],"issued":{"date-parts":[["1991",9,27]]}}},{"id":10202,"uris":["http://zotero.org/users/5709166/items/EQJ7XLEP"],"itemData":{"id":10202,"type":"book","abstract":"\"What is practice theory? Where do practice theories come from? What do they say? Do they really offer something new to the study of work and organization? In setting out to answer these questions, this book provides a rigorous yet accessible introduction to contemporary theories of practice, discussing their distinctive contribution to work and organization studies. Practice theories are a set of conceptual tools and methodologies for investigating, analysing, and representing everyday practice through written text, language, images, and behaviour. Drawing on a variety of theoretical traditions, they have explored the idea that phenomena such as knowledge, meaning, science, power, organized activity, sociality, and institutions are rooted in practice. The book first examines the origins of the idea of practice. Recognizing that a unified theory of practice does not exist, the central chapters of the book then discuss the theory and concepts of the main scholarly traditions that have, collectively, contributed to the 'practice turn' in social and organization studies. Each of the central chapters concludes with a fully worked example of the theory in application. Practice theories have become of increasing interest for management and organizational scholars in recent years, and this book is an advanced introduction to the complexities of the area for academics, researchers, and graduate students in organization studies, management, and across the social sciences.\"--Publisher's website","call-number":"HD30.4 N536 2013","edition":"First Edition","event-place":"Oxford","ISBN":"978-0-19-923160-7","language":"en","note":"OCLC: ocn828774985","number-of-pages":"272","publisher":"Oxford University Press","publisher-place":"Oxford","source":"Library of Congress ISBN","title":"Practice Theory, Work, and Organization: An Introduction","title-short":"Practice Theory, Work, and Organization","author":[{"family":"Nicolini","given":"Davide"}],"issued":{"date-parts":[["2013"]]}}},{"id":10239,"uris":["http://zotero.org/users/5709166/items/LX8558F8"],"itemData":{"id":10239,"type":"book","abstract":"This book provides an exciting and diverse philosophical exploration of the role of practice and practices in human activity. It contains original essays and critiques of this philosophical and sociological attempt to move beyond current problematic ways of thinking in the humanities and social sciences. It will be useful across many disciplines, including philosophy, sociology, science, cultural theory, history and anthropology","event-place":"Florence","ISBN":"978-0-203-97745-3","language":"en","note":"OCLC: 1048459840","publisher":"Taylor and Francis","publisher-place":"Florence","source":"Open WorldCat","title":"The Practice Turn in Contemporary Theory","author":[{"family":"Schatzki","given":"Theodore R."},{"family":"Knorr Cetina","given":"Karin"},{"family":"Savigny","given":"Eike","dropping-particle":"von"},{"family":"Knorr-Cetina","given":"K."}],"issued":{"date-parts":[["2005"]]}}}],"schema":"https://github.com/citation-style-language/schema/raw/master/csl-citation.json"} </w:instrText>
      </w:r>
      <w:r w:rsidRPr="00F153F6">
        <w:rPr>
          <w:rFonts w:ascii="Times New Roman" w:eastAsiaTheme="minorEastAsia" w:hAnsi="Times New Roman" w:cs="Times New Roman"/>
          <w:sz w:val="24"/>
          <w:szCs w:val="24"/>
        </w:rPr>
        <w:fldChar w:fldCharType="separate"/>
      </w:r>
      <w:r w:rsidRPr="00F153F6">
        <w:rPr>
          <w:rFonts w:ascii="Times New Roman" w:hAnsi="Times New Roman" w:cs="Times New Roman"/>
          <w:sz w:val="24"/>
          <w:szCs w:val="28"/>
        </w:rPr>
        <w:t>(Engeström et al., 1999; Lave &amp; Wenger, 1991; Nicolini, 2013; Schatzki et al., 2005)</w:t>
      </w:r>
      <w:r w:rsidRPr="00F153F6">
        <w:rPr>
          <w:rFonts w:ascii="Times New Roman" w:eastAsiaTheme="minorEastAsia" w:hAnsi="Times New Roman" w:cs="Times New Roman"/>
          <w:sz w:val="24"/>
          <w:szCs w:val="24"/>
        </w:rPr>
        <w:fldChar w:fldCharType="end"/>
      </w:r>
      <w:r w:rsidRPr="00F153F6">
        <w:rPr>
          <w:rFonts w:ascii="Times New Roman" w:eastAsiaTheme="minorEastAsia" w:hAnsi="Times New Roman" w:cs="Times New Roman"/>
          <w:sz w:val="24"/>
          <w:szCs w:val="24"/>
        </w:rPr>
        <w:t xml:space="preserve">. </w:t>
      </w:r>
    </w:p>
    <w:p w14:paraId="4B085E05" w14:textId="4BE76D89" w:rsidR="002B457C" w:rsidRPr="00F153F6" w:rsidRDefault="005C3C6F" w:rsidP="002B457C">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Drawing on this view, extant literature has shown various contextual factors that are influencing the ICT-based IOKE practice</w:t>
      </w:r>
      <w:r w:rsidR="002B457C" w:rsidRPr="00F153F6">
        <w:rPr>
          <w:rFonts w:ascii="Times New Roman" w:eastAsiaTheme="minorEastAsia" w:hAnsi="Times New Roman" w:cs="Times New Roman"/>
          <w:sz w:val="24"/>
          <w:szCs w:val="24"/>
        </w:rPr>
        <w:t xml:space="preserve">. For example, Mueller </w:t>
      </w:r>
      <w:r w:rsidR="002B457C" w:rsidRPr="00F153F6">
        <w:rPr>
          <w:rFonts w:ascii="Times New Roman" w:eastAsiaTheme="minorEastAsia" w:hAnsi="Times New Roman" w:cs="Times New Roman"/>
          <w:sz w:val="24"/>
          <w:szCs w:val="24"/>
        </w:rPr>
        <w:fldChar w:fldCharType="begin"/>
      </w:r>
      <w:r w:rsidR="002B457C" w:rsidRPr="00F153F6">
        <w:rPr>
          <w:rFonts w:ascii="Times New Roman" w:eastAsiaTheme="minorEastAsia" w:hAnsi="Times New Roman" w:cs="Times New Roman"/>
          <w:sz w:val="24"/>
          <w:szCs w:val="24"/>
        </w:rPr>
        <w:instrText xml:space="preserve"> ADDIN ZOTERO_ITEM CSL_CITATION {"citationID":"OlGE4ika","properties":{"formattedCitation":"(2015)","plainCitation":"(2015)","noteIndex":0},"citationItems":[{"id":10246,"uris":["http://zotero.org/users/5709166/items/26PSNSPR"],"itemData":{"id":10246,"type":"article-journal","abstract":"This article investigates the process of knowledge sharing between project teams and uses a case study approach. This is especially relevant, as organizations face both the needs for separating work into projects and integrating knowledge created in projects into the organization. The results provided by the analysis technique of GABEK® indicate that, although projects create boundaries, employees and project team leaders use formal mechanisms and develop informal practices for knowledge sharing between project teams. Furthermore, the article identifies organizational cultural characteristics enacted in these practices that can stimulate the discussion in “knowledge culture research” regarding the relationship of organizational cultural characteristics and (specific) knowledge processes.","container-title":"Project Management Journal","DOI":"10.1002/pmj.21471","ISSN":"1938-9507","issue":"1","language":"en","note":"_eprint: https://onlinelibrary.wiley.com/doi/pdf/10.1002/pmj.21471","page":"53-68","source":"Wiley Online Library","title":"Formal and Informal Practices of Knowledge Sharing Between Project Teams and Enacted Cultural Characteristics","volume":"46","author":[{"family":"Mueller","given":"Julia"}],"issued":{"date-parts":[["2015"]]}},"label":"page","suppress-author":true}],"schema":"https://github.com/citation-style-language/schema/raw/master/csl-citation.json"} </w:instrText>
      </w:r>
      <w:r w:rsidR="002B457C" w:rsidRPr="00F153F6">
        <w:rPr>
          <w:rFonts w:ascii="Times New Roman" w:eastAsiaTheme="minorEastAsia" w:hAnsi="Times New Roman" w:cs="Times New Roman"/>
          <w:sz w:val="24"/>
          <w:szCs w:val="24"/>
        </w:rPr>
        <w:fldChar w:fldCharType="separate"/>
      </w:r>
      <w:r w:rsidR="002B457C" w:rsidRPr="00F153F6">
        <w:rPr>
          <w:rFonts w:ascii="Times New Roman" w:eastAsiaTheme="minorEastAsia" w:hAnsi="Times New Roman" w:cs="Times New Roman"/>
          <w:sz w:val="24"/>
          <w:szCs w:val="24"/>
        </w:rPr>
        <w:t>(2015)</w:t>
      </w:r>
      <w:r w:rsidR="002B457C" w:rsidRPr="00F153F6">
        <w:rPr>
          <w:rFonts w:ascii="Times New Roman" w:eastAsiaTheme="minorEastAsia" w:hAnsi="Times New Roman" w:cs="Times New Roman"/>
          <w:sz w:val="24"/>
          <w:szCs w:val="24"/>
        </w:rPr>
        <w:fldChar w:fldCharType="end"/>
      </w:r>
      <w:r w:rsidR="002B457C" w:rsidRPr="00F153F6">
        <w:rPr>
          <w:rFonts w:ascii="Times New Roman" w:eastAsiaTheme="minorEastAsia" w:hAnsi="Times New Roman" w:cs="Times New Roman"/>
          <w:sz w:val="24"/>
          <w:szCs w:val="24"/>
        </w:rPr>
        <w:t xml:space="preserve"> argues that organisational culture is an accomplishment of social practices and explores five different cultural characteristics that are enacted in cross-boundary knowledge sharing practices. Organisational routines have been studied </w:t>
      </w:r>
      <w:r w:rsidR="00680B06" w:rsidRPr="00F153F6">
        <w:rPr>
          <w:rFonts w:ascii="Times New Roman" w:eastAsiaTheme="minorEastAsia" w:hAnsi="Times New Roman" w:cs="Times New Roman"/>
          <w:sz w:val="24"/>
          <w:szCs w:val="24"/>
        </w:rPr>
        <w:t>not simply</w:t>
      </w:r>
      <w:r w:rsidR="002B457C" w:rsidRPr="00F153F6">
        <w:rPr>
          <w:rFonts w:ascii="Times New Roman" w:eastAsiaTheme="minorEastAsia" w:hAnsi="Times New Roman" w:cs="Times New Roman"/>
          <w:sz w:val="24"/>
          <w:szCs w:val="24"/>
        </w:rPr>
        <w:t xml:space="preserve"> as things </w:t>
      </w:r>
      <w:r w:rsidR="002B457C" w:rsidRPr="00F153F6">
        <w:rPr>
          <w:rFonts w:ascii="Times New Roman" w:eastAsiaTheme="minorEastAsia" w:hAnsi="Times New Roman" w:cs="Times New Roman"/>
          <w:sz w:val="24"/>
          <w:szCs w:val="24"/>
        </w:rPr>
        <w:fldChar w:fldCharType="begin"/>
      </w:r>
      <w:r w:rsidR="002B457C" w:rsidRPr="00F153F6">
        <w:rPr>
          <w:rFonts w:ascii="Times New Roman" w:eastAsiaTheme="minorEastAsia" w:hAnsi="Times New Roman" w:cs="Times New Roman"/>
          <w:sz w:val="24"/>
          <w:szCs w:val="24"/>
        </w:rPr>
        <w:instrText xml:space="preserve"> ADDIN ZOTERO_ITEM CSL_CITATION {"citationID":"WUfl72xO","properties":{"formattedCitation":"(Feldman et al., 2016)","plainCitation":"(Feldman et al., 2016)","noteIndex":0},"citationItems":[{"id":10249,"uris":["http://zotero.org/users/5709166/items/7ASMAV9F"],"itemData":{"id":10249,"type":"article-journal","container-title":"Organization Science","DOI":"10.1287/orsc.2016.1070","ISSN":"1047-7039","issue":"3","note":"publisher: INFORMS","page":"505-513","source":"pubsonline.informs.org (Atypon)","title":"Beyond Routines as Things: Introduction to the Special Issue on Routine Dynamics","title-short":"Beyond Routines as Things","volume":"27","author":[{"family":"Feldman","given":"Martha S."},{"family":"Pentland","given":"Brian T."},{"family":"D’Adderio","given":"Luciana"},{"family":"Lazaric","given":"Nathalie"}],"issued":{"date-parts":[["2016",6]]}}}],"schema":"https://github.com/citation-style-language/schema/raw/master/csl-citation.json"} </w:instrText>
      </w:r>
      <w:r w:rsidR="002B457C" w:rsidRPr="00F153F6">
        <w:rPr>
          <w:rFonts w:ascii="Times New Roman" w:eastAsiaTheme="minorEastAsia" w:hAnsi="Times New Roman" w:cs="Times New Roman"/>
          <w:sz w:val="24"/>
          <w:szCs w:val="24"/>
        </w:rPr>
        <w:fldChar w:fldCharType="separate"/>
      </w:r>
      <w:r w:rsidR="002B457C" w:rsidRPr="00F153F6">
        <w:rPr>
          <w:rFonts w:ascii="Times New Roman" w:eastAsiaTheme="minorEastAsia" w:hAnsi="Times New Roman" w:cs="Times New Roman"/>
          <w:sz w:val="24"/>
          <w:szCs w:val="24"/>
        </w:rPr>
        <w:t>(Feldman et al., 2016)</w:t>
      </w:r>
      <w:r w:rsidR="002B457C" w:rsidRPr="00F153F6">
        <w:rPr>
          <w:rFonts w:ascii="Times New Roman" w:eastAsiaTheme="minorEastAsia" w:hAnsi="Times New Roman" w:cs="Times New Roman"/>
          <w:sz w:val="24"/>
          <w:szCs w:val="24"/>
        </w:rPr>
        <w:fldChar w:fldCharType="end"/>
      </w:r>
      <w:r w:rsidR="002B457C" w:rsidRPr="00F153F6">
        <w:rPr>
          <w:rFonts w:ascii="Times New Roman" w:eastAsiaTheme="minorEastAsia" w:hAnsi="Times New Roman" w:cs="Times New Roman"/>
          <w:sz w:val="24"/>
          <w:szCs w:val="24"/>
        </w:rPr>
        <w:t xml:space="preserve"> but rather a dynamic accomplishment enacted in the practice </w:t>
      </w:r>
      <w:r w:rsidR="002B457C" w:rsidRPr="00F153F6">
        <w:rPr>
          <w:rFonts w:ascii="Times New Roman" w:eastAsiaTheme="minorEastAsia" w:hAnsi="Times New Roman" w:cs="Times New Roman"/>
          <w:sz w:val="24"/>
          <w:szCs w:val="24"/>
        </w:rPr>
        <w:fldChar w:fldCharType="begin"/>
      </w:r>
      <w:r w:rsidR="002B457C" w:rsidRPr="00F153F6">
        <w:rPr>
          <w:rFonts w:ascii="Times New Roman" w:eastAsiaTheme="minorEastAsia" w:hAnsi="Times New Roman" w:cs="Times New Roman"/>
          <w:sz w:val="24"/>
          <w:szCs w:val="24"/>
        </w:rPr>
        <w:instrText xml:space="preserve"> ADDIN ZOTERO_ITEM CSL_CITATION {"citationID":"akPYJUrR","properties":{"formattedCitation":"(Bertels et al., 2016; Cohendet &amp; Simon, 2016)","plainCitation":"(Bertels et al., 2016; Cohendet &amp; Simon, 2016)","noteIndex":0},"citationItems":[{"id":10254,"uris":["http://zotero.org/users/5709166/items/GTWHWS7Q"],"itemData":{"id":10254,"type":"article-journal","abstract":"We explore how organizational culture shapes an organization’s integration and enactment of an external routine that is not a cultural fit. Attending to employees’ use of culture as a repertoire of strategies of action, we found that the use of familiar cultural strategies of action shaped the routine’s artifacts and expectations even before it was performed, a process we call cultural molding. Subsequently, employees drew differently on cultural strategies of action as they performed the routine, generating patterns of workarounds or hindered performances. In response to these patterns, they undertook additional cultural work to either shield their workarounds and protect them from scrutiny or shore up hindered performances. We contribute to the routine dynamics literature by highlighting the effortful cultural work involved in integrating coveted routines, furthering our understanding of routines as truces and the embeddedness of routines.","container-title":"Organization Science","DOI":"10.1287/orsc.2016.1052","ISSN":"1047-7039, 1526-5455","issue":"3","journalAbbreviation":"Organization Science","language":"en","page":"573-593","source":"DOI.org (Crossref)","title":"Cultural Molding, Shielding, and Shoring at Oilco: The Role of Culture in the Integration of Routines","title-short":"Cultural Molding, Shielding, and Shoring at Oilco","volume":"27","author":[{"family":"Bertels","given":"Stephanie"},{"family":"Howard-Grenville","given":"Jennifer"},{"family":"Pek","given":"Simon"}],"issued":{"date-parts":[["2016",6]]}}},{"id":10252,"uris":["http://zotero.org/users/5709166/items/HM38HWLJ"],"itemData":{"id":10252,"type":"article-journal","abstract":"This study examines how an organization can redefine its core process when faced with a major crisis of creative efficiency. We analyze the case of the experimentation of the “Always Playable” project at Ubisoft Montreal, a leading video game development studio, where a crisis of creativity triggered an active reconfiguration of routines and their artifacts. To address this crisis, the organization attempted to restore a balance between efficiency and flexibility by modifying the generative relationship among the ostensive aspect, the performative aspect, and artifacts of routines. Our study shows that one way to reach this balance is by deliberately breaking, partitioning, and recombining aspects from different routines.","container-title":"Organization Science","DOI":"10.1287/orsc.2016.1062","ISSN":"1047-7039, 1526-5455","issue":"3","journalAbbreviation":"Organization Science","language":"en","page":"614-632","source":"DOI.org (Crossref)","title":"Always Playable: Recombining Routines for Creative Efficiency at Ubisoft Montreal’s Video Game Studio","title-short":"Always Playable","volume":"27","author":[{"family":"Cohendet","given":"Patrick S."},{"family":"Simon","given":"Laurent O."}],"issued":{"date-parts":[["2016",6]]}}}],"schema":"https://github.com/citation-style-language/schema/raw/master/csl-citation.json"} </w:instrText>
      </w:r>
      <w:r w:rsidR="002B457C" w:rsidRPr="00F153F6">
        <w:rPr>
          <w:rFonts w:ascii="Times New Roman" w:eastAsiaTheme="minorEastAsia" w:hAnsi="Times New Roman" w:cs="Times New Roman"/>
          <w:sz w:val="24"/>
          <w:szCs w:val="24"/>
        </w:rPr>
        <w:fldChar w:fldCharType="separate"/>
      </w:r>
      <w:r w:rsidR="002B457C" w:rsidRPr="00F153F6">
        <w:rPr>
          <w:rFonts w:ascii="Times New Roman" w:eastAsiaTheme="minorEastAsia" w:hAnsi="Times New Roman" w:cs="Times New Roman"/>
          <w:sz w:val="24"/>
          <w:szCs w:val="24"/>
        </w:rPr>
        <w:t>(Bertels et al., 2016; Cohendet &amp; Simon, 2016)</w:t>
      </w:r>
      <w:r w:rsidR="002B457C" w:rsidRPr="00F153F6">
        <w:rPr>
          <w:rFonts w:ascii="Times New Roman" w:eastAsiaTheme="minorEastAsia" w:hAnsi="Times New Roman" w:cs="Times New Roman"/>
          <w:sz w:val="24"/>
          <w:szCs w:val="24"/>
        </w:rPr>
        <w:fldChar w:fldCharType="end"/>
      </w:r>
      <w:r w:rsidR="002B457C" w:rsidRPr="00F153F6">
        <w:rPr>
          <w:rFonts w:ascii="Times New Roman" w:eastAsiaTheme="minorEastAsia" w:hAnsi="Times New Roman" w:cs="Times New Roman"/>
          <w:sz w:val="24"/>
          <w:szCs w:val="24"/>
        </w:rPr>
        <w:t xml:space="preserve">. However, these studies have not yet depicted how these contextual conditions may vary </w:t>
      </w:r>
      <w:r w:rsidR="00864AE8" w:rsidRPr="00F153F6">
        <w:rPr>
          <w:rFonts w:ascii="Times New Roman" w:eastAsiaTheme="minorEastAsia" w:hAnsi="Times New Roman" w:cs="Times New Roman"/>
          <w:sz w:val="24"/>
          <w:szCs w:val="24"/>
        </w:rPr>
        <w:t>and</w:t>
      </w:r>
      <w:r w:rsidR="002B457C" w:rsidRPr="00F153F6">
        <w:rPr>
          <w:rFonts w:ascii="Times New Roman" w:eastAsiaTheme="minorEastAsia" w:hAnsi="Times New Roman" w:cs="Times New Roman"/>
          <w:sz w:val="24"/>
          <w:szCs w:val="24"/>
        </w:rPr>
        <w:t xml:space="preserve"> evolve</w:t>
      </w:r>
      <w:r w:rsidR="00864AE8" w:rsidRPr="00F153F6">
        <w:rPr>
          <w:rFonts w:ascii="Times New Roman" w:eastAsiaTheme="minorEastAsia" w:hAnsi="Times New Roman" w:cs="Times New Roman"/>
          <w:sz w:val="24"/>
          <w:szCs w:val="24"/>
        </w:rPr>
        <w:t xml:space="preserve"> over time and</w:t>
      </w:r>
      <w:r w:rsidR="002B457C" w:rsidRPr="00F153F6">
        <w:rPr>
          <w:rFonts w:ascii="Times New Roman" w:eastAsiaTheme="minorEastAsia" w:hAnsi="Times New Roman" w:cs="Times New Roman"/>
          <w:sz w:val="24"/>
          <w:szCs w:val="24"/>
        </w:rPr>
        <w:t xml:space="preserve"> across different progress lifecycle stages</w:t>
      </w:r>
      <w:r w:rsidR="00864AE8" w:rsidRPr="00F153F6">
        <w:rPr>
          <w:rFonts w:ascii="Times New Roman" w:eastAsiaTheme="minorEastAsia" w:hAnsi="Times New Roman" w:cs="Times New Roman"/>
          <w:sz w:val="24"/>
          <w:szCs w:val="24"/>
        </w:rPr>
        <w:t xml:space="preserve"> in inter-organisational collaboration</w:t>
      </w:r>
      <w:r w:rsidR="002B457C" w:rsidRPr="00F153F6">
        <w:rPr>
          <w:rFonts w:ascii="Times New Roman" w:eastAsiaTheme="minorEastAsia" w:hAnsi="Times New Roman" w:cs="Times New Roman"/>
          <w:sz w:val="24"/>
          <w:szCs w:val="24"/>
        </w:rPr>
        <w:t xml:space="preserve">. The present findings thus contribute to these studies by exploring what contextual conditions emerge at the wider environmental and inter and intra-organisational </w:t>
      </w:r>
      <w:r w:rsidR="002B457C" w:rsidRPr="00F153F6">
        <w:rPr>
          <w:rFonts w:ascii="Times New Roman" w:eastAsiaTheme="minorEastAsia" w:hAnsi="Times New Roman" w:cs="Times New Roman"/>
          <w:sz w:val="24"/>
          <w:szCs w:val="24"/>
        </w:rPr>
        <w:lastRenderedPageBreak/>
        <w:t xml:space="preserve">levels for each specific project stage, and </w:t>
      </w:r>
      <w:r w:rsidR="00680B06" w:rsidRPr="00F153F6">
        <w:rPr>
          <w:rFonts w:ascii="Times New Roman" w:eastAsiaTheme="minorEastAsia" w:hAnsi="Times New Roman" w:cs="Times New Roman"/>
          <w:sz w:val="24"/>
          <w:szCs w:val="24"/>
        </w:rPr>
        <w:t>that</w:t>
      </w:r>
      <w:r w:rsidR="002B457C" w:rsidRPr="00F153F6">
        <w:rPr>
          <w:rFonts w:ascii="Times New Roman" w:eastAsiaTheme="minorEastAsia" w:hAnsi="Times New Roman" w:cs="Times New Roman"/>
          <w:sz w:val="24"/>
          <w:szCs w:val="24"/>
        </w:rPr>
        <w:t xml:space="preserve"> they change across stages. </w:t>
      </w:r>
      <w:r w:rsidR="005A19B2" w:rsidRPr="00F153F6">
        <w:rPr>
          <w:rFonts w:ascii="Times New Roman" w:eastAsiaTheme="minorEastAsia" w:hAnsi="Times New Roman" w:cs="Times New Roman"/>
          <w:sz w:val="24"/>
          <w:szCs w:val="24"/>
        </w:rPr>
        <w:t xml:space="preserve">For example, at inception stage, the context is rather chaotic and fuzzy while the focus is to </w:t>
      </w:r>
      <w:r w:rsidR="003F1AE3" w:rsidRPr="00F153F6">
        <w:rPr>
          <w:rFonts w:ascii="Times New Roman" w:eastAsiaTheme="minorEastAsia" w:hAnsi="Times New Roman" w:cs="Times New Roman"/>
          <w:sz w:val="24"/>
          <w:szCs w:val="24"/>
        </w:rPr>
        <w:t>familiarise</w:t>
      </w:r>
      <w:r w:rsidR="005A19B2" w:rsidRPr="00F153F6">
        <w:rPr>
          <w:rFonts w:ascii="Times New Roman" w:eastAsiaTheme="minorEastAsia" w:hAnsi="Times New Roman" w:cs="Times New Roman"/>
          <w:sz w:val="24"/>
          <w:szCs w:val="24"/>
        </w:rPr>
        <w:t xml:space="preserve"> actors </w:t>
      </w:r>
      <w:r w:rsidR="003F1AE3" w:rsidRPr="00F153F6">
        <w:rPr>
          <w:rFonts w:ascii="Times New Roman" w:eastAsiaTheme="minorEastAsia" w:hAnsi="Times New Roman" w:cs="Times New Roman"/>
          <w:sz w:val="24"/>
          <w:szCs w:val="24"/>
        </w:rPr>
        <w:t>to the</w:t>
      </w:r>
      <w:r w:rsidR="005A19B2" w:rsidRPr="00F153F6">
        <w:rPr>
          <w:rFonts w:ascii="Times New Roman" w:eastAsiaTheme="minorEastAsia" w:hAnsi="Times New Roman" w:cs="Times New Roman"/>
          <w:sz w:val="24"/>
          <w:szCs w:val="24"/>
        </w:rPr>
        <w:t xml:space="preserve"> project; at middle stage, the context tends to be mature and thus more intensive, surrounded by an inclusive and reciprocal </w:t>
      </w:r>
      <w:r w:rsidR="00625C0E" w:rsidRPr="00F153F6">
        <w:rPr>
          <w:rFonts w:ascii="Times New Roman" w:eastAsiaTheme="minorEastAsia" w:hAnsi="Times New Roman" w:cs="Times New Roman"/>
          <w:sz w:val="24"/>
          <w:szCs w:val="24"/>
        </w:rPr>
        <w:t xml:space="preserve">work </w:t>
      </w:r>
      <w:r w:rsidR="005A19B2" w:rsidRPr="00F153F6">
        <w:rPr>
          <w:rFonts w:ascii="Times New Roman" w:eastAsiaTheme="minorEastAsia" w:hAnsi="Times New Roman" w:cs="Times New Roman"/>
          <w:sz w:val="24"/>
          <w:szCs w:val="24"/>
        </w:rPr>
        <w:t xml:space="preserve">environment; at the completed stage, </w:t>
      </w:r>
      <w:r w:rsidR="003F1AE3" w:rsidRPr="00F153F6">
        <w:rPr>
          <w:rFonts w:ascii="Times New Roman" w:eastAsiaTheme="minorEastAsia" w:hAnsi="Times New Roman" w:cs="Times New Roman"/>
          <w:sz w:val="24"/>
          <w:szCs w:val="24"/>
        </w:rPr>
        <w:t>there is a degree of maturity</w:t>
      </w:r>
      <w:r w:rsidR="005A19B2" w:rsidRPr="00F153F6">
        <w:rPr>
          <w:rFonts w:ascii="Times New Roman" w:eastAsiaTheme="minorEastAsia" w:hAnsi="Times New Roman" w:cs="Times New Roman"/>
          <w:sz w:val="24"/>
          <w:szCs w:val="24"/>
        </w:rPr>
        <w:t xml:space="preserve"> and thus the focus is to </w:t>
      </w:r>
      <w:r w:rsidR="003F1AE3" w:rsidRPr="00F153F6">
        <w:rPr>
          <w:rFonts w:ascii="Times New Roman" w:eastAsiaTheme="minorEastAsia" w:hAnsi="Times New Roman" w:cs="Times New Roman"/>
          <w:sz w:val="24"/>
          <w:szCs w:val="24"/>
        </w:rPr>
        <w:t>extend and sustain</w:t>
      </w:r>
      <w:r w:rsidR="005A19B2" w:rsidRPr="00F153F6">
        <w:rPr>
          <w:rFonts w:ascii="Times New Roman" w:eastAsiaTheme="minorEastAsia" w:hAnsi="Times New Roman" w:cs="Times New Roman"/>
          <w:sz w:val="24"/>
          <w:szCs w:val="24"/>
        </w:rPr>
        <w:t xml:space="preserve"> project value. Such changes are informed by diverse and evolving contextual factors at multi-layers over multi-stages, which underpins the </w:t>
      </w:r>
      <w:r w:rsidR="00F4778A" w:rsidRPr="00F153F6">
        <w:rPr>
          <w:rFonts w:ascii="Times New Roman" w:eastAsiaTheme="minorEastAsia" w:hAnsi="Times New Roman" w:cs="Times New Roman"/>
          <w:sz w:val="24"/>
          <w:szCs w:val="24"/>
        </w:rPr>
        <w:t>evolving</w:t>
      </w:r>
      <w:r w:rsidR="005A19B2" w:rsidRPr="00F153F6">
        <w:rPr>
          <w:rFonts w:ascii="Times New Roman" w:eastAsiaTheme="minorEastAsia" w:hAnsi="Times New Roman" w:cs="Times New Roman"/>
          <w:sz w:val="24"/>
          <w:szCs w:val="24"/>
        </w:rPr>
        <w:t xml:space="preserve"> dynamics of ICT-based IOKE practice. </w:t>
      </w:r>
      <w:r w:rsidR="003F1AE3" w:rsidRPr="00F153F6">
        <w:rPr>
          <w:rFonts w:ascii="Times New Roman" w:eastAsiaTheme="minorEastAsia" w:hAnsi="Times New Roman" w:cs="Times New Roman"/>
          <w:sz w:val="24"/>
          <w:szCs w:val="24"/>
        </w:rPr>
        <w:t>It is thus suggested</w:t>
      </w:r>
      <w:r w:rsidR="005A19B2" w:rsidRPr="00F153F6">
        <w:rPr>
          <w:rFonts w:ascii="Times New Roman" w:eastAsiaTheme="minorEastAsia" w:hAnsi="Times New Roman" w:cs="Times New Roman"/>
          <w:sz w:val="24"/>
          <w:szCs w:val="24"/>
        </w:rPr>
        <w:t xml:space="preserve"> that future stud</w:t>
      </w:r>
      <w:r w:rsidR="003F1AE3" w:rsidRPr="00F153F6">
        <w:rPr>
          <w:rFonts w:ascii="Times New Roman" w:eastAsiaTheme="minorEastAsia" w:hAnsi="Times New Roman" w:cs="Times New Roman"/>
          <w:sz w:val="24"/>
          <w:szCs w:val="24"/>
        </w:rPr>
        <w:t>ies</w:t>
      </w:r>
      <w:r w:rsidR="005A19B2" w:rsidRPr="00F153F6">
        <w:rPr>
          <w:rFonts w:ascii="Times New Roman" w:eastAsiaTheme="minorEastAsia" w:hAnsi="Times New Roman" w:cs="Times New Roman"/>
          <w:sz w:val="24"/>
          <w:szCs w:val="24"/>
        </w:rPr>
        <w:t xml:space="preserve"> can investigate how </w:t>
      </w:r>
      <w:r w:rsidR="00C03D67" w:rsidRPr="00F153F6">
        <w:rPr>
          <w:rFonts w:ascii="Times New Roman" w:eastAsiaTheme="minorEastAsia" w:hAnsi="Times New Roman" w:cs="Times New Roman"/>
          <w:sz w:val="24"/>
          <w:szCs w:val="24"/>
        </w:rPr>
        <w:t>particular contextual conditions</w:t>
      </w:r>
      <w:r w:rsidR="005A19B2" w:rsidRPr="00F153F6">
        <w:rPr>
          <w:rFonts w:ascii="Times New Roman" w:eastAsiaTheme="minorEastAsia" w:hAnsi="Times New Roman" w:cs="Times New Roman"/>
          <w:sz w:val="24"/>
          <w:szCs w:val="24"/>
        </w:rPr>
        <w:t xml:space="preserve"> vary across different stages</w:t>
      </w:r>
      <w:r w:rsidR="00130E43" w:rsidRPr="00F153F6">
        <w:rPr>
          <w:rFonts w:ascii="Times New Roman" w:eastAsiaTheme="minorEastAsia" w:hAnsi="Times New Roman" w:cs="Times New Roman"/>
          <w:sz w:val="24"/>
          <w:szCs w:val="24"/>
        </w:rPr>
        <w:t xml:space="preserve">, </w:t>
      </w:r>
      <w:r w:rsidR="005A19B2" w:rsidRPr="00F153F6">
        <w:rPr>
          <w:rFonts w:ascii="Times New Roman" w:eastAsiaTheme="minorEastAsia" w:hAnsi="Times New Roman" w:cs="Times New Roman"/>
          <w:sz w:val="24"/>
          <w:szCs w:val="24"/>
        </w:rPr>
        <w:t>how this informs the change</w:t>
      </w:r>
      <w:r w:rsidR="00130E43" w:rsidRPr="00F153F6">
        <w:rPr>
          <w:rFonts w:ascii="Times New Roman" w:eastAsiaTheme="minorEastAsia" w:hAnsi="Times New Roman" w:cs="Times New Roman"/>
          <w:sz w:val="24"/>
          <w:szCs w:val="24"/>
        </w:rPr>
        <w:t xml:space="preserve"> of a particular contextual layer/multi-layers, and further how th</w:t>
      </w:r>
      <w:r w:rsidR="00625C0E" w:rsidRPr="00F153F6">
        <w:rPr>
          <w:rFonts w:ascii="Times New Roman" w:eastAsiaTheme="minorEastAsia" w:hAnsi="Times New Roman" w:cs="Times New Roman"/>
          <w:sz w:val="24"/>
          <w:szCs w:val="24"/>
        </w:rPr>
        <w:t>is</w:t>
      </w:r>
      <w:r w:rsidR="00130E43" w:rsidRPr="00F153F6">
        <w:rPr>
          <w:rFonts w:ascii="Times New Roman" w:eastAsiaTheme="minorEastAsia" w:hAnsi="Times New Roman" w:cs="Times New Roman"/>
          <w:sz w:val="24"/>
          <w:szCs w:val="24"/>
        </w:rPr>
        <w:t xml:space="preserve"> change provide</w:t>
      </w:r>
      <w:r w:rsidR="003F1AE3" w:rsidRPr="00F153F6">
        <w:rPr>
          <w:rFonts w:ascii="Times New Roman" w:eastAsiaTheme="minorEastAsia" w:hAnsi="Times New Roman" w:cs="Times New Roman"/>
          <w:sz w:val="24"/>
          <w:szCs w:val="24"/>
        </w:rPr>
        <w:t>s</w:t>
      </w:r>
      <w:r w:rsidR="00130E43" w:rsidRPr="00F153F6">
        <w:rPr>
          <w:rFonts w:ascii="Times New Roman" w:eastAsiaTheme="minorEastAsia" w:hAnsi="Times New Roman" w:cs="Times New Roman"/>
          <w:sz w:val="24"/>
          <w:szCs w:val="24"/>
        </w:rPr>
        <w:t xml:space="preserve"> implications </w:t>
      </w:r>
      <w:r w:rsidR="00F00150" w:rsidRPr="00F153F6">
        <w:rPr>
          <w:rFonts w:ascii="Times New Roman" w:eastAsiaTheme="minorEastAsia" w:hAnsi="Times New Roman" w:cs="Times New Roman"/>
          <w:sz w:val="24"/>
          <w:szCs w:val="24"/>
        </w:rPr>
        <w:t xml:space="preserve">for </w:t>
      </w:r>
      <w:r w:rsidR="00130E43" w:rsidRPr="00F153F6">
        <w:rPr>
          <w:rFonts w:ascii="Times New Roman" w:eastAsiaTheme="minorEastAsia" w:hAnsi="Times New Roman" w:cs="Times New Roman"/>
          <w:sz w:val="24"/>
          <w:szCs w:val="24"/>
        </w:rPr>
        <w:t xml:space="preserve">the </w:t>
      </w:r>
      <w:r w:rsidR="00F4778A" w:rsidRPr="00F153F6">
        <w:rPr>
          <w:rFonts w:ascii="Times New Roman" w:eastAsiaTheme="minorEastAsia" w:hAnsi="Times New Roman" w:cs="Times New Roman"/>
          <w:sz w:val="24"/>
          <w:szCs w:val="24"/>
        </w:rPr>
        <w:t>evolving</w:t>
      </w:r>
      <w:r w:rsidR="00130E43" w:rsidRPr="00F153F6">
        <w:rPr>
          <w:rFonts w:ascii="Times New Roman" w:eastAsiaTheme="minorEastAsia" w:hAnsi="Times New Roman" w:cs="Times New Roman"/>
          <w:sz w:val="24"/>
          <w:szCs w:val="24"/>
        </w:rPr>
        <w:t xml:space="preserve"> dynamics of ICT-based IOKE practice. </w:t>
      </w:r>
      <w:r w:rsidR="005A19B2" w:rsidRPr="00F153F6">
        <w:rPr>
          <w:rFonts w:ascii="Times New Roman" w:eastAsiaTheme="minorEastAsia" w:hAnsi="Times New Roman" w:cs="Times New Roman"/>
          <w:sz w:val="24"/>
          <w:szCs w:val="24"/>
        </w:rPr>
        <w:t xml:space="preserve">  </w:t>
      </w:r>
    </w:p>
    <w:p w14:paraId="49C84F34" w14:textId="77777777" w:rsidR="000543CB" w:rsidRPr="00F153F6" w:rsidRDefault="000543CB" w:rsidP="002B457C">
      <w:pPr>
        <w:spacing w:line="360" w:lineRule="auto"/>
        <w:jc w:val="both"/>
        <w:rPr>
          <w:rFonts w:ascii="Times New Roman" w:eastAsiaTheme="minorEastAsia" w:hAnsi="Times New Roman" w:cs="Times New Roman"/>
          <w:sz w:val="24"/>
          <w:szCs w:val="24"/>
        </w:rPr>
      </w:pPr>
    </w:p>
    <w:p w14:paraId="7A9A8049" w14:textId="12EF7F6E" w:rsidR="00C463C4" w:rsidRPr="00F153F6" w:rsidRDefault="00C463C4" w:rsidP="000543CB">
      <w:pPr>
        <w:pStyle w:val="Heading3"/>
        <w:spacing w:line="360" w:lineRule="auto"/>
        <w:ind w:left="720"/>
        <w:jc w:val="both"/>
        <w:rPr>
          <w:rFonts w:ascii="Times New Roman" w:hAnsi="Times New Roman" w:cs="Times New Roman"/>
          <w:b/>
          <w:color w:val="auto"/>
          <w:sz w:val="28"/>
          <w:szCs w:val="28"/>
        </w:rPr>
      </w:pPr>
      <w:bookmarkStart w:id="674" w:name="_Toc133252188"/>
      <w:r w:rsidRPr="00F153F6">
        <w:rPr>
          <w:rFonts w:ascii="Times New Roman" w:hAnsi="Times New Roman" w:cs="Times New Roman"/>
          <w:b/>
          <w:color w:val="auto"/>
          <w:sz w:val="28"/>
          <w:szCs w:val="28"/>
        </w:rPr>
        <w:t xml:space="preserve">5.3.4 Knowledge and Project </w:t>
      </w:r>
      <w:r w:rsidR="003F1AE3" w:rsidRPr="00F153F6">
        <w:rPr>
          <w:rFonts w:ascii="Times New Roman" w:hAnsi="Times New Roman" w:cs="Times New Roman"/>
          <w:b/>
          <w:color w:val="auto"/>
          <w:sz w:val="28"/>
          <w:szCs w:val="28"/>
        </w:rPr>
        <w:t>Coordination</w:t>
      </w:r>
      <w:r w:rsidRPr="00F153F6">
        <w:rPr>
          <w:rFonts w:ascii="Times New Roman" w:hAnsi="Times New Roman" w:cs="Times New Roman"/>
          <w:b/>
          <w:color w:val="auto"/>
          <w:sz w:val="28"/>
          <w:szCs w:val="28"/>
        </w:rPr>
        <w:t>: Towards an Integration</w:t>
      </w:r>
      <w:bookmarkEnd w:id="674"/>
      <w:r w:rsidRPr="00F153F6">
        <w:rPr>
          <w:rFonts w:ascii="Times New Roman" w:hAnsi="Times New Roman" w:cs="Times New Roman"/>
          <w:b/>
          <w:color w:val="auto"/>
          <w:sz w:val="28"/>
          <w:szCs w:val="28"/>
        </w:rPr>
        <w:t xml:space="preserve"> </w:t>
      </w:r>
    </w:p>
    <w:p w14:paraId="4A95C874" w14:textId="29D4F9E9" w:rsidR="00F64F96" w:rsidRPr="00F153F6" w:rsidRDefault="00DB412E" w:rsidP="00AF52E7">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Further</w:t>
      </w:r>
      <w:r w:rsidR="00F64F96" w:rsidRPr="00F153F6">
        <w:rPr>
          <w:rFonts w:ascii="Times New Roman" w:eastAsiaTheme="minorEastAsia" w:hAnsi="Times New Roman" w:cs="Times New Roman"/>
          <w:sz w:val="24"/>
          <w:szCs w:val="24"/>
        </w:rPr>
        <w:t xml:space="preserve"> to the context</w:t>
      </w:r>
      <w:r w:rsidRPr="00F153F6">
        <w:rPr>
          <w:rFonts w:ascii="Times New Roman" w:eastAsiaTheme="minorEastAsia" w:hAnsi="Times New Roman" w:cs="Times New Roman"/>
          <w:sz w:val="24"/>
          <w:szCs w:val="24"/>
        </w:rPr>
        <w:t xml:space="preserve">, the present study has found </w:t>
      </w:r>
      <w:r w:rsidR="009A1BAB" w:rsidRPr="00F153F6">
        <w:rPr>
          <w:rFonts w:ascii="Times New Roman" w:eastAsiaTheme="minorEastAsia" w:hAnsi="Times New Roman" w:cs="Times New Roman"/>
          <w:sz w:val="24"/>
          <w:szCs w:val="24"/>
        </w:rPr>
        <w:t>that core knowledgeabilities</w:t>
      </w:r>
      <w:r w:rsidRPr="00F153F6">
        <w:rPr>
          <w:rFonts w:ascii="Times New Roman" w:eastAsiaTheme="minorEastAsia" w:hAnsi="Times New Roman" w:cs="Times New Roman"/>
          <w:sz w:val="24"/>
          <w:szCs w:val="24"/>
        </w:rPr>
        <w:t xml:space="preserve"> in the pursuit of project goals can also lead to the know-how of project management as well (coordinating - the resulting knowledgeability). This is </w:t>
      </w:r>
      <w:r w:rsidR="00F64F96" w:rsidRPr="00F153F6">
        <w:rPr>
          <w:rFonts w:ascii="Times New Roman" w:eastAsiaTheme="minorEastAsia" w:hAnsi="Times New Roman" w:cs="Times New Roman"/>
          <w:sz w:val="24"/>
          <w:szCs w:val="24"/>
        </w:rPr>
        <w:t>an</w:t>
      </w:r>
      <w:r w:rsidRPr="00F153F6">
        <w:rPr>
          <w:rFonts w:ascii="Times New Roman" w:eastAsiaTheme="minorEastAsia" w:hAnsi="Times New Roman" w:cs="Times New Roman"/>
          <w:sz w:val="24"/>
          <w:szCs w:val="24"/>
        </w:rPr>
        <w:t xml:space="preserve"> </w:t>
      </w:r>
      <w:r w:rsidR="009A1BAB" w:rsidRPr="00F153F6">
        <w:rPr>
          <w:rFonts w:ascii="Times New Roman" w:eastAsiaTheme="minorEastAsia" w:hAnsi="Times New Roman" w:cs="Times New Roman"/>
          <w:sz w:val="24"/>
          <w:szCs w:val="24"/>
        </w:rPr>
        <w:t>interesting</w:t>
      </w:r>
      <w:r w:rsidRPr="00F153F6">
        <w:rPr>
          <w:rFonts w:ascii="Times New Roman" w:eastAsiaTheme="minorEastAsia" w:hAnsi="Times New Roman" w:cs="Times New Roman"/>
          <w:sz w:val="24"/>
          <w:szCs w:val="24"/>
        </w:rPr>
        <w:t xml:space="preserve"> finding </w:t>
      </w:r>
      <w:r w:rsidR="008B5B41" w:rsidRPr="00F153F6">
        <w:rPr>
          <w:rFonts w:ascii="Times New Roman" w:eastAsiaTheme="minorEastAsia" w:hAnsi="Times New Roman" w:cs="Times New Roman"/>
          <w:sz w:val="24"/>
          <w:szCs w:val="24"/>
        </w:rPr>
        <w:t>that project-oriented practices</w:t>
      </w:r>
      <w:r w:rsidR="003F1AE3" w:rsidRPr="00F153F6">
        <w:rPr>
          <w:rFonts w:ascii="Times New Roman" w:eastAsiaTheme="minorEastAsia" w:hAnsi="Times New Roman" w:cs="Times New Roman"/>
          <w:sz w:val="24"/>
          <w:szCs w:val="24"/>
        </w:rPr>
        <w:t xml:space="preserve"> (project coordination practices in particular)</w:t>
      </w:r>
      <w:r w:rsidR="008B5B41" w:rsidRPr="00F153F6">
        <w:rPr>
          <w:rFonts w:ascii="Times New Roman" w:eastAsiaTheme="minorEastAsia" w:hAnsi="Times New Roman" w:cs="Times New Roman"/>
          <w:sz w:val="24"/>
          <w:szCs w:val="24"/>
        </w:rPr>
        <w:t xml:space="preserve"> can also be shaped by knowledge-oriented work.</w:t>
      </w:r>
      <w:r w:rsidR="009A1BAB" w:rsidRPr="00F153F6">
        <w:rPr>
          <w:rFonts w:ascii="Times New Roman" w:eastAsiaTheme="minorEastAsia" w:hAnsi="Times New Roman" w:cs="Times New Roman"/>
          <w:sz w:val="24"/>
          <w:szCs w:val="24"/>
        </w:rPr>
        <w:t xml:space="preserve"> Many existing knowledge management studies</w:t>
      </w:r>
      <w:r w:rsidR="00FD66D5" w:rsidRPr="00F153F6">
        <w:rPr>
          <w:rFonts w:ascii="Times New Roman" w:eastAsiaTheme="minorEastAsia" w:hAnsi="Times New Roman" w:cs="Times New Roman"/>
          <w:sz w:val="24"/>
          <w:szCs w:val="24"/>
        </w:rPr>
        <w:t xml:space="preserve"> in project context</w:t>
      </w:r>
      <w:r w:rsidR="00C317B8" w:rsidRPr="00F153F6">
        <w:rPr>
          <w:rFonts w:ascii="Times New Roman" w:eastAsiaTheme="minorEastAsia" w:hAnsi="Times New Roman" w:cs="Times New Roman"/>
          <w:sz w:val="24"/>
          <w:szCs w:val="24"/>
        </w:rPr>
        <w:t>s</w:t>
      </w:r>
      <w:r w:rsidR="00FD66D5" w:rsidRPr="00F153F6">
        <w:rPr>
          <w:rFonts w:ascii="Times New Roman" w:eastAsiaTheme="minorEastAsia" w:hAnsi="Times New Roman" w:cs="Times New Roman"/>
          <w:sz w:val="24"/>
          <w:szCs w:val="24"/>
        </w:rPr>
        <w:t xml:space="preserve"> </w:t>
      </w:r>
      <w:r w:rsidR="009A1BAB" w:rsidRPr="00F153F6">
        <w:rPr>
          <w:rFonts w:ascii="Times New Roman" w:eastAsiaTheme="minorEastAsia" w:hAnsi="Times New Roman" w:cs="Times New Roman"/>
          <w:sz w:val="24"/>
          <w:szCs w:val="24"/>
        </w:rPr>
        <w:t xml:space="preserve">are focused either on the </w:t>
      </w:r>
      <w:r w:rsidR="00FD66D5" w:rsidRPr="00F153F6">
        <w:rPr>
          <w:rFonts w:ascii="Times New Roman" w:eastAsiaTheme="minorEastAsia" w:hAnsi="Times New Roman" w:cs="Times New Roman"/>
          <w:sz w:val="24"/>
          <w:szCs w:val="24"/>
        </w:rPr>
        <w:t xml:space="preserve">knowledge itself </w:t>
      </w:r>
      <w:r w:rsidR="00C317B8" w:rsidRPr="00F153F6">
        <w:rPr>
          <w:rFonts w:ascii="Times New Roman" w:eastAsiaTheme="minorEastAsia" w:hAnsi="Times New Roman" w:cs="Times New Roman"/>
          <w:sz w:val="24"/>
          <w:szCs w:val="24"/>
        </w:rPr>
        <w:t>with the</w:t>
      </w:r>
      <w:r w:rsidR="00FD66D5" w:rsidRPr="00F153F6">
        <w:rPr>
          <w:rFonts w:ascii="Times New Roman" w:eastAsiaTheme="minorEastAsia" w:hAnsi="Times New Roman" w:cs="Times New Roman"/>
          <w:sz w:val="24"/>
          <w:szCs w:val="24"/>
        </w:rPr>
        <w:t xml:space="preserve"> project as background environment</w:t>
      </w:r>
      <w:r w:rsidR="00206572" w:rsidRPr="00F153F6">
        <w:rPr>
          <w:rFonts w:ascii="Times New Roman" w:eastAsiaTheme="minorEastAsia" w:hAnsi="Times New Roman" w:cs="Times New Roman"/>
          <w:sz w:val="24"/>
          <w:szCs w:val="24"/>
        </w:rPr>
        <w:t xml:space="preserve"> </w:t>
      </w:r>
      <w:r w:rsidR="00206572" w:rsidRPr="00F153F6">
        <w:rPr>
          <w:rFonts w:ascii="Times New Roman" w:eastAsiaTheme="minorEastAsia" w:hAnsi="Times New Roman" w:cs="Times New Roman"/>
          <w:sz w:val="24"/>
          <w:szCs w:val="24"/>
        </w:rPr>
        <w:fldChar w:fldCharType="begin"/>
      </w:r>
      <w:r w:rsidR="00206572" w:rsidRPr="00F153F6">
        <w:rPr>
          <w:rFonts w:ascii="Times New Roman" w:eastAsiaTheme="minorEastAsia" w:hAnsi="Times New Roman" w:cs="Times New Roman"/>
          <w:sz w:val="24"/>
          <w:szCs w:val="24"/>
        </w:rPr>
        <w:instrText xml:space="preserve"> ADDIN ZOTERO_ITEM CSL_CITATION {"citationID":"TotSWM2I","properties":{"formattedCitation":"(Emiliano de Souza et al., 2022; Favoretto &amp; Carvalho, 2021)","plainCitation":"(Emiliano de Souza et al., 2022; Favoretto &amp; Carvalho, 2021)","noteIndex":0},"citationItems":[{"id":10280,"uris":["http://zotero.org/users/5709166/items/6CWYA4BC"],"itemData":{"id":10280,"type":"article-journal","abstract":"This study investigates the relationship between knowledge management and project success. The applied research method was a systematic literature review, using bibliometric, network, and content analysis techniques. As a result, a frame­ work is proposed, relating knowledge management and project success. The relationship between both tacit knowledge and explicit knowledge with success dimensions is explored in the literature. Explicit knowledge is more related to project manage­ ment efficiency and impact on teams, while tacit knowledge has also been related to present impact on business in the surveyed literature. The main tools and techniques regarding knowledge management in project contexts were also identified.","container-title":"Engineering Management Journal","DOI":"10.1080/10429247.2020.1840876","ISSN":"1042-9247, 2377-0643","issue":"1","journalAbbreviation":"Engineering Management Journal","language":"en","page":"50-69","source":"DOI.org (Crossref)","title":"Knowledge Management, Absorptive and Dynamic Capacities and Project Success: A Review and Framework","title-short":"Knowledge Management, Absorptive and Dynamic Capacities and Project Success","volume":"34","author":[{"family":"Emiliano de Souza","given":"Daniela"},{"family":"Favoretto","given":"Camila"},{"family":"Carvalho","given":"Marly M."}],"issued":{"date-parts":[["2022",1,2]]}}},{"id":10538,"uris":["http://zotero.org/users/5709166/items/5P97UFCR"],"itemData":{"id":10538,"type":"article-journal","abstract":"Abstract: Knowledge management is a key resource for enabling projects and organizations to address the current challenges of competitive environment. This article aims to investigate the central themes of knowledge management in the project context, exploring the relationship between knowledge management and project performance. For this purpose, a literature review was carried out, adopting bibliometric analysis, codification and content analysis. The search and sampling process was conducted in the Web of Knowledge (Web of Science Core Collection) database. First, the results identified the main strategies to deal with tacit and explicit knowledge, which are experts’ knowledge acquisition and project documentation through coded forms, respectively. Both types of knowledge, tacit and explicit, are strongly related to two of the project success dimensions: GP efficiency, and success of the product/service. The literature pointed out that organizations recognize the importance of knowledge management but they still face many barriers to implement it in practice. The publications allowed verifying that the subjects are still little related, making it a challenging field for future studies.","container-title":"Gestão &amp; Produção","DOI":"10.1590/0104-530X4888-20","ISSN":"0104-530X, 1806-9649","journalAbbreviation":"Gest. Prod.","language":"en","note":"publisher: Universidade Federal de São Carlos","page":"e4888","source":"SciELO","title":"An analysis of the relationship between knowledge management and project performance: literature review and conceptual framework","title-short":"An analysis of the relationship between knowledge management and project performance","volume":"28","author":[{"family":"Favoretto","given":"Camila"},{"family":"Carvalho","given":"Marly Monteiro","dropping-particle":"de"}],"issued":{"date-parts":[["2021",1,13]]}}}],"schema":"https://github.com/citation-style-language/schema/raw/master/csl-citation.json"} </w:instrText>
      </w:r>
      <w:r w:rsidR="00206572" w:rsidRPr="00F153F6">
        <w:rPr>
          <w:rFonts w:ascii="Times New Roman" w:eastAsiaTheme="minorEastAsia" w:hAnsi="Times New Roman" w:cs="Times New Roman"/>
          <w:sz w:val="24"/>
          <w:szCs w:val="24"/>
        </w:rPr>
        <w:fldChar w:fldCharType="separate"/>
      </w:r>
      <w:r w:rsidR="00206572" w:rsidRPr="00F153F6">
        <w:rPr>
          <w:rFonts w:ascii="Times New Roman" w:hAnsi="Times New Roman" w:cs="Times New Roman"/>
          <w:sz w:val="24"/>
          <w:szCs w:val="24"/>
        </w:rPr>
        <w:t>(Souza et al., 2022; Favoretto &amp; Carvalho, 2021)</w:t>
      </w:r>
      <w:r w:rsidR="00206572" w:rsidRPr="00F153F6">
        <w:rPr>
          <w:rFonts w:ascii="Times New Roman" w:eastAsiaTheme="minorEastAsia" w:hAnsi="Times New Roman" w:cs="Times New Roman"/>
          <w:sz w:val="24"/>
          <w:szCs w:val="24"/>
        </w:rPr>
        <w:fldChar w:fldCharType="end"/>
      </w:r>
      <w:r w:rsidR="009A1BAB" w:rsidRPr="00F153F6">
        <w:rPr>
          <w:rFonts w:ascii="Times New Roman" w:eastAsiaTheme="minorEastAsia" w:hAnsi="Times New Roman" w:cs="Times New Roman"/>
          <w:sz w:val="24"/>
          <w:szCs w:val="24"/>
        </w:rPr>
        <w:t xml:space="preserve"> or</w:t>
      </w:r>
      <w:r w:rsidR="00FD66D5" w:rsidRPr="00F153F6">
        <w:rPr>
          <w:rFonts w:ascii="Times New Roman" w:eastAsiaTheme="minorEastAsia" w:hAnsi="Times New Roman" w:cs="Times New Roman"/>
          <w:sz w:val="24"/>
          <w:szCs w:val="24"/>
        </w:rPr>
        <w:t xml:space="preserve"> project knowledge management</w:t>
      </w:r>
      <w:r w:rsidR="009A1BAB" w:rsidRPr="00F153F6">
        <w:rPr>
          <w:rFonts w:ascii="Times New Roman" w:eastAsiaTheme="minorEastAsia" w:hAnsi="Times New Roman" w:cs="Times New Roman"/>
          <w:sz w:val="24"/>
          <w:szCs w:val="24"/>
        </w:rPr>
        <w:t xml:space="preserve"> </w:t>
      </w:r>
      <w:r w:rsidR="00FD66D5" w:rsidRPr="00F153F6">
        <w:rPr>
          <w:rFonts w:ascii="Times New Roman" w:eastAsiaTheme="minorEastAsia" w:hAnsi="Times New Roman" w:cs="Times New Roman"/>
          <w:sz w:val="24"/>
          <w:szCs w:val="24"/>
        </w:rPr>
        <w:t>that emphasises project-oriented knowledge</w:t>
      </w:r>
      <w:r w:rsidR="00206572" w:rsidRPr="00F153F6">
        <w:rPr>
          <w:rFonts w:ascii="Times New Roman" w:eastAsiaTheme="minorEastAsia" w:hAnsi="Times New Roman" w:cs="Times New Roman"/>
          <w:sz w:val="24"/>
          <w:szCs w:val="24"/>
        </w:rPr>
        <w:t xml:space="preserve"> </w:t>
      </w:r>
      <w:r w:rsidR="00206572" w:rsidRPr="00F153F6">
        <w:rPr>
          <w:rFonts w:ascii="Times New Roman" w:eastAsiaTheme="minorEastAsia" w:hAnsi="Times New Roman" w:cs="Times New Roman"/>
          <w:sz w:val="24"/>
          <w:szCs w:val="24"/>
        </w:rPr>
        <w:fldChar w:fldCharType="begin"/>
      </w:r>
      <w:r w:rsidR="00206572" w:rsidRPr="00F153F6">
        <w:rPr>
          <w:rFonts w:ascii="Times New Roman" w:eastAsiaTheme="minorEastAsia" w:hAnsi="Times New Roman" w:cs="Times New Roman"/>
          <w:sz w:val="24"/>
          <w:szCs w:val="24"/>
        </w:rPr>
        <w:instrText xml:space="preserve"> ADDIN ZOTERO_ITEM CSL_CITATION {"citationID":"nEoKcdS1","properties":{"formattedCitation":"(Gasik, 2011)","plainCitation":"(Gasik, 2011)","noteIndex":0},"citationItems":[{"id":1992,"uris":["http://zotero.org/users/5709166/items/HZU9P5P4"],"itemData":{"id":1992,"type":"article-journal","abstract":"Knowledge is the most important resource needed for project management. The aim of this article is to present a full, consistent model of project knowledge management. There are two basic types of project knowledge: micro-knowledge, needed for performing a single task (or its part), and macro-knowledge (in other words, all the knowledge possessed by people from a given organizational level). Project knowledge is managed at four distinct levels: individual, project, organization, and global. The article describes the micro-knowledge life cycle and macro-knowledge life cycles from each organizational level, as well as the processes of vertical knowledge flow between organizational levels.","container-title":"Project Management Journal","DOI":"10.1002/pmj.20239","ISSN":"1938-9507","issue":"3","language":"en","page":"23-44","source":"Wiley Online Library","title":"A model of project knowledge management","volume":"42","author":[{"family":"Gasik","given":"Stanisław"}],"issued":{"date-parts":[["2011"]]}}}],"schema":"https://github.com/citation-style-language/schema/raw/master/csl-citation.json"} </w:instrText>
      </w:r>
      <w:r w:rsidR="00206572" w:rsidRPr="00F153F6">
        <w:rPr>
          <w:rFonts w:ascii="Times New Roman" w:eastAsiaTheme="minorEastAsia" w:hAnsi="Times New Roman" w:cs="Times New Roman"/>
          <w:sz w:val="24"/>
          <w:szCs w:val="24"/>
        </w:rPr>
        <w:fldChar w:fldCharType="separate"/>
      </w:r>
      <w:r w:rsidR="00206572" w:rsidRPr="00F153F6">
        <w:rPr>
          <w:rFonts w:ascii="Times New Roman" w:hAnsi="Times New Roman" w:cs="Times New Roman"/>
          <w:sz w:val="24"/>
          <w:szCs w:val="24"/>
        </w:rPr>
        <w:t>(Gasik, 2011)</w:t>
      </w:r>
      <w:r w:rsidR="00206572" w:rsidRPr="00F153F6">
        <w:rPr>
          <w:rFonts w:ascii="Times New Roman" w:eastAsiaTheme="minorEastAsia" w:hAnsi="Times New Roman" w:cs="Times New Roman"/>
          <w:sz w:val="24"/>
          <w:szCs w:val="24"/>
        </w:rPr>
        <w:fldChar w:fldCharType="end"/>
      </w:r>
      <w:r w:rsidR="00FD66D5" w:rsidRPr="00F153F6">
        <w:rPr>
          <w:rFonts w:ascii="Times New Roman" w:eastAsiaTheme="minorEastAsia" w:hAnsi="Times New Roman" w:cs="Times New Roman"/>
          <w:sz w:val="24"/>
          <w:szCs w:val="24"/>
        </w:rPr>
        <w:t>.</w:t>
      </w:r>
      <w:r w:rsidR="009A1BAB" w:rsidRPr="00F153F6">
        <w:rPr>
          <w:rFonts w:ascii="Times New Roman" w:eastAsiaTheme="minorEastAsia" w:hAnsi="Times New Roman" w:cs="Times New Roman"/>
          <w:sz w:val="24"/>
          <w:szCs w:val="24"/>
        </w:rPr>
        <w:t xml:space="preserve"> </w:t>
      </w:r>
      <w:r w:rsidR="00FD66D5" w:rsidRPr="00F153F6">
        <w:rPr>
          <w:rFonts w:ascii="Times New Roman" w:eastAsiaTheme="minorEastAsia" w:hAnsi="Times New Roman" w:cs="Times New Roman"/>
          <w:sz w:val="24"/>
          <w:szCs w:val="24"/>
        </w:rPr>
        <w:t>However,</w:t>
      </w:r>
      <w:r w:rsidR="009A1BAB" w:rsidRPr="00F153F6">
        <w:rPr>
          <w:rFonts w:ascii="Times New Roman" w:eastAsiaTheme="minorEastAsia" w:hAnsi="Times New Roman" w:cs="Times New Roman"/>
          <w:sz w:val="24"/>
          <w:szCs w:val="24"/>
        </w:rPr>
        <w:t xml:space="preserve"> </w:t>
      </w:r>
      <w:r w:rsidR="007156B1" w:rsidRPr="00F153F6">
        <w:rPr>
          <w:rFonts w:ascii="Times New Roman" w:eastAsiaTheme="minorEastAsia" w:hAnsi="Times New Roman" w:cs="Times New Roman"/>
          <w:sz w:val="24"/>
          <w:szCs w:val="24"/>
        </w:rPr>
        <w:t>the</w:t>
      </w:r>
      <w:r w:rsidR="009A1BAB" w:rsidRPr="00F153F6">
        <w:rPr>
          <w:rFonts w:ascii="Times New Roman" w:eastAsiaTheme="minorEastAsia" w:hAnsi="Times New Roman" w:cs="Times New Roman"/>
          <w:sz w:val="24"/>
          <w:szCs w:val="24"/>
        </w:rPr>
        <w:t xml:space="preserve"> investigation </w:t>
      </w:r>
      <w:r w:rsidR="00FD66D5" w:rsidRPr="00F153F6">
        <w:rPr>
          <w:rFonts w:ascii="Times New Roman" w:eastAsiaTheme="minorEastAsia" w:hAnsi="Times New Roman" w:cs="Times New Roman"/>
          <w:sz w:val="24"/>
          <w:szCs w:val="24"/>
        </w:rPr>
        <w:t>to study</w:t>
      </w:r>
      <w:r w:rsidR="009A1BAB" w:rsidRPr="00F153F6">
        <w:rPr>
          <w:rFonts w:ascii="Times New Roman" w:eastAsiaTheme="minorEastAsia" w:hAnsi="Times New Roman" w:cs="Times New Roman"/>
          <w:sz w:val="24"/>
          <w:szCs w:val="24"/>
        </w:rPr>
        <w:t xml:space="preserve"> knowledge and project </w:t>
      </w:r>
      <w:r w:rsidR="003F1AE3" w:rsidRPr="00F153F6">
        <w:rPr>
          <w:rFonts w:ascii="Times New Roman" w:eastAsiaTheme="minorEastAsia" w:hAnsi="Times New Roman" w:cs="Times New Roman"/>
          <w:sz w:val="24"/>
          <w:szCs w:val="24"/>
        </w:rPr>
        <w:t>coordination</w:t>
      </w:r>
      <w:r w:rsidR="009A1BAB" w:rsidRPr="00F153F6">
        <w:rPr>
          <w:rFonts w:ascii="Times New Roman" w:eastAsiaTheme="minorEastAsia" w:hAnsi="Times New Roman" w:cs="Times New Roman"/>
          <w:sz w:val="24"/>
          <w:szCs w:val="24"/>
        </w:rPr>
        <w:t xml:space="preserve"> in conjunction</w:t>
      </w:r>
      <w:r w:rsidR="007156B1" w:rsidRPr="00F153F6">
        <w:rPr>
          <w:rFonts w:ascii="Times New Roman" w:eastAsiaTheme="minorEastAsia" w:hAnsi="Times New Roman" w:cs="Times New Roman"/>
          <w:sz w:val="24"/>
          <w:szCs w:val="24"/>
        </w:rPr>
        <w:t xml:space="preserve"> is underdeveloped and lack</w:t>
      </w:r>
      <w:r w:rsidR="00625C0E" w:rsidRPr="00F153F6">
        <w:rPr>
          <w:rFonts w:ascii="Times New Roman" w:eastAsiaTheme="minorEastAsia" w:hAnsi="Times New Roman" w:cs="Times New Roman"/>
          <w:sz w:val="24"/>
          <w:szCs w:val="24"/>
        </w:rPr>
        <w:t>s</w:t>
      </w:r>
      <w:r w:rsidR="007156B1" w:rsidRPr="00F153F6">
        <w:rPr>
          <w:rFonts w:ascii="Times New Roman" w:eastAsiaTheme="minorEastAsia" w:hAnsi="Times New Roman" w:cs="Times New Roman"/>
          <w:sz w:val="24"/>
          <w:szCs w:val="24"/>
        </w:rPr>
        <w:t xml:space="preserve"> evidence</w:t>
      </w:r>
      <w:r w:rsidR="009A1BAB" w:rsidRPr="00F153F6">
        <w:rPr>
          <w:rFonts w:ascii="Times New Roman" w:eastAsiaTheme="minorEastAsia" w:hAnsi="Times New Roman" w:cs="Times New Roman"/>
          <w:sz w:val="24"/>
          <w:szCs w:val="24"/>
        </w:rPr>
        <w:t>.</w:t>
      </w:r>
      <w:r w:rsidR="00147292" w:rsidRPr="00F153F6">
        <w:rPr>
          <w:rFonts w:ascii="Times New Roman" w:eastAsiaTheme="minorEastAsia" w:hAnsi="Times New Roman" w:cs="Times New Roman"/>
          <w:sz w:val="24"/>
          <w:szCs w:val="24"/>
        </w:rPr>
        <w:t xml:space="preserve"> For example,</w:t>
      </w:r>
      <w:r w:rsidR="002B34B6" w:rsidRPr="00F153F6">
        <w:rPr>
          <w:rFonts w:ascii="Times New Roman" w:eastAsiaTheme="minorEastAsia" w:hAnsi="Times New Roman" w:cs="Times New Roman"/>
          <w:sz w:val="24"/>
          <w:szCs w:val="24"/>
        </w:rPr>
        <w:t xml:space="preserve"> </w:t>
      </w:r>
      <w:r w:rsidR="00147292" w:rsidRPr="00F153F6">
        <w:rPr>
          <w:rFonts w:ascii="Times New Roman" w:eastAsiaTheme="minorEastAsia" w:hAnsi="Times New Roman" w:cs="Times New Roman"/>
          <w:sz w:val="24"/>
          <w:szCs w:val="24"/>
        </w:rPr>
        <w:t>Handzic &amp; Durmic (2015) show that knowledge management practices can foster the development of project</w:t>
      </w:r>
      <w:r w:rsidR="00C317B8" w:rsidRPr="00F153F6">
        <w:rPr>
          <w:rFonts w:ascii="Times New Roman" w:eastAsiaTheme="minorEastAsia" w:hAnsi="Times New Roman" w:cs="Times New Roman"/>
          <w:sz w:val="24"/>
          <w:szCs w:val="24"/>
        </w:rPr>
        <w:t>s</w:t>
      </w:r>
      <w:r w:rsidR="002B34B6" w:rsidRPr="00F153F6">
        <w:rPr>
          <w:rFonts w:ascii="Times New Roman" w:eastAsiaTheme="minorEastAsia" w:hAnsi="Times New Roman" w:cs="Times New Roman"/>
          <w:sz w:val="24"/>
          <w:szCs w:val="24"/>
        </w:rPr>
        <w:t xml:space="preserve"> in a feedback loop but</w:t>
      </w:r>
      <w:r w:rsidR="00147292" w:rsidRPr="00F153F6">
        <w:rPr>
          <w:rFonts w:ascii="Times New Roman" w:eastAsiaTheme="minorEastAsia" w:hAnsi="Times New Roman" w:cs="Times New Roman"/>
          <w:sz w:val="24"/>
          <w:szCs w:val="24"/>
        </w:rPr>
        <w:t xml:space="preserve"> provide less insights on </w:t>
      </w:r>
      <w:r w:rsidR="002B34B6" w:rsidRPr="00F153F6">
        <w:rPr>
          <w:rFonts w:ascii="Times New Roman" w:eastAsiaTheme="minorEastAsia" w:hAnsi="Times New Roman" w:cs="Times New Roman"/>
          <w:sz w:val="24"/>
          <w:szCs w:val="24"/>
        </w:rPr>
        <w:t>how distinct project management activities</w:t>
      </w:r>
      <w:r w:rsidR="00147292" w:rsidRPr="00F153F6">
        <w:rPr>
          <w:rFonts w:ascii="Times New Roman" w:eastAsiaTheme="minorEastAsia" w:hAnsi="Times New Roman" w:cs="Times New Roman"/>
          <w:sz w:val="24"/>
          <w:szCs w:val="24"/>
        </w:rPr>
        <w:t xml:space="preserve"> </w:t>
      </w:r>
      <w:r w:rsidR="002B34B6" w:rsidRPr="00F153F6">
        <w:rPr>
          <w:rFonts w:ascii="Times New Roman" w:eastAsiaTheme="minorEastAsia" w:hAnsi="Times New Roman" w:cs="Times New Roman"/>
          <w:sz w:val="24"/>
          <w:szCs w:val="24"/>
        </w:rPr>
        <w:t>are influenced and shaped with stakeholders’ knowledge work. This means the</w:t>
      </w:r>
      <w:r w:rsidR="007156B1" w:rsidRPr="00F153F6">
        <w:rPr>
          <w:rFonts w:ascii="Times New Roman" w:eastAsiaTheme="minorEastAsia" w:hAnsi="Times New Roman" w:cs="Times New Roman"/>
          <w:sz w:val="24"/>
          <w:szCs w:val="24"/>
        </w:rPr>
        <w:t xml:space="preserve"> interactions</w:t>
      </w:r>
      <w:r w:rsidR="002B34B6" w:rsidRPr="00F153F6">
        <w:rPr>
          <w:rFonts w:ascii="Times New Roman" w:eastAsiaTheme="minorEastAsia" w:hAnsi="Times New Roman" w:cs="Times New Roman"/>
          <w:sz w:val="24"/>
          <w:szCs w:val="24"/>
        </w:rPr>
        <w:t xml:space="preserve"> between knowledge management and project management</w:t>
      </w:r>
      <w:r w:rsidR="007156B1" w:rsidRPr="00F153F6">
        <w:rPr>
          <w:rFonts w:ascii="Times New Roman" w:eastAsiaTheme="minorEastAsia" w:hAnsi="Times New Roman" w:cs="Times New Roman"/>
          <w:sz w:val="24"/>
          <w:szCs w:val="24"/>
        </w:rPr>
        <w:t xml:space="preserve"> require further exploration</w:t>
      </w:r>
      <w:r w:rsidR="00625C0E" w:rsidRPr="00F153F6">
        <w:rPr>
          <w:rFonts w:ascii="Times New Roman" w:eastAsiaTheme="minorEastAsia" w:hAnsi="Times New Roman" w:cs="Times New Roman"/>
          <w:sz w:val="24"/>
          <w:szCs w:val="24"/>
        </w:rPr>
        <w:t xml:space="preserve"> in terms of how they dynamically shape each other</w:t>
      </w:r>
      <w:r w:rsidR="007156B1" w:rsidRPr="00F153F6">
        <w:rPr>
          <w:rFonts w:ascii="Times New Roman" w:eastAsiaTheme="minorEastAsia" w:hAnsi="Times New Roman" w:cs="Times New Roman"/>
          <w:sz w:val="24"/>
          <w:szCs w:val="24"/>
        </w:rPr>
        <w:t>.</w:t>
      </w:r>
      <w:r w:rsidR="00F64F96" w:rsidRPr="00F153F6">
        <w:rPr>
          <w:rFonts w:ascii="Times New Roman" w:eastAsiaTheme="minorEastAsia" w:hAnsi="Times New Roman" w:cs="Times New Roman"/>
          <w:sz w:val="24"/>
          <w:szCs w:val="24"/>
        </w:rPr>
        <w:t xml:space="preserve"> </w:t>
      </w:r>
      <w:r w:rsidR="00FD66D5" w:rsidRPr="00F153F6">
        <w:rPr>
          <w:rFonts w:ascii="Times New Roman" w:eastAsiaTheme="minorEastAsia" w:hAnsi="Times New Roman" w:cs="Times New Roman"/>
          <w:sz w:val="24"/>
          <w:szCs w:val="24"/>
        </w:rPr>
        <w:t xml:space="preserve">The present study </w:t>
      </w:r>
      <w:r w:rsidR="00F64F96" w:rsidRPr="00F153F6">
        <w:rPr>
          <w:rFonts w:ascii="Times New Roman" w:eastAsiaTheme="minorEastAsia" w:hAnsi="Times New Roman" w:cs="Times New Roman"/>
          <w:sz w:val="24"/>
          <w:szCs w:val="24"/>
        </w:rPr>
        <w:t>extends this body of evidence</w:t>
      </w:r>
      <w:r w:rsidR="00FD66D5" w:rsidRPr="00F153F6">
        <w:rPr>
          <w:rFonts w:ascii="Times New Roman" w:eastAsiaTheme="minorEastAsia" w:hAnsi="Times New Roman" w:cs="Times New Roman"/>
          <w:sz w:val="24"/>
          <w:szCs w:val="24"/>
        </w:rPr>
        <w:t xml:space="preserve"> </w:t>
      </w:r>
      <w:r w:rsidR="00F64F96" w:rsidRPr="00F153F6">
        <w:rPr>
          <w:rFonts w:ascii="Times New Roman" w:eastAsiaTheme="minorEastAsia" w:hAnsi="Times New Roman" w:cs="Times New Roman"/>
          <w:sz w:val="24"/>
          <w:szCs w:val="24"/>
        </w:rPr>
        <w:t>by</w:t>
      </w:r>
      <w:r w:rsidR="00FD66D5" w:rsidRPr="00F153F6">
        <w:rPr>
          <w:rFonts w:ascii="Times New Roman" w:eastAsiaTheme="minorEastAsia" w:hAnsi="Times New Roman" w:cs="Times New Roman"/>
          <w:sz w:val="24"/>
          <w:szCs w:val="24"/>
        </w:rPr>
        <w:t xml:space="preserve"> uncover</w:t>
      </w:r>
      <w:r w:rsidR="00F64F96" w:rsidRPr="00F153F6">
        <w:rPr>
          <w:rFonts w:ascii="Times New Roman" w:eastAsiaTheme="minorEastAsia" w:hAnsi="Times New Roman" w:cs="Times New Roman"/>
          <w:sz w:val="24"/>
          <w:szCs w:val="24"/>
        </w:rPr>
        <w:t>ing</w:t>
      </w:r>
      <w:r w:rsidR="00FD66D5" w:rsidRPr="00F153F6">
        <w:rPr>
          <w:rFonts w:ascii="Times New Roman" w:eastAsiaTheme="minorEastAsia" w:hAnsi="Times New Roman" w:cs="Times New Roman"/>
          <w:sz w:val="24"/>
          <w:szCs w:val="24"/>
        </w:rPr>
        <w:t xml:space="preserve"> an interaction between knowledge-oriented practice and project</w:t>
      </w:r>
      <w:r w:rsidR="000F78E8" w:rsidRPr="00F153F6">
        <w:rPr>
          <w:rFonts w:ascii="Times New Roman" w:eastAsiaTheme="minorEastAsia" w:hAnsi="Times New Roman" w:cs="Times New Roman"/>
          <w:sz w:val="24"/>
          <w:szCs w:val="24"/>
        </w:rPr>
        <w:t xml:space="preserve"> coordination</w:t>
      </w:r>
      <w:r w:rsidR="00FD66D5" w:rsidRPr="00F153F6">
        <w:rPr>
          <w:rFonts w:ascii="Times New Roman" w:eastAsiaTheme="minorEastAsia" w:hAnsi="Times New Roman" w:cs="Times New Roman"/>
          <w:sz w:val="24"/>
          <w:szCs w:val="24"/>
        </w:rPr>
        <w:t xml:space="preserve">-oriented practice, which </w:t>
      </w:r>
      <w:r w:rsidR="002B34B6" w:rsidRPr="00F153F6">
        <w:rPr>
          <w:rFonts w:ascii="Times New Roman" w:eastAsiaTheme="minorEastAsia" w:hAnsi="Times New Roman" w:cs="Times New Roman"/>
          <w:sz w:val="24"/>
          <w:szCs w:val="24"/>
        </w:rPr>
        <w:t>provides evidence on</w:t>
      </w:r>
      <w:r w:rsidR="00FD66D5" w:rsidRPr="00F153F6">
        <w:rPr>
          <w:rFonts w:ascii="Times New Roman" w:eastAsiaTheme="minorEastAsia" w:hAnsi="Times New Roman" w:cs="Times New Roman"/>
          <w:sz w:val="24"/>
          <w:szCs w:val="24"/>
        </w:rPr>
        <w:t xml:space="preserve"> the</w:t>
      </w:r>
      <w:r w:rsidR="00206572" w:rsidRPr="00F153F6">
        <w:rPr>
          <w:rFonts w:ascii="Times New Roman" w:eastAsiaTheme="minorEastAsia" w:hAnsi="Times New Roman" w:cs="Times New Roman"/>
          <w:sz w:val="24"/>
          <w:szCs w:val="24"/>
        </w:rPr>
        <w:t xml:space="preserve"> aforementioned</w:t>
      </w:r>
      <w:r w:rsidR="00FD66D5" w:rsidRPr="00F153F6">
        <w:rPr>
          <w:rFonts w:ascii="Times New Roman" w:eastAsiaTheme="minorEastAsia" w:hAnsi="Times New Roman" w:cs="Times New Roman"/>
          <w:sz w:val="24"/>
          <w:szCs w:val="24"/>
        </w:rPr>
        <w:t xml:space="preserve"> gap </w:t>
      </w:r>
      <w:r w:rsidR="002B34B6" w:rsidRPr="00F153F6">
        <w:rPr>
          <w:rFonts w:ascii="Times New Roman" w:eastAsiaTheme="minorEastAsia" w:hAnsi="Times New Roman" w:cs="Times New Roman"/>
          <w:sz w:val="24"/>
          <w:szCs w:val="24"/>
        </w:rPr>
        <w:t>by contributing</w:t>
      </w:r>
      <w:r w:rsidR="00FD66D5" w:rsidRPr="00F153F6">
        <w:rPr>
          <w:rFonts w:ascii="Times New Roman" w:eastAsiaTheme="minorEastAsia" w:hAnsi="Times New Roman" w:cs="Times New Roman"/>
          <w:sz w:val="24"/>
          <w:szCs w:val="24"/>
        </w:rPr>
        <w:t xml:space="preserve"> to the </w:t>
      </w:r>
      <w:r w:rsidR="002B34B6" w:rsidRPr="00F153F6">
        <w:rPr>
          <w:rFonts w:ascii="Times New Roman" w:eastAsiaTheme="minorEastAsia" w:hAnsi="Times New Roman" w:cs="Times New Roman"/>
          <w:sz w:val="24"/>
          <w:szCs w:val="24"/>
        </w:rPr>
        <w:t>integration</w:t>
      </w:r>
      <w:r w:rsidR="00206572" w:rsidRPr="00F153F6">
        <w:rPr>
          <w:rFonts w:ascii="Times New Roman" w:eastAsiaTheme="minorEastAsia" w:hAnsi="Times New Roman" w:cs="Times New Roman"/>
          <w:sz w:val="24"/>
          <w:szCs w:val="24"/>
        </w:rPr>
        <w:t xml:space="preserve"> of project </w:t>
      </w:r>
      <w:r w:rsidR="000F78E8" w:rsidRPr="00F153F6">
        <w:rPr>
          <w:rFonts w:ascii="Times New Roman" w:eastAsiaTheme="minorEastAsia" w:hAnsi="Times New Roman" w:cs="Times New Roman"/>
          <w:sz w:val="24"/>
          <w:szCs w:val="24"/>
        </w:rPr>
        <w:t>coordination</w:t>
      </w:r>
      <w:r w:rsidR="00206572" w:rsidRPr="00F153F6">
        <w:rPr>
          <w:rFonts w:ascii="Times New Roman" w:eastAsiaTheme="minorEastAsia" w:hAnsi="Times New Roman" w:cs="Times New Roman"/>
          <w:sz w:val="24"/>
          <w:szCs w:val="24"/>
        </w:rPr>
        <w:t xml:space="preserve"> and knowledge management in temporal environment</w:t>
      </w:r>
      <w:r w:rsidR="00C317B8" w:rsidRPr="00F153F6">
        <w:rPr>
          <w:rFonts w:ascii="Times New Roman" w:eastAsiaTheme="minorEastAsia" w:hAnsi="Times New Roman" w:cs="Times New Roman"/>
          <w:sz w:val="24"/>
          <w:szCs w:val="24"/>
        </w:rPr>
        <w:t>s</w:t>
      </w:r>
      <w:r w:rsidR="00206572" w:rsidRPr="00F153F6">
        <w:rPr>
          <w:rFonts w:ascii="Times New Roman" w:eastAsiaTheme="minorEastAsia" w:hAnsi="Times New Roman" w:cs="Times New Roman"/>
          <w:sz w:val="24"/>
          <w:szCs w:val="24"/>
        </w:rPr>
        <w:t>.</w:t>
      </w:r>
      <w:r w:rsidR="00FD66D5" w:rsidRPr="00F153F6">
        <w:rPr>
          <w:rFonts w:ascii="Times New Roman" w:eastAsiaTheme="minorEastAsia" w:hAnsi="Times New Roman" w:cs="Times New Roman"/>
          <w:sz w:val="24"/>
          <w:szCs w:val="24"/>
        </w:rPr>
        <w:t xml:space="preserve"> </w:t>
      </w:r>
      <w:r w:rsidR="008B5B41" w:rsidRPr="00F153F6">
        <w:rPr>
          <w:rFonts w:ascii="Times New Roman" w:eastAsiaTheme="minorEastAsia" w:hAnsi="Times New Roman" w:cs="Times New Roman"/>
          <w:sz w:val="24"/>
          <w:szCs w:val="24"/>
        </w:rPr>
        <w:t xml:space="preserve"> </w:t>
      </w:r>
    </w:p>
    <w:p w14:paraId="42334870" w14:textId="67AA47A9" w:rsidR="009763EB" w:rsidRPr="00F153F6" w:rsidRDefault="00F64F96" w:rsidP="00AF52E7">
      <w:pPr>
        <w:spacing w:line="360" w:lineRule="auto"/>
        <w:jc w:val="both"/>
        <w:rPr>
          <w:rFonts w:ascii="Times New Roman" w:eastAsiaTheme="minorEastAsia" w:hAnsi="Times New Roman" w:cs="Times New Roman"/>
          <w:sz w:val="24"/>
          <w:szCs w:val="24"/>
        </w:rPr>
      </w:pPr>
      <w:r w:rsidRPr="00F153F6">
        <w:rPr>
          <w:rFonts w:ascii="Times New Roman" w:eastAsiaTheme="minorEastAsia" w:hAnsi="Times New Roman" w:cs="Times New Roman"/>
          <w:sz w:val="24"/>
          <w:szCs w:val="24"/>
        </w:rPr>
        <w:t>In addition, t</w:t>
      </w:r>
      <w:r w:rsidR="008B5B41" w:rsidRPr="00F153F6">
        <w:rPr>
          <w:rFonts w:ascii="Times New Roman" w:eastAsiaTheme="minorEastAsia" w:hAnsi="Times New Roman" w:cs="Times New Roman"/>
          <w:sz w:val="24"/>
          <w:szCs w:val="24"/>
        </w:rPr>
        <w:t xml:space="preserve">he present study shows that </w:t>
      </w:r>
      <w:r w:rsidRPr="00F153F6">
        <w:rPr>
          <w:rFonts w:ascii="Times New Roman" w:eastAsiaTheme="minorEastAsia" w:hAnsi="Times New Roman" w:cs="Times New Roman"/>
          <w:sz w:val="24"/>
          <w:szCs w:val="24"/>
        </w:rPr>
        <w:t xml:space="preserve">such interaction occurs in different project stages and </w:t>
      </w:r>
      <w:r w:rsidR="00A9747A" w:rsidRPr="00F153F6">
        <w:rPr>
          <w:rFonts w:ascii="Times New Roman" w:eastAsiaTheme="minorEastAsia" w:hAnsi="Times New Roman" w:cs="Times New Roman"/>
          <w:sz w:val="24"/>
          <w:szCs w:val="24"/>
        </w:rPr>
        <w:t>the activities within each</w:t>
      </w:r>
      <w:r w:rsidR="008B5B41" w:rsidRPr="00F153F6">
        <w:rPr>
          <w:rFonts w:ascii="Times New Roman" w:eastAsiaTheme="minorEastAsia" w:hAnsi="Times New Roman" w:cs="Times New Roman"/>
          <w:sz w:val="24"/>
          <w:szCs w:val="24"/>
        </w:rPr>
        <w:t xml:space="preserve"> project-oriented coordinating knowledgeability change across </w:t>
      </w:r>
      <w:r w:rsidR="008B5B41" w:rsidRPr="00F153F6">
        <w:rPr>
          <w:rFonts w:ascii="Times New Roman" w:eastAsiaTheme="minorEastAsia" w:hAnsi="Times New Roman" w:cs="Times New Roman"/>
          <w:sz w:val="24"/>
          <w:szCs w:val="24"/>
        </w:rPr>
        <w:lastRenderedPageBreak/>
        <w:t>different stage</w:t>
      </w:r>
      <w:r w:rsidR="00C317B8" w:rsidRPr="00F153F6">
        <w:rPr>
          <w:rFonts w:ascii="Times New Roman" w:eastAsiaTheme="minorEastAsia" w:hAnsi="Times New Roman" w:cs="Times New Roman"/>
          <w:sz w:val="24"/>
          <w:szCs w:val="24"/>
        </w:rPr>
        <w:t>s</w:t>
      </w:r>
      <w:r w:rsidR="00A9747A" w:rsidRPr="00F153F6">
        <w:rPr>
          <w:rFonts w:ascii="Times New Roman" w:eastAsiaTheme="minorEastAsia" w:hAnsi="Times New Roman" w:cs="Times New Roman"/>
          <w:sz w:val="24"/>
          <w:szCs w:val="24"/>
        </w:rPr>
        <w:t xml:space="preserve"> as well as the actualisation of ICT affordances/</w:t>
      </w:r>
      <w:r w:rsidR="00B4798E" w:rsidRPr="00F153F6">
        <w:rPr>
          <w:rFonts w:ascii="Times New Roman" w:eastAsiaTheme="minorEastAsia" w:hAnsi="Times New Roman" w:cs="Times New Roman"/>
          <w:sz w:val="24"/>
          <w:szCs w:val="24"/>
        </w:rPr>
        <w:t>constraints</w:t>
      </w:r>
      <w:r w:rsidR="00865FFB" w:rsidRPr="00F153F6">
        <w:rPr>
          <w:rFonts w:ascii="Times New Roman" w:eastAsiaTheme="minorEastAsia" w:hAnsi="Times New Roman" w:cs="Times New Roman"/>
          <w:sz w:val="24"/>
          <w:szCs w:val="24"/>
        </w:rPr>
        <w:t xml:space="preserve"> towards a co-evolution</w:t>
      </w:r>
      <w:r w:rsidR="008B5B41" w:rsidRPr="00F153F6">
        <w:rPr>
          <w:rFonts w:ascii="Times New Roman" w:eastAsiaTheme="minorEastAsia" w:hAnsi="Times New Roman" w:cs="Times New Roman"/>
          <w:sz w:val="24"/>
          <w:szCs w:val="24"/>
        </w:rPr>
        <w:t>.</w:t>
      </w:r>
      <w:r w:rsidR="00865FFB" w:rsidRPr="00F153F6">
        <w:rPr>
          <w:rFonts w:ascii="Times New Roman" w:eastAsiaTheme="minorEastAsia" w:hAnsi="Times New Roman" w:cs="Times New Roman"/>
          <w:sz w:val="24"/>
          <w:szCs w:val="24"/>
        </w:rPr>
        <w:t xml:space="preserve"> </w:t>
      </w:r>
      <w:r w:rsidR="00C463C4" w:rsidRPr="00F153F6">
        <w:rPr>
          <w:rFonts w:ascii="Times New Roman" w:eastAsiaTheme="minorEastAsia" w:hAnsi="Times New Roman" w:cs="Times New Roman"/>
          <w:sz w:val="24"/>
          <w:szCs w:val="24"/>
        </w:rPr>
        <w:t xml:space="preserve">This has implications on knowledge work from a temporal organising perspective </w:t>
      </w:r>
      <w:r w:rsidR="00C463C4" w:rsidRPr="00F153F6">
        <w:rPr>
          <w:rFonts w:ascii="Times New Roman" w:eastAsiaTheme="minorEastAsia" w:hAnsi="Times New Roman" w:cs="Times New Roman"/>
          <w:sz w:val="24"/>
          <w:szCs w:val="24"/>
        </w:rPr>
        <w:fldChar w:fldCharType="begin"/>
      </w:r>
      <w:r w:rsidR="00C463C4" w:rsidRPr="00F153F6">
        <w:rPr>
          <w:rFonts w:ascii="Times New Roman" w:eastAsiaTheme="minorEastAsia" w:hAnsi="Times New Roman" w:cs="Times New Roman"/>
          <w:sz w:val="24"/>
          <w:szCs w:val="24"/>
        </w:rPr>
        <w:instrText xml:space="preserve"> ADDIN ZOTERO_ITEM CSL_CITATION {"citationID":"dgqFQrHI","properties":{"formattedCitation":"(Bakker et al., 2016)","plainCitation":"(Bakker et al., 2016)","noteIndex":0},"citationItems":[{"id":10535,"uris":["http://zotero.org/users/5709166/items/F8GH8EKX"],"itemData":{"id":10535,"type":"article-journal","abstract":"Temporary organizing is introduced as process, form and perspective. Then key challenges and opportunities in the study of temporary organizing are discussed, including methodological issues, how to theorize time, and how to relate the temporary to the more permanent. This introductory article concludes with an overview of the special issue.","container-title":"Organization Studies","language":"en","source":"Zotero","title":"Temporary Organizing: Promises, Processes, Problems","author":[{"family":"Bakker","given":"Rene M"},{"family":"DeFillippi","given":"Robert J"},{"family":"Schwab","given":"Andreas"},{"family":"Sydow","given":"Jörg"}],"issued":{"date-parts":[["2016"]]}}}],"schema":"https://github.com/citation-style-language/schema/raw/master/csl-citation.json"} </w:instrText>
      </w:r>
      <w:r w:rsidR="00C463C4" w:rsidRPr="00F153F6">
        <w:rPr>
          <w:rFonts w:ascii="Times New Roman" w:eastAsiaTheme="minorEastAsia" w:hAnsi="Times New Roman" w:cs="Times New Roman"/>
          <w:sz w:val="24"/>
          <w:szCs w:val="24"/>
        </w:rPr>
        <w:fldChar w:fldCharType="separate"/>
      </w:r>
      <w:r w:rsidR="00C463C4" w:rsidRPr="00F153F6">
        <w:rPr>
          <w:rFonts w:ascii="Times New Roman" w:hAnsi="Times New Roman" w:cs="Times New Roman"/>
          <w:sz w:val="24"/>
          <w:szCs w:val="24"/>
        </w:rPr>
        <w:t>(Bakker et al., 2016)</w:t>
      </w:r>
      <w:r w:rsidR="00C463C4" w:rsidRPr="00F153F6">
        <w:rPr>
          <w:rFonts w:ascii="Times New Roman" w:eastAsiaTheme="minorEastAsia" w:hAnsi="Times New Roman" w:cs="Times New Roman"/>
          <w:sz w:val="24"/>
          <w:szCs w:val="24"/>
        </w:rPr>
        <w:fldChar w:fldCharType="end"/>
      </w:r>
      <w:r w:rsidR="00C463C4" w:rsidRPr="00F153F6">
        <w:rPr>
          <w:rFonts w:ascii="Times New Roman" w:eastAsiaTheme="minorEastAsia" w:hAnsi="Times New Roman" w:cs="Times New Roman"/>
          <w:sz w:val="24"/>
          <w:szCs w:val="24"/>
        </w:rPr>
        <w:t xml:space="preserve"> that ICT-based knowledge management and project </w:t>
      </w:r>
      <w:r w:rsidR="000F78E8" w:rsidRPr="00F153F6">
        <w:rPr>
          <w:rFonts w:ascii="Times New Roman" w:eastAsiaTheme="minorEastAsia" w:hAnsi="Times New Roman" w:cs="Times New Roman"/>
          <w:sz w:val="24"/>
          <w:szCs w:val="24"/>
        </w:rPr>
        <w:t>coordination</w:t>
      </w:r>
      <w:r w:rsidR="00C463C4" w:rsidRPr="00F153F6">
        <w:rPr>
          <w:rFonts w:ascii="Times New Roman" w:eastAsiaTheme="minorEastAsia" w:hAnsi="Times New Roman" w:cs="Times New Roman"/>
          <w:sz w:val="24"/>
          <w:szCs w:val="24"/>
        </w:rPr>
        <w:t xml:space="preserve"> are intertwined in temporal context</w:t>
      </w:r>
      <w:r w:rsidR="00C317B8" w:rsidRPr="00F153F6">
        <w:rPr>
          <w:rFonts w:ascii="Times New Roman" w:eastAsiaTheme="minorEastAsia" w:hAnsi="Times New Roman" w:cs="Times New Roman"/>
          <w:sz w:val="24"/>
          <w:szCs w:val="24"/>
        </w:rPr>
        <w:t>s</w:t>
      </w:r>
      <w:r w:rsidR="00C463C4" w:rsidRPr="00F153F6">
        <w:rPr>
          <w:rFonts w:ascii="Times New Roman" w:eastAsiaTheme="minorEastAsia" w:hAnsi="Times New Roman" w:cs="Times New Roman"/>
          <w:sz w:val="24"/>
          <w:szCs w:val="24"/>
        </w:rPr>
        <w:t xml:space="preserve"> within which they shape each other so that they moves the project going forward. Further, t</w:t>
      </w:r>
      <w:r w:rsidR="00865FFB" w:rsidRPr="00F153F6">
        <w:rPr>
          <w:rFonts w:ascii="Times New Roman" w:eastAsiaTheme="minorEastAsia" w:hAnsi="Times New Roman" w:cs="Times New Roman"/>
          <w:sz w:val="24"/>
          <w:szCs w:val="24"/>
        </w:rPr>
        <w:t xml:space="preserve">his extends existing </w:t>
      </w:r>
      <w:r w:rsidR="00C317B8" w:rsidRPr="00F153F6">
        <w:rPr>
          <w:rFonts w:ascii="Times New Roman" w:eastAsiaTheme="minorEastAsia" w:hAnsi="Times New Roman" w:cs="Times New Roman"/>
          <w:sz w:val="24"/>
          <w:szCs w:val="24"/>
        </w:rPr>
        <w:t xml:space="preserve">studies of </w:t>
      </w:r>
      <w:r w:rsidR="00865FFB" w:rsidRPr="00F153F6">
        <w:rPr>
          <w:rFonts w:ascii="Times New Roman" w:eastAsiaTheme="minorEastAsia" w:hAnsi="Times New Roman" w:cs="Times New Roman"/>
          <w:sz w:val="24"/>
          <w:szCs w:val="24"/>
        </w:rPr>
        <w:t>the interaction dynamics that foreground knowledge, ICT, and project</w:t>
      </w:r>
      <w:r w:rsidR="000F78E8" w:rsidRPr="00F153F6">
        <w:rPr>
          <w:rFonts w:ascii="Times New Roman" w:eastAsiaTheme="minorEastAsia" w:hAnsi="Times New Roman" w:cs="Times New Roman"/>
          <w:sz w:val="24"/>
          <w:szCs w:val="24"/>
        </w:rPr>
        <w:t xml:space="preserve"> </w:t>
      </w:r>
      <w:r w:rsidR="002D694E" w:rsidRPr="00F153F6">
        <w:rPr>
          <w:rFonts w:ascii="Times New Roman" w:eastAsiaTheme="minorEastAsia" w:hAnsi="Times New Roman" w:cs="Times New Roman"/>
          <w:sz w:val="24"/>
          <w:szCs w:val="24"/>
        </w:rPr>
        <w:t xml:space="preserve">context in the ICT-based inter-organisational knowledge exchange practice </w:t>
      </w:r>
      <w:r w:rsidR="00865FFB" w:rsidRPr="00F153F6">
        <w:rPr>
          <w:rFonts w:ascii="Times New Roman" w:eastAsiaTheme="minorEastAsia" w:hAnsi="Times New Roman" w:cs="Times New Roman"/>
          <w:sz w:val="24"/>
          <w:szCs w:val="24"/>
        </w:rPr>
        <w:t xml:space="preserve">and uncovers their </w:t>
      </w:r>
      <w:r w:rsidR="00F4778A" w:rsidRPr="00F153F6">
        <w:rPr>
          <w:rFonts w:ascii="Times New Roman" w:eastAsiaTheme="minorEastAsia" w:hAnsi="Times New Roman" w:cs="Times New Roman"/>
          <w:sz w:val="24"/>
          <w:szCs w:val="24"/>
        </w:rPr>
        <w:t>evolving</w:t>
      </w:r>
      <w:r w:rsidR="00865FFB" w:rsidRPr="00F153F6">
        <w:rPr>
          <w:rFonts w:ascii="Times New Roman" w:eastAsiaTheme="minorEastAsia" w:hAnsi="Times New Roman" w:cs="Times New Roman"/>
          <w:sz w:val="24"/>
          <w:szCs w:val="24"/>
        </w:rPr>
        <w:t xml:space="preserve"> relationships over time.</w:t>
      </w:r>
      <w:r w:rsidR="00DB412E" w:rsidRPr="00F153F6">
        <w:rPr>
          <w:rFonts w:ascii="Times New Roman" w:eastAsiaTheme="minorEastAsia" w:hAnsi="Times New Roman" w:cs="Times New Roman"/>
          <w:sz w:val="24"/>
          <w:szCs w:val="24"/>
        </w:rPr>
        <w:t xml:space="preserve"> </w:t>
      </w:r>
      <w:r w:rsidR="00865FFB" w:rsidRPr="00F153F6">
        <w:rPr>
          <w:rFonts w:ascii="Times New Roman" w:eastAsiaTheme="minorEastAsia" w:hAnsi="Times New Roman" w:cs="Times New Roman"/>
          <w:sz w:val="24"/>
          <w:szCs w:val="24"/>
        </w:rPr>
        <w:t xml:space="preserve">For example, </w:t>
      </w:r>
      <w:r w:rsidR="000D3395" w:rsidRPr="00F153F6">
        <w:rPr>
          <w:rFonts w:ascii="Times New Roman" w:eastAsiaTheme="minorEastAsia" w:hAnsi="Times New Roman" w:cs="Times New Roman"/>
          <w:sz w:val="24"/>
          <w:szCs w:val="24"/>
        </w:rPr>
        <w:t xml:space="preserve">Li et al. </w:t>
      </w:r>
      <w:r w:rsidR="000D3395" w:rsidRPr="00F153F6">
        <w:rPr>
          <w:rFonts w:ascii="Times New Roman" w:eastAsiaTheme="minorEastAsia" w:hAnsi="Times New Roman" w:cs="Times New Roman"/>
          <w:sz w:val="24"/>
          <w:szCs w:val="24"/>
        </w:rPr>
        <w:fldChar w:fldCharType="begin"/>
      </w:r>
      <w:r w:rsidR="000D3395" w:rsidRPr="00F153F6">
        <w:rPr>
          <w:rFonts w:ascii="Times New Roman" w:eastAsiaTheme="minorEastAsia" w:hAnsi="Times New Roman" w:cs="Times New Roman"/>
          <w:sz w:val="24"/>
          <w:szCs w:val="24"/>
        </w:rPr>
        <w:instrText xml:space="preserve"> ADDIN ZOTERO_ITEM CSL_CITATION {"citationID":"OHK2q92B","properties":{"formattedCitation":"(2023)","plainCitation":"(2023)","noteIndex":0},"citationItems":[{"id":10531,"uris":["http://zotero.org/users/5709166/items/3EK2EZM8"],"itemData":{"id":10531,"type":"article-journal","abstract":"Purpose: This study aims to illuminate the currently poorly understood inflow of knowledge originating from project managers across the value chain of construction projects. The primary purpose is to identify the domains of knowledge that project managers need to share in their management activities, the skills they need to develop in their sharing practices, and how these relate to each other across different phases of a construction project.","container-title":"Journal of Knowledge Management","DOI":"10.1108/JKM-06-2021-0455","ISSN":"1367-3270, 1367-3270","issue":"2","journalAbbreviation":"JKM","language":"en","page":"328-355","source":"DOI.org (Crossref)","title":"Knowledge sharing in project work: the dynamic interplay of knowledge domains and skills","title-short":"Knowledge sharing in project work","volume":"27","author":[{"family":"Li","given":"Shuyang"},{"family":"Martins","given":"Jorge Tiago"},{"family":"Vasconcelos","given":"Ana Cristina"},{"family":"Peng","given":"Guochao"}],"issued":{"date-parts":[["2023",2,1]]}},"label":"page","suppress-author":true}],"schema":"https://github.com/citation-style-language/schema/raw/master/csl-citation.json"} </w:instrText>
      </w:r>
      <w:r w:rsidR="000D3395" w:rsidRPr="00F153F6">
        <w:rPr>
          <w:rFonts w:ascii="Times New Roman" w:eastAsiaTheme="minorEastAsia" w:hAnsi="Times New Roman" w:cs="Times New Roman"/>
          <w:sz w:val="24"/>
          <w:szCs w:val="24"/>
        </w:rPr>
        <w:fldChar w:fldCharType="separate"/>
      </w:r>
      <w:r w:rsidR="000D3395" w:rsidRPr="00F153F6">
        <w:rPr>
          <w:rFonts w:ascii="Times New Roman" w:hAnsi="Times New Roman" w:cs="Times New Roman"/>
          <w:sz w:val="24"/>
          <w:szCs w:val="24"/>
        </w:rPr>
        <w:t>(2023)</w:t>
      </w:r>
      <w:r w:rsidR="000D3395" w:rsidRPr="00F153F6">
        <w:rPr>
          <w:rFonts w:ascii="Times New Roman" w:eastAsiaTheme="minorEastAsia" w:hAnsi="Times New Roman" w:cs="Times New Roman"/>
          <w:sz w:val="24"/>
          <w:szCs w:val="24"/>
        </w:rPr>
        <w:fldChar w:fldCharType="end"/>
      </w:r>
      <w:r w:rsidR="000D3395" w:rsidRPr="00F153F6">
        <w:rPr>
          <w:rFonts w:ascii="Times New Roman" w:eastAsiaTheme="minorEastAsia" w:hAnsi="Times New Roman" w:cs="Times New Roman"/>
          <w:sz w:val="24"/>
          <w:szCs w:val="24"/>
        </w:rPr>
        <w:t xml:space="preserve"> argue that a project environment provides distinct temporal stages such as conceptualisation and design stage where different knowledge domains and skills are dynamically formulated and shared, but </w:t>
      </w:r>
      <w:r w:rsidR="000F78E8" w:rsidRPr="00F153F6">
        <w:rPr>
          <w:rFonts w:ascii="Times New Roman" w:eastAsiaTheme="minorEastAsia" w:hAnsi="Times New Roman" w:cs="Times New Roman"/>
          <w:sz w:val="24"/>
          <w:szCs w:val="24"/>
        </w:rPr>
        <w:t xml:space="preserve">there is limited evidence to explain </w:t>
      </w:r>
      <w:r w:rsidR="000D3395" w:rsidRPr="00F153F6">
        <w:rPr>
          <w:rFonts w:ascii="Times New Roman" w:eastAsiaTheme="minorEastAsia" w:hAnsi="Times New Roman" w:cs="Times New Roman"/>
          <w:sz w:val="24"/>
          <w:szCs w:val="24"/>
        </w:rPr>
        <w:t>how knowledge and project management interact at each distinct stage.</w:t>
      </w:r>
      <w:r w:rsidR="00C463C4" w:rsidRPr="00F153F6">
        <w:rPr>
          <w:rFonts w:ascii="Times New Roman" w:eastAsiaTheme="minorEastAsia" w:hAnsi="Times New Roman" w:cs="Times New Roman"/>
          <w:sz w:val="24"/>
          <w:szCs w:val="24"/>
        </w:rPr>
        <w:t xml:space="preserve"> Similarly,</w:t>
      </w:r>
      <w:r w:rsidR="000D3395" w:rsidRPr="00F153F6">
        <w:rPr>
          <w:rFonts w:ascii="Times New Roman" w:eastAsiaTheme="minorEastAsia" w:hAnsi="Times New Roman" w:cs="Times New Roman"/>
          <w:sz w:val="24"/>
          <w:szCs w:val="24"/>
        </w:rPr>
        <w:t xml:space="preserve"> </w:t>
      </w:r>
      <w:r w:rsidR="00865FFB" w:rsidRPr="00F153F6">
        <w:rPr>
          <w:rFonts w:ascii="Times New Roman" w:eastAsiaTheme="minorEastAsia" w:hAnsi="Times New Roman" w:cs="Times New Roman"/>
          <w:sz w:val="24"/>
          <w:szCs w:val="24"/>
        </w:rPr>
        <w:t xml:space="preserve">Yeong &amp; Lim </w:t>
      </w:r>
      <w:r w:rsidR="00865FFB" w:rsidRPr="00F153F6">
        <w:rPr>
          <w:rFonts w:ascii="Times New Roman" w:eastAsiaTheme="minorEastAsia" w:hAnsi="Times New Roman" w:cs="Times New Roman"/>
          <w:sz w:val="24"/>
          <w:szCs w:val="24"/>
        </w:rPr>
        <w:fldChar w:fldCharType="begin"/>
      </w:r>
      <w:r w:rsidR="00865FFB" w:rsidRPr="00F153F6">
        <w:rPr>
          <w:rFonts w:ascii="Times New Roman" w:eastAsiaTheme="minorEastAsia" w:hAnsi="Times New Roman" w:cs="Times New Roman"/>
          <w:sz w:val="24"/>
          <w:szCs w:val="24"/>
        </w:rPr>
        <w:instrText xml:space="preserve"> ADDIN ZOTERO_ITEM CSL_CITATION {"citationID":"LowkSRFl","properties":{"formattedCitation":"(2010)","plainCitation":"(2010)","noteIndex":0},"citationItems":[{"id":10273,"uris":["http://zotero.org/users/5709166/items/PLKLIL96"],"itemData":{"id":10273,"type":"article-journal","abstract":"This paper aims to study the improvement of project success in organizations by integrating knowledge management strategies with project management practices in a typical project lifecycle.&amp;nbsp; According to the Standish Group&amp;rsquo;s Chaos Report for 2009, only 32% of all surveyed projects are considered to be successful and are delivered on time, on budget, with the required features and functions. This could be an indication that project management practitioners have not fully acquired and transferred knowledge learned from past projects to ensure a higher success rate for current and future projects.&amp;nbsp; Knowledge management is an emerging discipline and practice in organizations. This paper proposes an integrated model that combines knowledge management with project management to improve project success and thus contribute towards competitiveness and sustainability in organizations. &amp;nbsp;","container-title":"Journal of Project, Program &amp; Portfolio Management","DOI":"10.5130/pppm.v1i2.1735","ISSN":"1838-7845","issue":"2","language":"en","license":"Copyright (c)","note":"number: 2","page":"8-19","source":"epress.lib.uts.edu.au","title":"Integrating knowledge management with project management for project success","volume":"1","author":[{"family":"Yeong","given":"Anthony"},{"family":"Lim","given":"Thou Tin"}],"issued":{"date-parts":[["2010"]]}},"label":"page","suppress-author":true}],"schema":"https://github.com/citation-style-language/schema/raw/master/csl-citation.json"} </w:instrText>
      </w:r>
      <w:r w:rsidR="00865FFB" w:rsidRPr="00F153F6">
        <w:rPr>
          <w:rFonts w:ascii="Times New Roman" w:eastAsiaTheme="minorEastAsia" w:hAnsi="Times New Roman" w:cs="Times New Roman"/>
          <w:sz w:val="24"/>
          <w:szCs w:val="24"/>
        </w:rPr>
        <w:fldChar w:fldCharType="separate"/>
      </w:r>
      <w:r w:rsidR="00865FFB" w:rsidRPr="00F153F6">
        <w:rPr>
          <w:rFonts w:ascii="Times New Roman" w:hAnsi="Times New Roman" w:cs="Times New Roman"/>
          <w:sz w:val="24"/>
          <w:szCs w:val="24"/>
        </w:rPr>
        <w:t>(2010)</w:t>
      </w:r>
      <w:r w:rsidR="00865FFB" w:rsidRPr="00F153F6">
        <w:rPr>
          <w:rFonts w:ascii="Times New Roman" w:eastAsiaTheme="minorEastAsia" w:hAnsi="Times New Roman" w:cs="Times New Roman"/>
          <w:sz w:val="24"/>
          <w:szCs w:val="24"/>
        </w:rPr>
        <w:fldChar w:fldCharType="end"/>
      </w:r>
      <w:r w:rsidR="00865FFB" w:rsidRPr="00F153F6">
        <w:rPr>
          <w:rFonts w:ascii="Times New Roman" w:eastAsiaTheme="minorEastAsia" w:hAnsi="Times New Roman" w:cs="Times New Roman"/>
          <w:sz w:val="24"/>
          <w:szCs w:val="24"/>
        </w:rPr>
        <w:t xml:space="preserve"> </w:t>
      </w:r>
      <w:r w:rsidR="00C463C4" w:rsidRPr="00F153F6">
        <w:rPr>
          <w:rFonts w:ascii="Times New Roman" w:eastAsiaTheme="minorEastAsia" w:hAnsi="Times New Roman" w:cs="Times New Roman"/>
          <w:sz w:val="24"/>
          <w:szCs w:val="24"/>
        </w:rPr>
        <w:t>state</w:t>
      </w:r>
      <w:r w:rsidR="00865FFB" w:rsidRPr="00F153F6">
        <w:rPr>
          <w:rFonts w:ascii="Times New Roman" w:eastAsiaTheme="minorEastAsia" w:hAnsi="Times New Roman" w:cs="Times New Roman"/>
          <w:sz w:val="24"/>
          <w:szCs w:val="24"/>
        </w:rPr>
        <w:t xml:space="preserve"> that knowledge management and project management have an interactive relationship in their nature (e.g., continuous feedback and alignment), in the condition of factors such as ICT and culture, together shape the success of project work. This shows a</w:t>
      </w:r>
      <w:r w:rsidR="000D3395" w:rsidRPr="00F153F6">
        <w:rPr>
          <w:rFonts w:ascii="Times New Roman" w:eastAsiaTheme="minorEastAsia" w:hAnsi="Times New Roman" w:cs="Times New Roman"/>
          <w:sz w:val="24"/>
          <w:szCs w:val="24"/>
        </w:rPr>
        <w:t>n interesting</w:t>
      </w:r>
      <w:r w:rsidR="00865FFB" w:rsidRPr="00F153F6">
        <w:rPr>
          <w:rFonts w:ascii="Times New Roman" w:eastAsiaTheme="minorEastAsia" w:hAnsi="Times New Roman" w:cs="Times New Roman"/>
          <w:sz w:val="24"/>
          <w:szCs w:val="24"/>
        </w:rPr>
        <w:t xml:space="preserve"> </w:t>
      </w:r>
      <w:r w:rsidR="000D3395" w:rsidRPr="00F153F6">
        <w:rPr>
          <w:rFonts w:ascii="Times New Roman" w:eastAsiaTheme="minorEastAsia" w:hAnsi="Times New Roman" w:cs="Times New Roman"/>
          <w:sz w:val="24"/>
          <w:szCs w:val="24"/>
        </w:rPr>
        <w:t>interaction</w:t>
      </w:r>
      <w:r w:rsidR="00865FFB" w:rsidRPr="00F153F6">
        <w:rPr>
          <w:rFonts w:ascii="Times New Roman" w:eastAsiaTheme="minorEastAsia" w:hAnsi="Times New Roman" w:cs="Times New Roman"/>
          <w:sz w:val="24"/>
          <w:szCs w:val="24"/>
        </w:rPr>
        <w:t xml:space="preserve"> between knowledge and project management but does not show how the relationship may change as </w:t>
      </w:r>
      <w:r w:rsidR="000F78E8" w:rsidRPr="00F153F6">
        <w:rPr>
          <w:rFonts w:ascii="Times New Roman" w:eastAsiaTheme="minorEastAsia" w:hAnsi="Times New Roman" w:cs="Times New Roman"/>
          <w:sz w:val="24"/>
          <w:szCs w:val="24"/>
        </w:rPr>
        <w:t xml:space="preserve">a </w:t>
      </w:r>
      <w:r w:rsidR="00865FFB" w:rsidRPr="00F153F6">
        <w:rPr>
          <w:rFonts w:ascii="Times New Roman" w:eastAsiaTheme="minorEastAsia" w:hAnsi="Times New Roman" w:cs="Times New Roman"/>
          <w:sz w:val="24"/>
          <w:szCs w:val="24"/>
        </w:rPr>
        <w:t xml:space="preserve">project </w:t>
      </w:r>
      <w:r w:rsidR="000F78E8" w:rsidRPr="00F153F6">
        <w:rPr>
          <w:rFonts w:ascii="Times New Roman" w:eastAsiaTheme="minorEastAsia" w:hAnsi="Times New Roman" w:cs="Times New Roman"/>
          <w:sz w:val="24"/>
          <w:szCs w:val="24"/>
        </w:rPr>
        <w:t>moves</w:t>
      </w:r>
      <w:r w:rsidR="00865FFB" w:rsidRPr="00F153F6">
        <w:rPr>
          <w:rFonts w:ascii="Times New Roman" w:eastAsiaTheme="minorEastAsia" w:hAnsi="Times New Roman" w:cs="Times New Roman"/>
          <w:sz w:val="24"/>
          <w:szCs w:val="24"/>
        </w:rPr>
        <w:t xml:space="preserve"> forward. </w:t>
      </w:r>
      <w:r w:rsidR="000D3395" w:rsidRPr="00F153F6">
        <w:rPr>
          <w:rFonts w:ascii="Times New Roman" w:eastAsiaTheme="minorEastAsia" w:hAnsi="Times New Roman" w:cs="Times New Roman"/>
          <w:sz w:val="24"/>
          <w:szCs w:val="24"/>
        </w:rPr>
        <w:t>Therefore, t</w:t>
      </w:r>
      <w:r w:rsidR="00865FFB" w:rsidRPr="00F153F6">
        <w:rPr>
          <w:rFonts w:ascii="Times New Roman" w:eastAsiaTheme="minorEastAsia" w:hAnsi="Times New Roman" w:cs="Times New Roman"/>
          <w:sz w:val="24"/>
          <w:szCs w:val="24"/>
        </w:rPr>
        <w:t xml:space="preserve">he </w:t>
      </w:r>
      <w:r w:rsidR="000D3395" w:rsidRPr="00F153F6">
        <w:rPr>
          <w:rFonts w:ascii="Times New Roman" w:eastAsiaTheme="minorEastAsia" w:hAnsi="Times New Roman" w:cs="Times New Roman"/>
          <w:sz w:val="24"/>
          <w:szCs w:val="24"/>
        </w:rPr>
        <w:t>identified co-evolution framework and their</w:t>
      </w:r>
      <w:r w:rsidR="00C463C4" w:rsidRPr="00F153F6">
        <w:rPr>
          <w:rFonts w:ascii="Times New Roman" w:eastAsiaTheme="minorEastAsia" w:hAnsi="Times New Roman" w:cs="Times New Roman"/>
          <w:sz w:val="24"/>
          <w:szCs w:val="24"/>
        </w:rPr>
        <w:t xml:space="preserve"> three</w:t>
      </w:r>
      <w:r w:rsidR="000D3395" w:rsidRPr="00F153F6">
        <w:rPr>
          <w:rFonts w:ascii="Times New Roman" w:eastAsiaTheme="minorEastAsia" w:hAnsi="Times New Roman" w:cs="Times New Roman"/>
          <w:sz w:val="24"/>
          <w:szCs w:val="24"/>
        </w:rPr>
        <w:t xml:space="preserve"> detailed variations in the present study</w:t>
      </w:r>
      <w:r w:rsidR="00865FFB" w:rsidRPr="00F153F6">
        <w:rPr>
          <w:rFonts w:ascii="Times New Roman" w:eastAsiaTheme="minorEastAsia" w:hAnsi="Times New Roman" w:cs="Times New Roman"/>
          <w:sz w:val="24"/>
          <w:szCs w:val="24"/>
        </w:rPr>
        <w:t xml:space="preserve"> provide new insights to this area</w:t>
      </w:r>
      <w:r w:rsidR="000D3395" w:rsidRPr="00F153F6">
        <w:rPr>
          <w:rFonts w:ascii="Times New Roman" w:eastAsiaTheme="minorEastAsia" w:hAnsi="Times New Roman" w:cs="Times New Roman"/>
          <w:sz w:val="24"/>
          <w:szCs w:val="24"/>
        </w:rPr>
        <w:t xml:space="preserve"> and illuminate future directions in integrating these elements together for deeper investigation.</w:t>
      </w:r>
      <w:r w:rsidR="00865FFB" w:rsidRPr="00F153F6">
        <w:rPr>
          <w:rFonts w:ascii="Times New Roman" w:eastAsiaTheme="minorEastAsia" w:hAnsi="Times New Roman" w:cs="Times New Roman"/>
          <w:sz w:val="24"/>
          <w:szCs w:val="24"/>
        </w:rPr>
        <w:t xml:space="preserve"> </w:t>
      </w:r>
    </w:p>
    <w:p w14:paraId="616C10F6" w14:textId="7545A59E" w:rsidR="00BC4C23" w:rsidRPr="00F153F6" w:rsidRDefault="00BC4C23" w:rsidP="004424B4">
      <w:pPr>
        <w:spacing w:line="360" w:lineRule="auto"/>
        <w:jc w:val="both"/>
        <w:rPr>
          <w:rFonts w:ascii="Times New Roman" w:eastAsiaTheme="minorEastAsia" w:hAnsi="Times New Roman" w:cs="Times New Roman"/>
          <w:lang w:eastAsia="zh-CN"/>
        </w:rPr>
      </w:pPr>
    </w:p>
    <w:p w14:paraId="0067AA5A" w14:textId="77777777" w:rsidR="0015201A" w:rsidRPr="00F153F6" w:rsidRDefault="0015201A" w:rsidP="004424B4">
      <w:pPr>
        <w:spacing w:line="360" w:lineRule="auto"/>
        <w:jc w:val="both"/>
        <w:rPr>
          <w:rFonts w:ascii="Times New Roman" w:eastAsiaTheme="minorEastAsia" w:hAnsi="Times New Roman" w:cs="Times New Roman"/>
        </w:rPr>
      </w:pPr>
      <w:r w:rsidRPr="00F153F6">
        <w:rPr>
          <w:rFonts w:ascii="Times New Roman" w:eastAsiaTheme="minorEastAsia" w:hAnsi="Times New Roman" w:cs="Times New Roman"/>
        </w:rPr>
        <w:br w:type="page"/>
      </w:r>
    </w:p>
    <w:p w14:paraId="4E111A3A" w14:textId="5E6C3741" w:rsidR="0015201A" w:rsidRPr="00F153F6" w:rsidRDefault="0015201A" w:rsidP="004424B4">
      <w:pPr>
        <w:pStyle w:val="Heading1"/>
        <w:spacing w:line="360" w:lineRule="auto"/>
        <w:jc w:val="center"/>
        <w:rPr>
          <w:rFonts w:ascii="Times New Roman" w:hAnsi="Times New Roman" w:cs="Times New Roman"/>
          <w:b w:val="0"/>
          <w:bCs/>
          <w:sz w:val="40"/>
          <w:szCs w:val="40"/>
        </w:rPr>
      </w:pPr>
      <w:bookmarkStart w:id="675" w:name="_Toc133252189"/>
      <w:r w:rsidRPr="00F153F6">
        <w:rPr>
          <w:rFonts w:ascii="Times New Roman" w:hAnsi="Times New Roman" w:cs="Times New Roman"/>
          <w:b w:val="0"/>
          <w:bCs/>
          <w:sz w:val="40"/>
          <w:szCs w:val="40"/>
        </w:rPr>
        <w:lastRenderedPageBreak/>
        <w:t>CHAPTER 6   CONCLUSION</w:t>
      </w:r>
      <w:r w:rsidR="00AD768E" w:rsidRPr="00F153F6">
        <w:rPr>
          <w:rFonts w:ascii="Times New Roman" w:hAnsi="Times New Roman" w:cs="Times New Roman"/>
          <w:b w:val="0"/>
          <w:bCs/>
          <w:sz w:val="40"/>
          <w:szCs w:val="40"/>
        </w:rPr>
        <w:t>S</w:t>
      </w:r>
      <w:bookmarkEnd w:id="675"/>
    </w:p>
    <w:p w14:paraId="007AFF11" w14:textId="4622FBE9" w:rsidR="00985293" w:rsidRPr="00F153F6" w:rsidRDefault="00985293" w:rsidP="004424B4">
      <w:pPr>
        <w:pStyle w:val="Heading2"/>
        <w:spacing w:line="360" w:lineRule="auto"/>
        <w:rPr>
          <w:rFonts w:ascii="Times New Roman" w:hAnsi="Times New Roman" w:cs="Times New Roman"/>
          <w:sz w:val="32"/>
          <w:szCs w:val="32"/>
        </w:rPr>
      </w:pPr>
      <w:bookmarkStart w:id="676" w:name="_Toc133252190"/>
      <w:r w:rsidRPr="00F153F6">
        <w:rPr>
          <w:rFonts w:ascii="Times New Roman" w:hAnsi="Times New Roman" w:cs="Times New Roman"/>
          <w:sz w:val="32"/>
          <w:szCs w:val="32"/>
        </w:rPr>
        <w:t>6.1 Answers to Research Questions</w:t>
      </w:r>
      <w:bookmarkEnd w:id="676"/>
    </w:p>
    <w:p w14:paraId="36C89740" w14:textId="77777777" w:rsidR="00AD768E" w:rsidRPr="00F153F6" w:rsidRDefault="00AD768E" w:rsidP="00AD768E">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IS and Organisation scholars have shown the growing significance of ICT use to support human knowledge work within inter-organisational settings in the digital era. The overall aim of this research was to conceptualise the role of ICT in the shaping of inter-organisational knowledge exchange (IOKE) practice for inter-organisational collaboration. The research questions were set out as:1) What are the characteristics of ICT-based inter-organisational knowledge exchange practice in inter-organisational collaboration? 2) How does ICT facilitate or inhibit inter-organisational knowledge exchange practice in inter-organisational collaboration? 3) How to integrate ICT into an ICT-based inter-organisational knowledge exchange framework for inter-organisational collaboration? By investigating the context of European Living Labs, this research developed a practice lens to explore and explain the shaping of ICT-based IOKE practice, with the support of Sociomateriality Theory and Affordance Theory. In light of the findings, the present research was able to answer these research questions, through a combination of research objectives, as discussed in the ensuing paragraphs.</w:t>
      </w:r>
    </w:p>
    <w:p w14:paraId="485F3131" w14:textId="77777777" w:rsidR="00AD768E" w:rsidRPr="00F153F6" w:rsidRDefault="00AD768E" w:rsidP="00AD768E">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first research objective was to identify the ICT facets that characterise the interorganisational knowledge exchange practice. To achieve this objective, this research has leveraged a practice perspective to fully capture the characteristics of ICT-based IOKE practice. Such practice is characterised by ICT affordances and constraints, knowledgeabilities, and multi-layer contexts. Drawing on a practice lens, actors in ICT-based IOKE practice recurrently develop their knowing in practice. Knowledge is viewed as a human capability that is continuously enacted and accomplished in human knowledgeable practices. ICT mediate such enactment of knowledgeability by affording or constraining distinct human abilities (i.e., actualised ICT affordances/constraints) that allow actors to accomplish their knowledge work or hold them back in terms of engaging in knowledge exchange. ICT-based IOKE practice is also constructed within a multi-layer context: a combination of inter-organisational, intra-organisational, and environmental contexts. This context is not stable nor predetermined but is continuously accomplished and developed as actors immerse themselves in ICT-based IOKE practice. This means, contextual factors such as inter-organisational structure, culture and climate are not only influencing human enactment of human knowledgeabilities and human situated use of ICT, but also recurrently shaped and developed in ICT-based IOKE practice </w:t>
      </w:r>
      <w:r w:rsidRPr="00F153F6">
        <w:rPr>
          <w:rFonts w:ascii="Times New Roman" w:hAnsi="Times New Roman" w:cs="Times New Roman"/>
          <w:sz w:val="24"/>
          <w:szCs w:val="24"/>
        </w:rPr>
        <w:lastRenderedPageBreak/>
        <w:t>over time. Such multi-layer context constitutes the context of European Living Labs and shapes its distinct characteristics such as real life approaches and sustainability. These facets including knowledgeabilities, ICT affordances and constraints, and multi-layer contexts shape the characteristics of ICT-based inter-organisational knowledge exchange practice in inter-organisational collaboration (answering research question 1).</w:t>
      </w:r>
    </w:p>
    <w:p w14:paraId="06EEEE76" w14:textId="77777777" w:rsidR="00AD768E" w:rsidRPr="00F153F6" w:rsidRDefault="00AD768E" w:rsidP="00AD768E">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second research objective was to explore how ICT facilitates or inhibits inter-organisational knowledge exchange practice. To achieve this objective, this research has identified various ICT afforded abilities and constrained abilities that mediate the enactment of diverse human knowledgeabilities. Drawing on the affordance theory, ICT is viewed to have both an enabling nature that makes the work easier to be done and a constraining nature that holds back people from achieving their intended goals. Through the actualisation of different bundles of ICT affordances in situated practice, humans are able to enact their distinct knowledgeability. While experiencing different bundles of ICT constraints in situated practice, humans can encounter different difficulties to develop specific know-how in practice. These actualised ICT affordances or constraints are viewed as various ICT afforded/constrained abilities, which mediate the enactment of diverse knowledgeabilities and accordingly shape the way how ICT mediates (facilitates or inhibits) inter-organisational knowledge exchange practice in inter-organisational collaborations (answering research question 2).   </w:t>
      </w:r>
    </w:p>
    <w:p w14:paraId="3FBD69B9" w14:textId="4E47BBE8" w:rsidR="00985293" w:rsidRPr="00F153F6" w:rsidRDefault="00AD768E" w:rsidP="00AD768E">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The third research objective was to propose an ICT-based inter-organisational knowledge exchange framework for inter-organisational collaboration. To achieve this research objective, this research has identified diverse enacted knowledgeabilities associated with distinct ICT affordances/constraints and proposed four ICT-based IOKE frameworks throughout a project lifecycle. There are three distinguished knowledgeabilities identified in this study: conditional knowledgeability, core knowledgeability, and resulting knowledgeability. The conditional knowledgeability (i.e., inter-connecting) shows people’s know-how to cultivate relationship in inter-organisational collaboration. The core knowledgeability shows people’s know-how to achieve collaboration goals; and the resulting knowledgeability (i.e., co-ordinating) shows people’s know-how to direct project performance. The present study found that core knowledgeabilities vary as the project moves forward, and the patterns of core knowledgeabilities evolve into three different variations in terms of the different project lifecycle stages: shared understanding and interactive commenting are core for the inception stage, expertise accumulating and collaborative problem solving are core for the middle stage, and insights spreading and co-constructing are core </w:t>
      </w:r>
      <w:r w:rsidR="00A761C5" w:rsidRPr="00F153F6">
        <w:rPr>
          <w:rFonts w:ascii="Times New Roman" w:hAnsi="Times New Roman" w:cs="Times New Roman"/>
          <w:sz w:val="24"/>
          <w:szCs w:val="24"/>
        </w:rPr>
        <w:t>for the</w:t>
      </w:r>
      <w:r w:rsidRPr="00F153F6">
        <w:rPr>
          <w:rFonts w:ascii="Times New Roman" w:hAnsi="Times New Roman" w:cs="Times New Roman"/>
          <w:sz w:val="24"/>
          <w:szCs w:val="24"/>
        </w:rPr>
        <w:t xml:space="preserve"> completed stage. The associated </w:t>
      </w:r>
      <w:r w:rsidRPr="00F153F6">
        <w:rPr>
          <w:rFonts w:ascii="Times New Roman" w:hAnsi="Times New Roman" w:cs="Times New Roman"/>
          <w:sz w:val="24"/>
          <w:szCs w:val="24"/>
        </w:rPr>
        <w:lastRenderedPageBreak/>
        <w:t>ICT affordances/constraints also change as knowledgeabilities change, which shows a co-evolution between ICT affordance/constraints and knowledgeability in practice over time. These variations of ICT affordances/constraints and knowledgeabilities shapes three distinguished frameworks of ICT-based IOKE practice for different project lifecycle stages. The situated multi-layer contexts at different project stages are also constructed with different characteristics. By abstracting knowledgeabilities across different project lifecycle stages, this research has also proposed an integrated framework of ICT-based IOKE practice for the overall project perspective. These four distinguished ICT-based IOKE frameworks have integrated ICT, human knowledge and their situated contexts, which explains the role of ICT in the shaping of inter-organisational knowledge exchange practice at a sufficiently detailed level (answering to research question 3 and fulfil the research overall aim).</w:t>
      </w:r>
    </w:p>
    <w:p w14:paraId="3309B1EC" w14:textId="1C3AF2F2" w:rsidR="00985293" w:rsidRPr="00F153F6" w:rsidRDefault="00985293" w:rsidP="004424B4">
      <w:pPr>
        <w:pStyle w:val="Heading2"/>
        <w:spacing w:line="360" w:lineRule="auto"/>
        <w:rPr>
          <w:rFonts w:ascii="Times New Roman" w:hAnsi="Times New Roman" w:cs="Times New Roman"/>
          <w:sz w:val="32"/>
          <w:szCs w:val="32"/>
        </w:rPr>
      </w:pPr>
      <w:bookmarkStart w:id="677" w:name="_Toc133252191"/>
      <w:r w:rsidRPr="00F153F6">
        <w:rPr>
          <w:rFonts w:ascii="Times New Roman" w:hAnsi="Times New Roman" w:cs="Times New Roman"/>
          <w:sz w:val="32"/>
          <w:szCs w:val="32"/>
        </w:rPr>
        <w:t>6.</w:t>
      </w:r>
      <w:r w:rsidR="00975561" w:rsidRPr="00F153F6">
        <w:rPr>
          <w:rFonts w:ascii="Times New Roman" w:hAnsi="Times New Roman" w:cs="Times New Roman"/>
          <w:sz w:val="32"/>
          <w:szCs w:val="32"/>
        </w:rPr>
        <w:t>2</w:t>
      </w:r>
      <w:r w:rsidRPr="00F153F6">
        <w:rPr>
          <w:rFonts w:ascii="Times New Roman" w:hAnsi="Times New Roman" w:cs="Times New Roman"/>
          <w:sz w:val="32"/>
          <w:szCs w:val="32"/>
        </w:rPr>
        <w:t xml:space="preserve"> Theoretical Contribution</w:t>
      </w:r>
      <w:bookmarkEnd w:id="677"/>
    </w:p>
    <w:p w14:paraId="6B28E80F" w14:textId="6AB2A6AC" w:rsidR="00975561" w:rsidRPr="00F153F6" w:rsidRDefault="00975561"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By re-conceptualising ICT-based IOKE practice, this research has addressed existing theoretical gaps and accordingly provided significant theoretical contribution</w:t>
      </w:r>
      <w:r w:rsidR="00F60D35" w:rsidRPr="00F153F6">
        <w:rPr>
          <w:rFonts w:ascii="Times New Roman" w:hAnsi="Times New Roman" w:cs="Times New Roman"/>
          <w:sz w:val="24"/>
          <w:szCs w:val="24"/>
        </w:rPr>
        <w:t>s</w:t>
      </w:r>
      <w:r w:rsidRPr="00F153F6">
        <w:rPr>
          <w:rFonts w:ascii="Times New Roman" w:hAnsi="Times New Roman" w:cs="Times New Roman"/>
          <w:sz w:val="24"/>
          <w:szCs w:val="24"/>
        </w:rPr>
        <w:t xml:space="preserve"> to the extant knowledge and research, as discussed in the ensuing narratives.</w:t>
      </w:r>
    </w:p>
    <w:p w14:paraId="5E0CC5CD" w14:textId="75079134" w:rsidR="003064F6" w:rsidRPr="00F153F6" w:rsidRDefault="00F60D35"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First, </w:t>
      </w:r>
      <w:r w:rsidR="00DB0F1B" w:rsidRPr="00F153F6">
        <w:rPr>
          <w:rFonts w:ascii="Times New Roman" w:hAnsi="Times New Roman" w:cs="Times New Roman"/>
          <w:sz w:val="24"/>
          <w:szCs w:val="24"/>
        </w:rPr>
        <w:t xml:space="preserve">although current studies have shown the vital role of ICT in supporting IOKE practice, there is less evidence to understand the dynamic nature of  IOKE </w:t>
      </w:r>
      <w:r w:rsidR="0098012A" w:rsidRPr="00F153F6">
        <w:rPr>
          <w:rFonts w:ascii="Times New Roman" w:hAnsi="Times New Roman" w:cs="Times New Roman"/>
          <w:sz w:val="24"/>
          <w:szCs w:val="24"/>
        </w:rPr>
        <w:t>taken into account the dynamic nature</w:t>
      </w:r>
      <w:r w:rsidR="00DB0F1B" w:rsidRPr="00F153F6">
        <w:rPr>
          <w:rFonts w:ascii="Times New Roman" w:hAnsi="Times New Roman" w:cs="Times New Roman"/>
          <w:sz w:val="24"/>
          <w:szCs w:val="24"/>
        </w:rPr>
        <w:t xml:space="preserve"> of ICT </w:t>
      </w:r>
      <w:r w:rsidR="00DB0F1B" w:rsidRPr="00F153F6">
        <w:rPr>
          <w:rFonts w:ascii="Times New Roman" w:hAnsi="Times New Roman" w:cs="Times New Roman"/>
          <w:sz w:val="24"/>
          <w:szCs w:val="24"/>
        </w:rPr>
        <w:fldChar w:fldCharType="begin"/>
      </w:r>
      <w:r w:rsidR="00DB0F1B" w:rsidRPr="00F153F6">
        <w:rPr>
          <w:rFonts w:ascii="Times New Roman" w:hAnsi="Times New Roman" w:cs="Times New Roman"/>
          <w:sz w:val="24"/>
          <w:szCs w:val="24"/>
        </w:rPr>
        <w:instrText xml:space="preserve"> ADDIN ZOTERO_ITEM CSL_CITATION {"citationID":"q9qbYjvf","properties":{"formattedCitation":"(Zhu et al., 2021)","plainCitation":"(Zhu et al., 2021)","noteIndex":0},"citationItems":[{"id":2641,"uris":["http://zotero.org/users/5709166/items/F3TTP2DS"],"itemData":{"id":2641,"type":"paper-conference","abstract":"Organisations are increasingly seeking collaborations across organisational boundaries, and the digitalisation of organisation can greatly accelerate people to exchange knowledge in such inter-organisational collaborations. Therefore, Information and Communication Technologies (ICTs) play a more significant role in organisations' inter-organisational knowledge exchange (IOKE) than ever before. However, current studies provide somewhat fragmented perspectives through which knowledge and technology may be interpreted. It is critical now for research and practice to understand how ICTs shape IOKE. This study accordingly explores how IOKE is conceptualised from different ICT perspectives and understand their limitations and implications. The paper contributes to understanding the dynamic nature of IOKE from ICT perspectives and calls for future research to conceptualise IOKE from a more integrative view.","collection-title":"Lecture Notes in Computer Science","container-title":"Responsible AI and Analytics for an Ethical and Inclusive Digitized Society","DOI":"10.1007/978-3-030-85447-8_35","event-place":"Cham","ISBN":"978-3-030-85447-8","language":"en","page":"411-422","publisher":"Springer International Publishing","publisher-place":"Cham","source":"Springer Link","title":"ICT-Based Inter-organisational Knowledge Exchange: A Narrative Literature Review Approach","title-short":"ICT-Based Inter-organisational Knowledge Exchange","author":[{"family":"Zhu","given":"Yuzhen"},{"family":"Zamani","given":"Efpraxia D."},{"family":"Martins","given":"Jorge Tiago"},{"family":"Vasconcelos","given":"Ana Cristina"}],"editor":[{"family":"Dennehy","given":"Denis"},{"family":"Griva","given":"Anastasia"},{"family":"Pouloudi","given":"Nancy"},{"family":"Dwivedi","given":"Yogesh K."},{"family":"Pappas","given":"Ilias"},{"family":"Mäntymäki","given":"Matti"}],"issued":{"date-parts":[["2021"]]}}}],"schema":"https://github.com/citation-style-language/schema/raw/master/csl-citation.json"} </w:instrText>
      </w:r>
      <w:r w:rsidR="00DB0F1B" w:rsidRPr="00F153F6">
        <w:rPr>
          <w:rFonts w:ascii="Times New Roman" w:hAnsi="Times New Roman" w:cs="Times New Roman"/>
          <w:sz w:val="24"/>
          <w:szCs w:val="24"/>
        </w:rPr>
        <w:fldChar w:fldCharType="separate"/>
      </w:r>
      <w:r w:rsidR="00DB0F1B" w:rsidRPr="00F153F6">
        <w:rPr>
          <w:rFonts w:ascii="Times New Roman" w:hAnsi="Times New Roman" w:cs="Times New Roman"/>
          <w:sz w:val="24"/>
          <w:szCs w:val="24"/>
        </w:rPr>
        <w:t>(Zhu et al., 2021)</w:t>
      </w:r>
      <w:r w:rsidR="00DB0F1B" w:rsidRPr="00F153F6">
        <w:rPr>
          <w:rFonts w:ascii="Times New Roman" w:hAnsi="Times New Roman" w:cs="Times New Roman"/>
          <w:sz w:val="24"/>
          <w:szCs w:val="24"/>
        </w:rPr>
        <w:fldChar w:fldCharType="end"/>
      </w:r>
      <w:r w:rsidR="00DB0F1B" w:rsidRPr="00F153F6">
        <w:rPr>
          <w:rFonts w:ascii="Times New Roman" w:hAnsi="Times New Roman" w:cs="Times New Roman"/>
          <w:sz w:val="24"/>
          <w:szCs w:val="24"/>
        </w:rPr>
        <w:t>. Currently there exist many diverse and prominent</w:t>
      </w:r>
      <w:r w:rsidRPr="00F153F6">
        <w:rPr>
          <w:rFonts w:ascii="Times New Roman" w:hAnsi="Times New Roman" w:cs="Times New Roman"/>
          <w:sz w:val="24"/>
          <w:szCs w:val="24"/>
        </w:rPr>
        <w:t xml:space="preserve"> </w:t>
      </w:r>
      <w:r w:rsidR="00DB0F1B" w:rsidRPr="00F153F6">
        <w:rPr>
          <w:rFonts w:ascii="Times New Roman" w:hAnsi="Times New Roman" w:cs="Times New Roman"/>
          <w:sz w:val="24"/>
          <w:szCs w:val="24"/>
        </w:rPr>
        <w:t>understanding</w:t>
      </w:r>
      <w:r w:rsidR="00CA7EFE" w:rsidRPr="00F153F6">
        <w:rPr>
          <w:rFonts w:ascii="Times New Roman" w:hAnsi="Times New Roman" w:cs="Times New Roman"/>
          <w:sz w:val="24"/>
          <w:szCs w:val="24"/>
        </w:rPr>
        <w:t>s</w:t>
      </w:r>
      <w:r w:rsidR="00DB0F1B" w:rsidRPr="00F153F6">
        <w:rPr>
          <w:rFonts w:ascii="Times New Roman" w:hAnsi="Times New Roman" w:cs="Times New Roman"/>
          <w:sz w:val="24"/>
          <w:szCs w:val="24"/>
        </w:rPr>
        <w:t xml:space="preserve"> </w:t>
      </w:r>
      <w:r w:rsidR="0098012A" w:rsidRPr="00F153F6">
        <w:rPr>
          <w:rFonts w:ascii="Times New Roman" w:hAnsi="Times New Roman" w:cs="Times New Roman"/>
          <w:sz w:val="24"/>
          <w:szCs w:val="24"/>
        </w:rPr>
        <w:t>that show ICT has a dynamic nature</w:t>
      </w:r>
      <w:r w:rsidR="00C82F5B" w:rsidRPr="00F153F6">
        <w:rPr>
          <w:rFonts w:ascii="Times New Roman" w:hAnsi="Times New Roman" w:cs="Times New Roman"/>
          <w:sz w:val="24"/>
          <w:szCs w:val="24"/>
        </w:rPr>
        <w:t xml:space="preserve"> </w:t>
      </w:r>
      <w:r w:rsidR="00C82F5B" w:rsidRPr="00F153F6">
        <w:rPr>
          <w:rFonts w:ascii="Times New Roman" w:hAnsi="Times New Roman" w:cs="Times New Roman"/>
          <w:sz w:val="24"/>
          <w:szCs w:val="24"/>
        </w:rPr>
        <w:fldChar w:fldCharType="begin"/>
      </w:r>
      <w:r w:rsidR="003C373E" w:rsidRPr="00F153F6">
        <w:rPr>
          <w:rFonts w:ascii="Times New Roman" w:hAnsi="Times New Roman" w:cs="Times New Roman"/>
          <w:sz w:val="24"/>
          <w:szCs w:val="24"/>
        </w:rPr>
        <w:instrText xml:space="preserve"> ADDIN ZOTERO_ITEM CSL_CITATION {"citationID":"Df2IWLPj","properties":{"formattedCitation":"(Orlikowski &amp; Iacono, 2001b; Zhu et al., 2021)","plainCitation":"(Orlikowski &amp; Iacono, 2001b; Zhu et al., 2021)","noteIndex":0},"citationItems":[{"id":288,"uris":["http://zotero.org/users/5709166/items/RAKCU48Y"],"itemData":{"id":288,"type":"article-journal","container-title":"Information Systems Research","DOI":"10.1287/isre.12.2.121.9700","ISSN":"1047-7047, 1526-5536","issue":"2","journalAbbreviation":"Information Systems Research","language":"en","page":"121-134","source":"DOI.org (Crossref)","title":"Research Commentary: Desperately Seeking the “IT” in IT Research—A Call to Theorizing the IT Artifact","title-short":"Research Commentary","volume":"12","author":[{"family":"Orlikowski","given":"Wanda J."},{"family":"Iacono","given":"C. Suzanne"}],"issued":{"date-parts":[["2001",6]]}}},{"id":2641,"uris":["http://zotero.org/users/5709166/items/F3TTP2DS"],"itemData":{"id":2641,"type":"paper-conference","abstract":"Organisations are increasingly seeking collaborations across organisational boundaries, and the digitalisation of organisation can greatly accelerate people to exchange knowledge in such inter-organisational collaborations. Therefore, Information and Communication Technologies (ICTs) play a more significant role in organisations' inter-organisational knowledge exchange (IOKE) than ever before. However, current studies provide somewhat fragmented perspectives through which knowledge and technology may be interpreted. It is critical now for research and practice to understand how ICTs shape IOKE. This study accordingly explores how IOKE is conceptualised from different ICT perspectives and understand their limitations and implications. The paper contributes to understanding the dynamic nature of IOKE from ICT perspectives and calls for future research to conceptualise IOKE from a more integrative view.","collection-title":"Lecture Notes in Computer Science","container-title":"Responsible AI and Analytics for an Ethical and Inclusive Digitized Society","DOI":"10.1007/978-3-030-85447-8_35","event-place":"Cham","ISBN":"978-3-030-85447-8","language":"en","page":"411-422","publisher":"Springer International Publishing","publisher-place":"Cham","source":"Springer Link","title":"ICT-Based Inter-organisational Knowledge Exchange: A Narrative Literature Review Approach","title-short":"ICT-Based Inter-organisational Knowledge Exchange","author":[{"family":"Zhu","given":"Yuzhen"},{"family":"Zamani","given":"Efpraxia D."},{"family":"Martins","given":"Jorge Tiago"},{"family":"Vasconcelos","given":"Ana Cristina"}],"editor":[{"family":"Dennehy","given":"Denis"},{"family":"Griva","given":"Anastasia"},{"family":"Pouloudi","given":"Nancy"},{"family":"Dwivedi","given":"Yogesh K."},{"family":"Pappas","given":"Ilias"},{"family":"Mäntymäki","given":"Matti"}],"issued":{"date-parts":[["2021"]]}}}],"schema":"https://github.com/citation-style-language/schema/raw/master/csl-citation.json"} </w:instrText>
      </w:r>
      <w:r w:rsidR="00C82F5B" w:rsidRPr="00F153F6">
        <w:rPr>
          <w:rFonts w:ascii="Times New Roman" w:hAnsi="Times New Roman" w:cs="Times New Roman"/>
          <w:sz w:val="24"/>
          <w:szCs w:val="24"/>
        </w:rPr>
        <w:fldChar w:fldCharType="separate"/>
      </w:r>
      <w:r w:rsidR="00C82F5B" w:rsidRPr="00F153F6">
        <w:rPr>
          <w:rFonts w:ascii="Times New Roman" w:hAnsi="Times New Roman" w:cs="Times New Roman"/>
          <w:sz w:val="24"/>
          <w:szCs w:val="24"/>
        </w:rPr>
        <w:t>(Orlikowski &amp; Iacono, 2001; Zhu et al., 2021)</w:t>
      </w:r>
      <w:r w:rsidR="00C82F5B"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w:t>
      </w:r>
      <w:r w:rsidR="00DB0F1B" w:rsidRPr="00F153F6">
        <w:rPr>
          <w:rFonts w:ascii="Times New Roman" w:hAnsi="Times New Roman" w:cs="Times New Roman"/>
          <w:sz w:val="24"/>
          <w:szCs w:val="24"/>
        </w:rPr>
        <w:t xml:space="preserve">but </w:t>
      </w:r>
      <w:r w:rsidR="00F4778A" w:rsidRPr="00F153F6">
        <w:rPr>
          <w:rFonts w:ascii="Times New Roman" w:hAnsi="Times New Roman" w:cs="Times New Roman"/>
          <w:sz w:val="24"/>
          <w:szCs w:val="24"/>
        </w:rPr>
        <w:t>a theoretical gap remains in understanding the relationship between the dynamics of ICT and the dynamics of knowledge exchange processes in inter-organisational settings</w:t>
      </w:r>
      <w:r w:rsidRPr="00F153F6">
        <w:rPr>
          <w:rFonts w:ascii="Times New Roman" w:hAnsi="Times New Roman" w:cs="Times New Roman"/>
          <w:sz w:val="24"/>
          <w:szCs w:val="24"/>
        </w:rPr>
        <w:t>.</w:t>
      </w:r>
      <w:r w:rsidR="00460DCC" w:rsidRPr="00F153F6">
        <w:rPr>
          <w:rFonts w:ascii="Times New Roman" w:hAnsi="Times New Roman" w:cs="Times New Roman"/>
          <w:sz w:val="24"/>
          <w:szCs w:val="24"/>
        </w:rPr>
        <w:t xml:space="preserve"> The findings of the present study </w:t>
      </w:r>
      <w:r w:rsidR="00AD768E" w:rsidRPr="00F153F6">
        <w:rPr>
          <w:rFonts w:ascii="Times New Roman" w:hAnsi="Times New Roman" w:cs="Times New Roman"/>
          <w:sz w:val="24"/>
          <w:szCs w:val="24"/>
        </w:rPr>
        <w:t>address</w:t>
      </w:r>
      <w:r w:rsidR="00460DCC" w:rsidRPr="00F153F6">
        <w:rPr>
          <w:rFonts w:ascii="Times New Roman" w:hAnsi="Times New Roman" w:cs="Times New Roman"/>
          <w:sz w:val="24"/>
          <w:szCs w:val="24"/>
        </w:rPr>
        <w:t xml:space="preserve"> this theoretical gap by proposing </w:t>
      </w:r>
      <w:r w:rsidR="00AD768E" w:rsidRPr="00F153F6">
        <w:rPr>
          <w:rFonts w:ascii="Times New Roman" w:hAnsi="Times New Roman" w:cs="Times New Roman"/>
          <w:sz w:val="24"/>
          <w:szCs w:val="24"/>
        </w:rPr>
        <w:t>an integrated framework that can be contextualised across the different stages (one integrated framework and its three variations across different project stages)</w:t>
      </w:r>
      <w:r w:rsidR="00460DCC" w:rsidRPr="00F153F6">
        <w:rPr>
          <w:rFonts w:ascii="Times New Roman" w:hAnsi="Times New Roman" w:cs="Times New Roman"/>
          <w:sz w:val="24"/>
          <w:szCs w:val="24"/>
        </w:rPr>
        <w:t>. The frameworks indicate that ICT-based IOKE practice has a dynamic nature, characterised by diverse</w:t>
      </w:r>
      <w:r w:rsidR="00983A80" w:rsidRPr="00F153F6">
        <w:rPr>
          <w:rFonts w:ascii="Times New Roman" w:hAnsi="Times New Roman" w:cs="Times New Roman"/>
          <w:sz w:val="24"/>
          <w:szCs w:val="24"/>
        </w:rPr>
        <w:t xml:space="preserve"> and evolving</w:t>
      </w:r>
      <w:r w:rsidR="00460DCC" w:rsidRPr="00F153F6">
        <w:rPr>
          <w:rFonts w:ascii="Times New Roman" w:hAnsi="Times New Roman" w:cs="Times New Roman"/>
          <w:sz w:val="24"/>
          <w:szCs w:val="24"/>
        </w:rPr>
        <w:t xml:space="preserve"> knowledgeabilities, ICT affordances/constraints and multi-layer contexts. </w:t>
      </w:r>
      <w:r w:rsidR="00983A80" w:rsidRPr="00F153F6">
        <w:rPr>
          <w:rFonts w:ascii="Times New Roman" w:hAnsi="Times New Roman" w:cs="Times New Roman"/>
          <w:sz w:val="24"/>
          <w:szCs w:val="24"/>
        </w:rPr>
        <w:t xml:space="preserve">Due to the temporal dimension of inter-organisational collaboration, the patterns of knowledgeabilities, their associated ICT affordances/constraints and the situated contexts can co-evolve over time. </w:t>
      </w:r>
      <w:r w:rsidR="00EF626F" w:rsidRPr="00F153F6">
        <w:rPr>
          <w:rFonts w:ascii="Times New Roman" w:hAnsi="Times New Roman" w:cs="Times New Roman"/>
          <w:sz w:val="24"/>
          <w:szCs w:val="24"/>
        </w:rPr>
        <w:t>Accordingly</w:t>
      </w:r>
      <w:r w:rsidR="00983A80" w:rsidRPr="00F153F6">
        <w:rPr>
          <w:rFonts w:ascii="Times New Roman" w:hAnsi="Times New Roman" w:cs="Times New Roman"/>
          <w:sz w:val="24"/>
          <w:szCs w:val="24"/>
        </w:rPr>
        <w:t xml:space="preserve">, the present study </w:t>
      </w:r>
      <w:r w:rsidR="00EF626F" w:rsidRPr="00F153F6">
        <w:rPr>
          <w:rFonts w:ascii="Times New Roman" w:hAnsi="Times New Roman" w:cs="Times New Roman"/>
          <w:sz w:val="24"/>
          <w:szCs w:val="24"/>
        </w:rPr>
        <w:t>extends</w:t>
      </w:r>
      <w:r w:rsidR="00983A80" w:rsidRPr="00F153F6">
        <w:rPr>
          <w:rFonts w:ascii="Times New Roman" w:hAnsi="Times New Roman" w:cs="Times New Roman"/>
          <w:sz w:val="24"/>
          <w:szCs w:val="24"/>
        </w:rPr>
        <w:t xml:space="preserve"> </w:t>
      </w:r>
      <w:r w:rsidR="00EF626F" w:rsidRPr="00F153F6">
        <w:rPr>
          <w:rFonts w:ascii="Times New Roman" w:hAnsi="Times New Roman" w:cs="Times New Roman"/>
          <w:sz w:val="24"/>
          <w:szCs w:val="24"/>
        </w:rPr>
        <w:t xml:space="preserve">existing research </w:t>
      </w:r>
      <w:r w:rsidR="0098012A" w:rsidRPr="00F153F6">
        <w:rPr>
          <w:rFonts w:ascii="Times New Roman" w:hAnsi="Times New Roman" w:cs="Times New Roman"/>
          <w:sz w:val="24"/>
          <w:szCs w:val="24"/>
        </w:rPr>
        <w:t>towards a</w:t>
      </w:r>
      <w:r w:rsidR="00F4778A" w:rsidRPr="00F153F6">
        <w:rPr>
          <w:rFonts w:ascii="Times New Roman" w:hAnsi="Times New Roman" w:cs="Times New Roman"/>
          <w:sz w:val="24"/>
          <w:szCs w:val="24"/>
        </w:rPr>
        <w:t>n</w:t>
      </w:r>
      <w:r w:rsidR="0098012A" w:rsidRPr="00F153F6">
        <w:rPr>
          <w:rFonts w:ascii="Times New Roman" w:hAnsi="Times New Roman" w:cs="Times New Roman"/>
          <w:sz w:val="24"/>
          <w:szCs w:val="24"/>
        </w:rPr>
        <w:t xml:space="preserve"> </w:t>
      </w:r>
      <w:r w:rsidR="00F4778A" w:rsidRPr="00F153F6">
        <w:rPr>
          <w:rFonts w:ascii="Times New Roman" w:hAnsi="Times New Roman" w:cs="Times New Roman"/>
          <w:sz w:val="24"/>
          <w:szCs w:val="24"/>
        </w:rPr>
        <w:t>evolving</w:t>
      </w:r>
      <w:r w:rsidR="0098012A" w:rsidRPr="00F153F6">
        <w:rPr>
          <w:rFonts w:ascii="Times New Roman" w:hAnsi="Times New Roman" w:cs="Times New Roman"/>
          <w:sz w:val="24"/>
          <w:szCs w:val="24"/>
        </w:rPr>
        <w:t xml:space="preserve"> dynamic of ICT-based IOKE practice</w:t>
      </w:r>
      <w:r w:rsidR="000571B8" w:rsidRPr="00F153F6">
        <w:rPr>
          <w:rFonts w:ascii="Times New Roman" w:hAnsi="Times New Roman" w:cs="Times New Roman"/>
          <w:sz w:val="24"/>
          <w:szCs w:val="24"/>
        </w:rPr>
        <w:t>, which largely enriches existing ICT affordance studies in knowledge management and innovation setting</w:t>
      </w:r>
      <w:r w:rsidR="00336724" w:rsidRPr="00F153F6">
        <w:rPr>
          <w:rFonts w:ascii="Times New Roman" w:hAnsi="Times New Roman" w:cs="Times New Roman"/>
          <w:sz w:val="24"/>
          <w:szCs w:val="24"/>
        </w:rPr>
        <w:t>s</w:t>
      </w:r>
      <w:r w:rsidR="00EF626F" w:rsidRPr="00F153F6">
        <w:rPr>
          <w:rFonts w:ascii="Times New Roman" w:hAnsi="Times New Roman" w:cs="Times New Roman"/>
          <w:sz w:val="24"/>
          <w:szCs w:val="24"/>
        </w:rPr>
        <w:t xml:space="preserve">. </w:t>
      </w:r>
      <w:r w:rsidR="009E37F6" w:rsidRPr="00F153F6">
        <w:rPr>
          <w:rFonts w:ascii="Times New Roman" w:hAnsi="Times New Roman" w:cs="Times New Roman"/>
          <w:sz w:val="24"/>
          <w:szCs w:val="24"/>
        </w:rPr>
        <w:t>In addition</w:t>
      </w:r>
      <w:r w:rsidR="000571B8" w:rsidRPr="00F153F6">
        <w:rPr>
          <w:rFonts w:ascii="Times New Roman" w:hAnsi="Times New Roman" w:cs="Times New Roman"/>
          <w:sz w:val="24"/>
          <w:szCs w:val="24"/>
        </w:rPr>
        <w:t>, the present study demonstrates diverse</w:t>
      </w:r>
      <w:r w:rsidR="009E37F6" w:rsidRPr="00F153F6">
        <w:rPr>
          <w:rFonts w:ascii="Times New Roman" w:hAnsi="Times New Roman" w:cs="Times New Roman"/>
          <w:sz w:val="24"/>
          <w:szCs w:val="24"/>
        </w:rPr>
        <w:t xml:space="preserve"> sets of</w:t>
      </w:r>
      <w:r w:rsidR="000571B8" w:rsidRPr="00F153F6">
        <w:rPr>
          <w:rFonts w:ascii="Times New Roman" w:hAnsi="Times New Roman" w:cs="Times New Roman"/>
          <w:sz w:val="24"/>
          <w:szCs w:val="24"/>
        </w:rPr>
        <w:t xml:space="preserve"> ICT afforded/constrained abilities that facilitate or inhibit the enactment of </w:t>
      </w:r>
      <w:r w:rsidR="009E37F6" w:rsidRPr="00F153F6">
        <w:rPr>
          <w:rFonts w:ascii="Times New Roman" w:hAnsi="Times New Roman" w:cs="Times New Roman"/>
          <w:sz w:val="24"/>
          <w:szCs w:val="24"/>
        </w:rPr>
        <w:t xml:space="preserve">distinct </w:t>
      </w:r>
      <w:r w:rsidR="000571B8" w:rsidRPr="00F153F6">
        <w:rPr>
          <w:rFonts w:ascii="Times New Roman" w:hAnsi="Times New Roman" w:cs="Times New Roman"/>
          <w:sz w:val="24"/>
          <w:szCs w:val="24"/>
        </w:rPr>
        <w:t xml:space="preserve">human </w:t>
      </w:r>
      <w:r w:rsidR="000571B8" w:rsidRPr="00F153F6">
        <w:rPr>
          <w:rFonts w:ascii="Times New Roman" w:hAnsi="Times New Roman" w:cs="Times New Roman"/>
          <w:sz w:val="24"/>
          <w:szCs w:val="24"/>
        </w:rPr>
        <w:lastRenderedPageBreak/>
        <w:t>knowledgeability</w:t>
      </w:r>
      <w:r w:rsidR="009E37F6" w:rsidRPr="00F153F6">
        <w:rPr>
          <w:rFonts w:ascii="Times New Roman" w:hAnsi="Times New Roman" w:cs="Times New Roman"/>
          <w:sz w:val="24"/>
          <w:szCs w:val="24"/>
        </w:rPr>
        <w:t xml:space="preserve"> in ICT-based IOKE practice</w:t>
      </w:r>
      <w:r w:rsidR="000571B8" w:rsidRPr="00F153F6">
        <w:rPr>
          <w:rFonts w:ascii="Times New Roman" w:hAnsi="Times New Roman" w:cs="Times New Roman"/>
          <w:sz w:val="24"/>
          <w:szCs w:val="24"/>
        </w:rPr>
        <w:t xml:space="preserve">. This provides </w:t>
      </w:r>
      <w:r w:rsidR="009E37F6" w:rsidRPr="00F153F6">
        <w:rPr>
          <w:rFonts w:ascii="Times New Roman" w:hAnsi="Times New Roman" w:cs="Times New Roman"/>
          <w:sz w:val="24"/>
          <w:szCs w:val="24"/>
        </w:rPr>
        <w:t xml:space="preserve">further </w:t>
      </w:r>
      <w:r w:rsidR="000571B8" w:rsidRPr="00F153F6">
        <w:rPr>
          <w:rFonts w:ascii="Times New Roman" w:hAnsi="Times New Roman" w:cs="Times New Roman"/>
          <w:sz w:val="24"/>
          <w:szCs w:val="24"/>
        </w:rPr>
        <w:t xml:space="preserve">evidence of how </w:t>
      </w:r>
      <w:r w:rsidR="009E37F6" w:rsidRPr="00F153F6">
        <w:rPr>
          <w:rFonts w:ascii="Times New Roman" w:hAnsi="Times New Roman" w:cs="Times New Roman"/>
          <w:sz w:val="24"/>
          <w:szCs w:val="24"/>
        </w:rPr>
        <w:t xml:space="preserve">a bundle of </w:t>
      </w:r>
      <w:r w:rsidR="000571B8" w:rsidRPr="00F153F6">
        <w:rPr>
          <w:rFonts w:ascii="Times New Roman" w:hAnsi="Times New Roman" w:cs="Times New Roman"/>
          <w:sz w:val="24"/>
          <w:szCs w:val="24"/>
        </w:rPr>
        <w:t xml:space="preserve">actualised ICT affordances/constraints mediate </w:t>
      </w:r>
      <w:r w:rsidR="009E37F6" w:rsidRPr="00F153F6">
        <w:rPr>
          <w:rFonts w:ascii="Times New Roman" w:hAnsi="Times New Roman" w:cs="Times New Roman"/>
          <w:sz w:val="24"/>
          <w:szCs w:val="24"/>
        </w:rPr>
        <w:t>distinct</w:t>
      </w:r>
      <w:r w:rsidR="000571B8" w:rsidRPr="00F153F6">
        <w:rPr>
          <w:rFonts w:ascii="Times New Roman" w:hAnsi="Times New Roman" w:cs="Times New Roman"/>
          <w:sz w:val="24"/>
          <w:szCs w:val="24"/>
        </w:rPr>
        <w:t xml:space="preserve"> achievement of human knowledge work for existing studies. The </w:t>
      </w:r>
      <w:r w:rsidR="009E37F6" w:rsidRPr="00F153F6">
        <w:rPr>
          <w:rFonts w:ascii="Times New Roman" w:hAnsi="Times New Roman" w:cs="Times New Roman"/>
          <w:sz w:val="24"/>
          <w:szCs w:val="24"/>
        </w:rPr>
        <w:t>co-</w:t>
      </w:r>
      <w:r w:rsidR="000571B8" w:rsidRPr="00F153F6">
        <w:rPr>
          <w:rFonts w:ascii="Times New Roman" w:hAnsi="Times New Roman" w:cs="Times New Roman"/>
          <w:sz w:val="24"/>
          <w:szCs w:val="24"/>
        </w:rPr>
        <w:t xml:space="preserve">evolving ICT-based IOKE frameworks across different project lifecycle stages also demonstrate when and how ICT affordances/constraints are bundled to enact specific human knowledgeability over time. This largely enriches affordance studies towards </w:t>
      </w:r>
      <w:r w:rsidR="00F4778A" w:rsidRPr="00F153F6">
        <w:rPr>
          <w:rFonts w:ascii="Times New Roman" w:hAnsi="Times New Roman" w:cs="Times New Roman"/>
          <w:sz w:val="24"/>
          <w:szCs w:val="24"/>
        </w:rPr>
        <w:t>focusing on a</w:t>
      </w:r>
      <w:r w:rsidR="000571B8" w:rsidRPr="00F153F6">
        <w:rPr>
          <w:rFonts w:ascii="Times New Roman" w:hAnsi="Times New Roman" w:cs="Times New Roman"/>
          <w:sz w:val="24"/>
          <w:szCs w:val="24"/>
        </w:rPr>
        <w:t xml:space="preserve"> more complex co-evolutionary dynamics and thus informs </w:t>
      </w:r>
      <w:r w:rsidR="00F4778A" w:rsidRPr="00F153F6">
        <w:rPr>
          <w:rFonts w:ascii="Times New Roman" w:hAnsi="Times New Roman" w:cs="Times New Roman"/>
          <w:sz w:val="24"/>
          <w:szCs w:val="24"/>
        </w:rPr>
        <w:t>future</w:t>
      </w:r>
      <w:r w:rsidR="000571B8" w:rsidRPr="00F153F6">
        <w:rPr>
          <w:rFonts w:ascii="Times New Roman" w:hAnsi="Times New Roman" w:cs="Times New Roman"/>
          <w:sz w:val="24"/>
          <w:szCs w:val="24"/>
        </w:rPr>
        <w:t xml:space="preserve"> research to investigate in the future. </w:t>
      </w:r>
    </w:p>
    <w:p w14:paraId="43FFBB2B" w14:textId="2B1EFE2E" w:rsidR="009C2735" w:rsidRPr="00F153F6" w:rsidRDefault="000571B8"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Secondly</w:t>
      </w:r>
      <w:r w:rsidR="0065122F" w:rsidRPr="00F153F6">
        <w:rPr>
          <w:rFonts w:ascii="Times New Roman" w:hAnsi="Times New Roman" w:cs="Times New Roman"/>
          <w:sz w:val="24"/>
          <w:szCs w:val="24"/>
        </w:rPr>
        <w:t xml:space="preserve">, </w:t>
      </w:r>
      <w:r w:rsidR="003C29C3" w:rsidRPr="00F153F6">
        <w:rPr>
          <w:rFonts w:ascii="Times New Roman" w:hAnsi="Times New Roman" w:cs="Times New Roman"/>
          <w:sz w:val="24"/>
          <w:szCs w:val="24"/>
        </w:rPr>
        <w:t xml:space="preserve">although </w:t>
      </w:r>
      <w:r w:rsidR="0065122F" w:rsidRPr="00F153F6">
        <w:rPr>
          <w:rFonts w:ascii="Times New Roman" w:hAnsi="Times New Roman" w:cs="Times New Roman"/>
          <w:sz w:val="24"/>
          <w:szCs w:val="24"/>
        </w:rPr>
        <w:t xml:space="preserve">priori studies have </w:t>
      </w:r>
      <w:r w:rsidR="003C29C3" w:rsidRPr="00F153F6">
        <w:rPr>
          <w:rFonts w:ascii="Times New Roman" w:hAnsi="Times New Roman" w:cs="Times New Roman"/>
          <w:sz w:val="24"/>
          <w:szCs w:val="24"/>
        </w:rPr>
        <w:t xml:space="preserve">identified diverse knowledgeabilities or knowing in practice in human ICT-enabled knowledge works </w:t>
      </w:r>
      <w:r w:rsidR="003C29C3" w:rsidRPr="00F153F6">
        <w:rPr>
          <w:rFonts w:ascii="Times New Roman" w:hAnsi="Times New Roman" w:cs="Times New Roman"/>
          <w:sz w:val="24"/>
          <w:szCs w:val="24"/>
        </w:rPr>
        <w:fldChar w:fldCharType="begin"/>
      </w:r>
      <w:r w:rsidR="00521E4A" w:rsidRPr="00F153F6">
        <w:rPr>
          <w:rFonts w:ascii="Times New Roman" w:hAnsi="Times New Roman" w:cs="Times New Roman"/>
          <w:sz w:val="24"/>
          <w:szCs w:val="24"/>
        </w:rPr>
        <w:instrText xml:space="preserve"> ADDIN ZOTERO_ITEM CSL_CITATION {"citationID":"JS83a35w","properties":{"formattedCitation":"(Hsiao et al., 2012; Marabelli &amp; Newell, 2014; Orlikowski, 2002a, 2006)","plainCitation":"(Hsiao et al., 2012; Marabelli &amp; Newell, 2014; Orlikowski, 2002a, 2006)","noteIndex":0},"citationItems":[{"id":10255,"uris":["http://zotero.org/users/5709166/items/Y7VESWIK"],"itemData":{"id":10255,"type":"article-journal","abstract":"This article elaborates how experts employ boundary objects to perform collaborative work in situ across boundaries. Our study takes a practice lens to examine the adaptive nature of cross-boundary spanning. We conduct a field study and analyse engineers' troubleshooting tasks in maintaining sophisticated wafer-fabrication machines. Our findings report three organizing practices: identifying problem boundaries, orchestrating collective responsibilities, and developing a systemic understanding. This mode of organizing explains how experts draw lessons from boundary objects to facilitate adaptive learning and collaboration for solving complicated problems in interactive systems. Our analysis contributes to theories of cross-boundary spanning, adaptive learning, and problem-solving, and suggests practical lessons in managing cross-boundary work.","container-title":"Journal of Management Studies","DOI":"10.1111/j.1467-6486.2011.01024.x","ISSN":"1467-6486","issue":"3","language":"en","note":"_eprint: https://onlinelibrary.wiley.com/doi/pdf/10.1111/j.1467-6486.2011.01024.x","page":"463-491","source":"Wiley Online Library","title":"Collaborative Knowing: The Adaptive Nature of Cross-Boundary Spanning","title-short":"Collaborative Knowing","volume":"49","author":[{"family":"Hsiao","given":"Ruey-Lin"},{"family":"Tsai","given":"Dun-Hou"},{"family":"Lee","given":"Ching-Fang"}],"issued":{"date-parts":[["2012"]]}}},{"id":2349,"uris":["http://zotero.org/users/5709166/items/M9QH84ZU"],"itemData":{"id":2349,"type":"article-journal","abstract":"Most studies on absorptive capacity (AC) are based on assumptions that are characteristic of viewing knowledge from an epistemology of possession (knowledge is possessed by individuals and is transferrable). However, the literature on managing knowledge (or better knowledge work) acknowledges also an epistemology of practice (knowledge is unpredictable and dynamic and constituted in and through practice). Moreover, the literature on AC is relatively silent on the relationship between knowledge and power. In this paper, the authors argue that the AC construct should be interpreted in light of the possession and the practice perspectives of knowledge and power. The analysis includes a systematic literature review of AC that supports the authors' claims and, based on this, they suggest an interpretation of the construct that takes into account knowledge–power relationships. This review and theorizing contribute to a richer and processual view of AC.","container-title":"International Journal of Management Reviews","DOI":"10.1111/ijmr.12031","ISSN":"1468-2370","issue":"4","language":"en","note":"_eprint: https://onlinelibrary.wiley.com/doi/pdf/10.1111/ijmr.12031","page":"479-499","source":"Wiley Online Library","title":"Knowing, Power and Materiality: A Critical Review and Reconceptualization of Absorptive Capacity","title-short":"Knowing, Power and Materiality","volume":"16","author":[{"family":"Marabelli","given":"Marco"},{"family":"Newell","given":"Sue"}],"issued":{"date-parts":[["2014"]]}},"label":"page"},{"id":991,"uris":["http://zotero.org/users/5709166/items/LAGNZLDD"],"itemData":{"id":991,"type":"article-journal","abstract":"[In this paper, I outline a perspective on knowing in practice which highlights the essential role of human action in knowing how to get things done in complex organizational work. The perspective suggests that knowing is not a static embedded capability or stable disposition of actors, but rather an ongoing social accomplishment, constituted and reconstituted as actors engage the world in practice. In interpreting the findings of an empirical study conducted in a geographically dispersed high-tech organization, I suggest that the competence to do global product development is both collective and distributed, grounded in the everyday practices of organizational members. I conclude by discussing some of the research implications of a perspective on organizational knowing in practice.]","archive":"JSTOR","container-title":"Organization Science","ISSN":"1047-7039","issue":"3","page":"249-273","source":"JSTOR","title":"Knowing in Practice: Enacting a Collective Capability in Distributed Organizing","title-short":"Knowing in Practice","volume":"13","author":[{"family":"Orlikowski","given":"Wanda J."}],"issued":{"date-parts":[["2002"]]}}},{"id":170,"uris":["http://zotero.org/users/5709166/items/LJEGGXSV"],"itemData":{"id":170,"type":"article-journal","container-title":"European Journal of Information Systems","DOI":"10.1057/palgrave.ejis.3000639","ISSN":"0960-085X, 1476-9344","issue":"5","journalAbbreviation":"European Journal of Information Systems","language":"en","page":"460-466","source":"DOI.org (Crossref)","title":"Material knowing: the scaffolding of human knowledgeability","title-short":"Material knowing","volume":"15","author":[{"family":"Orlikowski","given":"Wanda J"}],"issued":{"date-parts":[["2006",10]]}}}],"schema":"https://github.com/citation-style-language/schema/raw/master/csl-citation.json"} </w:instrText>
      </w:r>
      <w:r w:rsidR="003C29C3" w:rsidRPr="00F153F6">
        <w:rPr>
          <w:rFonts w:ascii="Times New Roman" w:hAnsi="Times New Roman" w:cs="Times New Roman"/>
          <w:sz w:val="24"/>
          <w:szCs w:val="24"/>
        </w:rPr>
        <w:fldChar w:fldCharType="separate"/>
      </w:r>
      <w:r w:rsidR="00521E4A" w:rsidRPr="00F153F6">
        <w:rPr>
          <w:rFonts w:ascii="Times New Roman" w:hAnsi="Times New Roman" w:cs="Times New Roman"/>
          <w:sz w:val="24"/>
          <w:szCs w:val="24"/>
        </w:rPr>
        <w:t>(Hsiao et al., 2012; Marabelli &amp; Newell, 2014; Orlikowski, 2002, 2006)</w:t>
      </w:r>
      <w:r w:rsidR="003C29C3" w:rsidRPr="00F153F6">
        <w:rPr>
          <w:rFonts w:ascii="Times New Roman" w:hAnsi="Times New Roman" w:cs="Times New Roman"/>
          <w:sz w:val="24"/>
          <w:szCs w:val="24"/>
        </w:rPr>
        <w:fldChar w:fldCharType="end"/>
      </w:r>
      <w:r w:rsidR="003C29C3" w:rsidRPr="00F153F6">
        <w:rPr>
          <w:rFonts w:ascii="Times New Roman" w:hAnsi="Times New Roman" w:cs="Times New Roman"/>
          <w:sz w:val="24"/>
          <w:szCs w:val="24"/>
        </w:rPr>
        <w:t xml:space="preserve">, there is limited evidence to fully capture the nature of human knowledge from the perspective of ICT. The present research addresses this </w:t>
      </w:r>
      <w:r w:rsidR="00521E4A" w:rsidRPr="00F153F6">
        <w:rPr>
          <w:rFonts w:ascii="Times New Roman" w:hAnsi="Times New Roman" w:cs="Times New Roman"/>
          <w:sz w:val="24"/>
          <w:szCs w:val="24"/>
        </w:rPr>
        <w:t xml:space="preserve">theoretical gap by identifying the sociomateriality nature of knowledge: knowledge is shaped by not only social dimension (human purpose to know-how) but also the material dimension (the use of material artefacts such as ICT to fulfil the purpose). In addition, the present study also indicates that different knowledgeabilities have specific relations: knowledgeabilities </w:t>
      </w:r>
      <w:r w:rsidR="009C2735" w:rsidRPr="00F153F6">
        <w:rPr>
          <w:rFonts w:ascii="Times New Roman" w:hAnsi="Times New Roman" w:cs="Times New Roman"/>
          <w:sz w:val="24"/>
          <w:szCs w:val="24"/>
        </w:rPr>
        <w:t>may</w:t>
      </w:r>
      <w:r w:rsidR="00521E4A" w:rsidRPr="00F153F6">
        <w:rPr>
          <w:rFonts w:ascii="Times New Roman" w:hAnsi="Times New Roman" w:cs="Times New Roman"/>
          <w:sz w:val="24"/>
          <w:szCs w:val="24"/>
        </w:rPr>
        <w:t xml:space="preserve"> be enacted </w:t>
      </w:r>
      <w:r w:rsidR="009C2735" w:rsidRPr="00F153F6">
        <w:rPr>
          <w:rFonts w:ascii="Times New Roman" w:hAnsi="Times New Roman" w:cs="Times New Roman"/>
          <w:sz w:val="24"/>
          <w:szCs w:val="24"/>
        </w:rPr>
        <w:t>only under the condition of the enactment of other certain knowledgeability (in the present study, core knowledgeabilities can be enacted only under the condition of the enactment of inter-connecting knowledgeability); The enactment of knowledgeabilities may also result to enactment of other certain knowledgeability (in the present study, the enactment of core knowledgeabilities can result into co-ordinating knowledgeability). The identification of these inter-relationships among human knowledgeabilities extends current understanding of how human knowledge are intrinsically developed as they engage in ICT-based IOKE practice.</w:t>
      </w:r>
    </w:p>
    <w:p w14:paraId="7960CFC9" w14:textId="2420C06C" w:rsidR="0065122F" w:rsidRPr="00F153F6" w:rsidRDefault="000571B8"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Third</w:t>
      </w:r>
      <w:r w:rsidR="000E21B3" w:rsidRPr="00F153F6">
        <w:rPr>
          <w:rFonts w:ascii="Times New Roman" w:hAnsi="Times New Roman" w:cs="Times New Roman"/>
          <w:sz w:val="24"/>
          <w:szCs w:val="24"/>
        </w:rPr>
        <w:t xml:space="preserve">, </w:t>
      </w:r>
      <w:r w:rsidRPr="00F153F6">
        <w:rPr>
          <w:rFonts w:ascii="Times New Roman" w:hAnsi="Times New Roman" w:cs="Times New Roman"/>
          <w:sz w:val="24"/>
          <w:szCs w:val="24"/>
        </w:rPr>
        <w:t xml:space="preserve">the present study contributes to the extant literature </w:t>
      </w:r>
      <w:r w:rsidR="00C03D67" w:rsidRPr="00F153F6">
        <w:rPr>
          <w:rFonts w:ascii="Times New Roman" w:hAnsi="Times New Roman" w:cs="Times New Roman"/>
          <w:sz w:val="24"/>
          <w:szCs w:val="24"/>
        </w:rPr>
        <w:t xml:space="preserve">with a focus on the contextual development of ICT-based inter-organisational knowledge exchange practice by uncovering a multi-layer context and </w:t>
      </w:r>
      <w:r w:rsidR="002D694E" w:rsidRPr="00F153F6">
        <w:rPr>
          <w:rFonts w:ascii="Times New Roman" w:hAnsi="Times New Roman" w:cs="Times New Roman"/>
          <w:sz w:val="24"/>
          <w:szCs w:val="24"/>
        </w:rPr>
        <w:t>its</w:t>
      </w:r>
      <w:r w:rsidR="00C03D67" w:rsidRPr="00F153F6">
        <w:rPr>
          <w:rFonts w:ascii="Times New Roman" w:hAnsi="Times New Roman" w:cs="Times New Roman"/>
          <w:sz w:val="24"/>
          <w:szCs w:val="24"/>
        </w:rPr>
        <w:t xml:space="preserve"> evolving nature. This informs future research to not just focus on the inter-organisational context but also intra-organisational and wider environments when investigating ICT-based knowledge work. The evolving nature of the contexts demonstrates a dynamic perspective on the environment of inter-organisational collaboration, which informs future research to unpack more about how such </w:t>
      </w:r>
      <w:r w:rsidR="00F00150" w:rsidRPr="00F153F6">
        <w:rPr>
          <w:rFonts w:ascii="Times New Roman" w:hAnsi="Times New Roman" w:cs="Times New Roman"/>
          <w:sz w:val="24"/>
          <w:szCs w:val="24"/>
        </w:rPr>
        <w:t xml:space="preserve">a </w:t>
      </w:r>
      <w:r w:rsidR="00C03D67" w:rsidRPr="00F153F6">
        <w:rPr>
          <w:rFonts w:ascii="Times New Roman" w:hAnsi="Times New Roman" w:cs="Times New Roman"/>
          <w:sz w:val="24"/>
          <w:szCs w:val="24"/>
        </w:rPr>
        <w:t xml:space="preserve">dynamic is shaped and to what </w:t>
      </w:r>
      <w:r w:rsidR="00CF17CA" w:rsidRPr="00F153F6">
        <w:rPr>
          <w:rFonts w:ascii="Times New Roman" w:hAnsi="Times New Roman" w:cs="Times New Roman"/>
          <w:sz w:val="24"/>
          <w:szCs w:val="24"/>
        </w:rPr>
        <w:t>extent</w:t>
      </w:r>
      <w:r w:rsidR="00C03D67" w:rsidRPr="00F153F6">
        <w:rPr>
          <w:rFonts w:ascii="Times New Roman" w:hAnsi="Times New Roman" w:cs="Times New Roman"/>
          <w:sz w:val="24"/>
          <w:szCs w:val="24"/>
        </w:rPr>
        <w:t xml:space="preserve"> it </w:t>
      </w:r>
      <w:r w:rsidR="00CF17CA" w:rsidRPr="00F153F6">
        <w:rPr>
          <w:rFonts w:ascii="Times New Roman" w:hAnsi="Times New Roman" w:cs="Times New Roman"/>
          <w:sz w:val="24"/>
          <w:szCs w:val="24"/>
        </w:rPr>
        <w:t>influences</w:t>
      </w:r>
      <w:r w:rsidR="00C03D67" w:rsidRPr="00F153F6">
        <w:rPr>
          <w:rFonts w:ascii="Times New Roman" w:hAnsi="Times New Roman" w:cs="Times New Roman"/>
          <w:sz w:val="24"/>
          <w:szCs w:val="24"/>
        </w:rPr>
        <w:t xml:space="preserve"> the ICT-based knowledge work.  </w:t>
      </w:r>
    </w:p>
    <w:p w14:paraId="2E21B5EA" w14:textId="6076C246" w:rsidR="00975561" w:rsidRPr="00F153F6" w:rsidRDefault="00C463C4"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Fourth, the present study contributes to the studies that attempt to investigate knowledge management and project management </w:t>
      </w:r>
      <w:r w:rsidR="006F4A61" w:rsidRPr="00F153F6">
        <w:rPr>
          <w:rFonts w:ascii="Times New Roman" w:hAnsi="Times New Roman" w:cs="Times New Roman"/>
          <w:sz w:val="24"/>
          <w:szCs w:val="24"/>
        </w:rPr>
        <w:t xml:space="preserve">(i.e., project coordination in particular) </w:t>
      </w:r>
      <w:r w:rsidRPr="00F153F6">
        <w:rPr>
          <w:rFonts w:ascii="Times New Roman" w:hAnsi="Times New Roman" w:cs="Times New Roman"/>
          <w:sz w:val="24"/>
          <w:szCs w:val="24"/>
        </w:rPr>
        <w:t xml:space="preserve">in conjunction. </w:t>
      </w:r>
      <w:r w:rsidRPr="00F153F6">
        <w:rPr>
          <w:rFonts w:ascii="Times New Roman" w:hAnsi="Times New Roman" w:cs="Times New Roman"/>
          <w:sz w:val="24"/>
          <w:szCs w:val="24"/>
        </w:rPr>
        <w:lastRenderedPageBreak/>
        <w:t>By demonstrating a</w:t>
      </w:r>
      <w:r w:rsidR="007C491F" w:rsidRPr="00F153F6">
        <w:rPr>
          <w:rFonts w:ascii="Times New Roman" w:hAnsi="Times New Roman" w:cs="Times New Roman"/>
          <w:sz w:val="24"/>
          <w:szCs w:val="24"/>
        </w:rPr>
        <w:t xml:space="preserve"> </w:t>
      </w:r>
      <w:r w:rsidRPr="00F153F6">
        <w:rPr>
          <w:rFonts w:ascii="Times New Roman" w:hAnsi="Times New Roman" w:cs="Times New Roman"/>
          <w:sz w:val="24"/>
          <w:szCs w:val="24"/>
        </w:rPr>
        <w:t xml:space="preserve">relationship between core knowledgeability (i.e., know-how in the </w:t>
      </w:r>
      <w:r w:rsidR="00CF17CA" w:rsidRPr="00F153F6">
        <w:rPr>
          <w:rFonts w:ascii="Times New Roman" w:hAnsi="Times New Roman" w:cs="Times New Roman"/>
          <w:sz w:val="24"/>
          <w:szCs w:val="24"/>
        </w:rPr>
        <w:t>pursuit</w:t>
      </w:r>
      <w:r w:rsidRPr="00F153F6">
        <w:rPr>
          <w:rFonts w:ascii="Times New Roman" w:hAnsi="Times New Roman" w:cs="Times New Roman"/>
          <w:sz w:val="24"/>
          <w:szCs w:val="24"/>
        </w:rPr>
        <w:t xml:space="preserve"> of project goals) and</w:t>
      </w:r>
      <w:r w:rsidR="00CF17CA" w:rsidRPr="00F153F6">
        <w:rPr>
          <w:rFonts w:ascii="Times New Roman" w:hAnsi="Times New Roman" w:cs="Times New Roman"/>
          <w:sz w:val="24"/>
          <w:szCs w:val="24"/>
        </w:rPr>
        <w:t xml:space="preserve"> the</w:t>
      </w:r>
      <w:r w:rsidRPr="00F153F6">
        <w:rPr>
          <w:rFonts w:ascii="Times New Roman" w:hAnsi="Times New Roman" w:cs="Times New Roman"/>
          <w:sz w:val="24"/>
          <w:szCs w:val="24"/>
        </w:rPr>
        <w:t xml:space="preserve"> resulting knowledgeability (i.e., know-how for project </w:t>
      </w:r>
      <w:r w:rsidR="006F4A61" w:rsidRPr="00F153F6">
        <w:rPr>
          <w:rFonts w:ascii="Times New Roman" w:hAnsi="Times New Roman" w:cs="Times New Roman"/>
          <w:sz w:val="24"/>
          <w:szCs w:val="24"/>
        </w:rPr>
        <w:t>coordination</w:t>
      </w:r>
      <w:r w:rsidRPr="00F153F6">
        <w:rPr>
          <w:rFonts w:ascii="Times New Roman" w:hAnsi="Times New Roman" w:cs="Times New Roman"/>
          <w:sz w:val="24"/>
          <w:szCs w:val="24"/>
        </w:rPr>
        <w:t>)</w:t>
      </w:r>
      <w:r w:rsidR="00CF17CA" w:rsidRPr="00F153F6">
        <w:rPr>
          <w:rFonts w:ascii="Times New Roman" w:hAnsi="Times New Roman" w:cs="Times New Roman"/>
          <w:sz w:val="24"/>
          <w:szCs w:val="24"/>
        </w:rPr>
        <w:t>, the present study integrates both knowledge-oriented and project</w:t>
      </w:r>
      <w:r w:rsidR="006F4A61" w:rsidRPr="00F153F6">
        <w:rPr>
          <w:rFonts w:ascii="Times New Roman" w:hAnsi="Times New Roman" w:cs="Times New Roman"/>
          <w:sz w:val="24"/>
          <w:szCs w:val="24"/>
        </w:rPr>
        <w:t xml:space="preserve"> coordination</w:t>
      </w:r>
      <w:r w:rsidR="00CF17CA" w:rsidRPr="00F153F6">
        <w:rPr>
          <w:rFonts w:ascii="Times New Roman" w:hAnsi="Times New Roman" w:cs="Times New Roman"/>
          <w:sz w:val="24"/>
          <w:szCs w:val="24"/>
        </w:rPr>
        <w:t xml:space="preserve">-oriented practices and thus provide new insights on the interactive relationship between knowledge and project management. Further, by demonstrating a co-evolutionary process among knowledge, ICT, and project </w:t>
      </w:r>
      <w:r w:rsidR="006F4A61" w:rsidRPr="00F153F6">
        <w:rPr>
          <w:rFonts w:ascii="Times New Roman" w:hAnsi="Times New Roman" w:cs="Times New Roman"/>
          <w:sz w:val="24"/>
          <w:szCs w:val="24"/>
        </w:rPr>
        <w:t>coordination</w:t>
      </w:r>
      <w:r w:rsidR="00CF17CA" w:rsidRPr="00F153F6">
        <w:rPr>
          <w:rFonts w:ascii="Times New Roman" w:hAnsi="Times New Roman" w:cs="Times New Roman"/>
          <w:sz w:val="24"/>
          <w:szCs w:val="24"/>
        </w:rPr>
        <w:t xml:space="preserve"> activities over different</w:t>
      </w:r>
      <w:r w:rsidR="007C491F" w:rsidRPr="00F153F6">
        <w:rPr>
          <w:rFonts w:ascii="Times New Roman" w:hAnsi="Times New Roman" w:cs="Times New Roman"/>
          <w:sz w:val="24"/>
          <w:szCs w:val="24"/>
        </w:rPr>
        <w:t xml:space="preserve"> project</w:t>
      </w:r>
      <w:r w:rsidR="00CF17CA" w:rsidRPr="00F153F6">
        <w:rPr>
          <w:rFonts w:ascii="Times New Roman" w:hAnsi="Times New Roman" w:cs="Times New Roman"/>
          <w:sz w:val="24"/>
          <w:szCs w:val="24"/>
        </w:rPr>
        <w:t xml:space="preserve"> stages, the present study extends existing knowledge on the </w:t>
      </w:r>
      <w:r w:rsidR="00F4778A" w:rsidRPr="00F153F6">
        <w:rPr>
          <w:rFonts w:ascii="Times New Roman" w:hAnsi="Times New Roman" w:cs="Times New Roman"/>
          <w:sz w:val="24"/>
          <w:szCs w:val="24"/>
        </w:rPr>
        <w:t>evolving</w:t>
      </w:r>
      <w:r w:rsidR="00CF17CA" w:rsidRPr="00F153F6">
        <w:rPr>
          <w:rFonts w:ascii="Times New Roman" w:hAnsi="Times New Roman" w:cs="Times New Roman"/>
          <w:sz w:val="24"/>
          <w:szCs w:val="24"/>
        </w:rPr>
        <w:t xml:space="preserve"> dynamics between knowledge and project </w:t>
      </w:r>
      <w:r w:rsidR="006F4A61" w:rsidRPr="00F153F6">
        <w:rPr>
          <w:rFonts w:ascii="Times New Roman" w:hAnsi="Times New Roman" w:cs="Times New Roman"/>
          <w:sz w:val="24"/>
          <w:szCs w:val="24"/>
        </w:rPr>
        <w:t>coordination</w:t>
      </w:r>
      <w:r w:rsidR="00CF17CA" w:rsidRPr="00F153F6">
        <w:rPr>
          <w:rFonts w:ascii="Times New Roman" w:hAnsi="Times New Roman" w:cs="Times New Roman"/>
          <w:sz w:val="24"/>
          <w:szCs w:val="24"/>
        </w:rPr>
        <w:t xml:space="preserve">. This provides further insights on the integration of knowledge management and project </w:t>
      </w:r>
      <w:r w:rsidR="006F4A61" w:rsidRPr="00F153F6">
        <w:rPr>
          <w:rFonts w:ascii="Times New Roman" w:hAnsi="Times New Roman" w:cs="Times New Roman"/>
          <w:sz w:val="24"/>
          <w:szCs w:val="24"/>
        </w:rPr>
        <w:t>coordination-related management</w:t>
      </w:r>
      <w:r w:rsidR="00CF17CA" w:rsidRPr="00F153F6">
        <w:rPr>
          <w:rFonts w:ascii="Times New Roman" w:hAnsi="Times New Roman" w:cs="Times New Roman"/>
          <w:sz w:val="24"/>
          <w:szCs w:val="24"/>
        </w:rPr>
        <w:t xml:space="preserve"> and thus informs </w:t>
      </w:r>
      <w:r w:rsidR="007C491F" w:rsidRPr="00F153F6">
        <w:rPr>
          <w:rFonts w:ascii="Times New Roman" w:hAnsi="Times New Roman" w:cs="Times New Roman"/>
          <w:sz w:val="24"/>
          <w:szCs w:val="24"/>
        </w:rPr>
        <w:t xml:space="preserve">future </w:t>
      </w:r>
      <w:r w:rsidR="00CF17CA" w:rsidRPr="00F153F6">
        <w:rPr>
          <w:rFonts w:ascii="Times New Roman" w:hAnsi="Times New Roman" w:cs="Times New Roman"/>
          <w:sz w:val="24"/>
          <w:szCs w:val="24"/>
        </w:rPr>
        <w:t xml:space="preserve">research direction when interrogating this interdisciplinary area. </w:t>
      </w:r>
    </w:p>
    <w:p w14:paraId="66B573A6" w14:textId="77777777" w:rsidR="00CF17CA" w:rsidRPr="00F153F6" w:rsidRDefault="00CF17CA" w:rsidP="004424B4">
      <w:pPr>
        <w:spacing w:line="360" w:lineRule="auto"/>
        <w:jc w:val="both"/>
        <w:rPr>
          <w:rFonts w:ascii="Times New Roman" w:hAnsi="Times New Roman" w:cs="Times New Roman"/>
        </w:rPr>
      </w:pPr>
    </w:p>
    <w:p w14:paraId="63A630EC" w14:textId="7E6D4064" w:rsidR="00985293" w:rsidRPr="00F153F6" w:rsidRDefault="00985293" w:rsidP="004424B4">
      <w:pPr>
        <w:pStyle w:val="Heading2"/>
        <w:spacing w:line="360" w:lineRule="auto"/>
        <w:rPr>
          <w:rFonts w:ascii="Times New Roman" w:hAnsi="Times New Roman" w:cs="Times New Roman"/>
          <w:sz w:val="32"/>
          <w:szCs w:val="32"/>
        </w:rPr>
      </w:pPr>
      <w:bookmarkStart w:id="678" w:name="_Toc133252192"/>
      <w:r w:rsidRPr="00F153F6">
        <w:rPr>
          <w:rFonts w:ascii="Times New Roman" w:hAnsi="Times New Roman" w:cs="Times New Roman"/>
          <w:sz w:val="32"/>
          <w:szCs w:val="32"/>
        </w:rPr>
        <w:t>6.</w:t>
      </w:r>
      <w:r w:rsidR="00975561" w:rsidRPr="00F153F6">
        <w:rPr>
          <w:rFonts w:ascii="Times New Roman" w:hAnsi="Times New Roman" w:cs="Times New Roman"/>
          <w:sz w:val="32"/>
          <w:szCs w:val="32"/>
        </w:rPr>
        <w:t>3</w:t>
      </w:r>
      <w:r w:rsidRPr="00F153F6">
        <w:rPr>
          <w:rFonts w:ascii="Times New Roman" w:hAnsi="Times New Roman" w:cs="Times New Roman"/>
          <w:sz w:val="32"/>
          <w:szCs w:val="32"/>
        </w:rPr>
        <w:t xml:space="preserve"> Practical Contribution</w:t>
      </w:r>
      <w:bookmarkEnd w:id="678"/>
    </w:p>
    <w:p w14:paraId="42EA7CF3" w14:textId="018D063E" w:rsidR="00666957" w:rsidRPr="00F153F6" w:rsidRDefault="00666957"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terms of a practical contribution, the study provides a better understanding of ICT-based knowledge management for European Living Labs. Specifically, the research has identified how </w:t>
      </w:r>
      <w:r w:rsidR="00964DE8" w:rsidRPr="00F153F6">
        <w:rPr>
          <w:rFonts w:ascii="Times New Roman" w:hAnsi="Times New Roman" w:cs="Times New Roman"/>
          <w:sz w:val="24"/>
          <w:szCs w:val="24"/>
        </w:rPr>
        <w:t>ICT</w:t>
      </w:r>
      <w:r w:rsidRPr="00F153F6">
        <w:rPr>
          <w:rFonts w:ascii="Times New Roman" w:hAnsi="Times New Roman" w:cs="Times New Roman"/>
          <w:sz w:val="24"/>
          <w:szCs w:val="24"/>
        </w:rPr>
        <w:t xml:space="preserve"> can be leveraged towards understanding and addressing the needs of their customers, suppliers, business partners or governments – traditional Living Labs stakeholders - with the aim of developing better products and services. Different activities that afford distinct knowledgeabilities are identified, which allows Living Lab managers to organise distinct project activities to improve their knowledge management throughout the project. Living Lab project members can also develop their knowledge or skills on project collaboration by better understanding what and how knowledgeabilities are enacted in their inter-organisation practice. Schuurman et al. </w:t>
      </w:r>
      <w:r w:rsidRPr="00F153F6">
        <w:rPr>
          <w:rFonts w:ascii="Times New Roman" w:hAnsi="Times New Roman" w:cs="Times New Roman"/>
          <w:sz w:val="24"/>
          <w:szCs w:val="24"/>
        </w:rPr>
        <w:fldChar w:fldCharType="begin"/>
      </w:r>
      <w:r w:rsidR="00CA6A6A" w:rsidRPr="00F153F6">
        <w:rPr>
          <w:rFonts w:ascii="Times New Roman" w:hAnsi="Times New Roman" w:cs="Times New Roman"/>
          <w:sz w:val="24"/>
          <w:szCs w:val="24"/>
        </w:rPr>
        <w:instrText xml:space="preserve"> ADDIN ZOTERO_ITEM CSL_CITATION {"citationID":"oJLJJGOB","properties":{"formattedCitation":"(2015)","plainCitation":"(2015)","dontUpdate":true,"noteIndex":0},"citationItems":[{"id":135,"uris":["http://zotero.org/users/5709166/items/8IHGVM5Q"],"itemData":{"id":135,"type":"article-journal","abstract":"This paper presents a systematic literature review of the body of scientific Living Labs literature. Based on a general review of the Google Scholar and Web of Science databases, we can conclude that the Living Labs movement in terms of theory and research has taken off since 2006 in quantity of published papers. However, in terms of quality and impact, the academic field of Living Labs is still rather insignificant. An analysis of the 45 most cited papers reveals that the practice-based side is much further developed than the theoretical side, with only few references to more established innovation theories such as Open Innovation and User Innovation, despite the fact that concepts from both literature streams are present in all papers. Strikingly, 18 out of 45 papers refer to no framework at all, remaining merely descriptive. There is also a lack of empirical, more quantitative and comparative studies that focus on the added value of Living Labs. This paints the picture of Living Labs as a research domain in development which calls for a better anchoring within more established innovation theories in order to advance the field.","language":"en","page":"17","source":"Zotero","title":"Living Labs: a systematic literature review","author":[{"family":"Schuurman","given":"Dimitri"},{"family":"Marez","given":"Lieven De"},{"family":"Ballon","given":"Pieter"}],"issued":{"date-parts":[["2015"]]}},"suppress-author":true}],"schema":"https://github.com/citation-style-language/schema/raw/master/csl-citation.json"} </w:instrText>
      </w:r>
      <w:r w:rsidRPr="00F153F6">
        <w:rPr>
          <w:rFonts w:ascii="Times New Roman" w:hAnsi="Times New Roman" w:cs="Times New Roman"/>
          <w:sz w:val="24"/>
          <w:szCs w:val="24"/>
        </w:rPr>
        <w:fldChar w:fldCharType="separate"/>
      </w:r>
      <w:r w:rsidRPr="00F153F6">
        <w:rPr>
          <w:rFonts w:ascii="Times New Roman" w:hAnsi="Times New Roman" w:cs="Times New Roman"/>
          <w:sz w:val="24"/>
          <w:szCs w:val="28"/>
        </w:rPr>
        <w:t>(2015, p. 12)</w:t>
      </w:r>
      <w:r w:rsidRPr="00F153F6">
        <w:rPr>
          <w:rFonts w:ascii="Times New Roman" w:hAnsi="Times New Roman" w:cs="Times New Roman"/>
          <w:sz w:val="24"/>
          <w:szCs w:val="24"/>
        </w:rPr>
        <w:fldChar w:fldCharType="end"/>
      </w:r>
      <w:r w:rsidRPr="00F153F6">
        <w:rPr>
          <w:rFonts w:ascii="Times New Roman" w:hAnsi="Times New Roman" w:cs="Times New Roman"/>
          <w:sz w:val="24"/>
          <w:szCs w:val="24"/>
        </w:rPr>
        <w:t xml:space="preserve"> argues that current </w:t>
      </w:r>
      <w:r w:rsidR="00BF50A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literature is rather silent and posits </w:t>
      </w:r>
      <w:r w:rsidR="00BF50A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 as an ‘everything is possible’ concept that “resemble[s] an empty box…that you can put whatever methodology or research approach inside”. Therefore, this research can add value to the understanding of </w:t>
      </w:r>
      <w:r w:rsidR="00BF50A2" w:rsidRPr="00F153F6">
        <w:rPr>
          <w:rFonts w:ascii="Times New Roman" w:hAnsi="Times New Roman" w:cs="Times New Roman"/>
          <w:sz w:val="24"/>
          <w:szCs w:val="24"/>
        </w:rPr>
        <w:t>Living Lab</w:t>
      </w:r>
      <w:r w:rsidRPr="00F153F6">
        <w:rPr>
          <w:rFonts w:ascii="Times New Roman" w:hAnsi="Times New Roman" w:cs="Times New Roman"/>
          <w:sz w:val="24"/>
          <w:szCs w:val="24"/>
        </w:rPr>
        <w:t xml:space="preserve">’s internal abstract interactions, specifically inter-organisational knowledge exchange, so that </w:t>
      </w:r>
      <w:r w:rsidR="00B7577B" w:rsidRPr="00F153F6">
        <w:rPr>
          <w:rFonts w:ascii="Times New Roman" w:hAnsi="Times New Roman" w:cs="Times New Roman"/>
          <w:sz w:val="24"/>
          <w:szCs w:val="24"/>
        </w:rPr>
        <w:t xml:space="preserve">it can attempt to </w:t>
      </w:r>
      <w:r w:rsidRPr="00F153F6">
        <w:rPr>
          <w:rFonts w:ascii="Times New Roman" w:hAnsi="Times New Roman" w:cs="Times New Roman"/>
          <w:sz w:val="24"/>
          <w:szCs w:val="24"/>
        </w:rPr>
        <w:t>partially fills the ‘box’ and make it explicit and structural.</w:t>
      </w:r>
    </w:p>
    <w:p w14:paraId="64EA2AFC" w14:textId="04C62F19" w:rsidR="00985293" w:rsidRPr="00F153F6" w:rsidRDefault="00C42CB0"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addition, </w:t>
      </w:r>
      <w:r w:rsidR="00666957" w:rsidRPr="00F153F6">
        <w:rPr>
          <w:rFonts w:ascii="Times New Roman" w:hAnsi="Times New Roman" w:cs="Times New Roman"/>
          <w:sz w:val="24"/>
          <w:szCs w:val="24"/>
        </w:rPr>
        <w:t xml:space="preserve">this study provides insights not only for </w:t>
      </w:r>
      <w:r w:rsidR="00BF50A2" w:rsidRPr="00F153F6">
        <w:rPr>
          <w:rFonts w:ascii="Times New Roman" w:hAnsi="Times New Roman" w:cs="Times New Roman"/>
          <w:sz w:val="24"/>
          <w:szCs w:val="24"/>
        </w:rPr>
        <w:t>Living Lab</w:t>
      </w:r>
      <w:r w:rsidR="00666957" w:rsidRPr="00F153F6">
        <w:rPr>
          <w:rFonts w:ascii="Times New Roman" w:hAnsi="Times New Roman" w:cs="Times New Roman"/>
          <w:sz w:val="24"/>
          <w:szCs w:val="24"/>
        </w:rPr>
        <w:t xml:space="preserve">s, but also for similar project-based temporary inter-organisational work settings where knowledge exchange through the use of </w:t>
      </w:r>
      <w:r w:rsidR="00964DE8" w:rsidRPr="00F153F6">
        <w:rPr>
          <w:rFonts w:ascii="Times New Roman" w:hAnsi="Times New Roman" w:cs="Times New Roman"/>
          <w:sz w:val="24"/>
          <w:szCs w:val="24"/>
        </w:rPr>
        <w:t>ICT</w:t>
      </w:r>
      <w:r w:rsidR="00666957" w:rsidRPr="00F153F6">
        <w:rPr>
          <w:rFonts w:ascii="Times New Roman" w:hAnsi="Times New Roman" w:cs="Times New Roman"/>
          <w:sz w:val="24"/>
          <w:szCs w:val="24"/>
        </w:rPr>
        <w:t xml:space="preserve"> is essential. Specifically, this study can inform the design processes of ICT artefacts and applications that are typically used for inter-organisational collaboration and </w:t>
      </w:r>
      <w:r w:rsidR="00666957" w:rsidRPr="00F153F6">
        <w:rPr>
          <w:rFonts w:ascii="Times New Roman" w:hAnsi="Times New Roman" w:cs="Times New Roman"/>
          <w:sz w:val="24"/>
          <w:szCs w:val="24"/>
        </w:rPr>
        <w:lastRenderedPageBreak/>
        <w:t xml:space="preserve">communication. This study has identified different technology affordances and constraints that reveal what project ICT users need </w:t>
      </w:r>
      <w:r w:rsidR="00B7577B" w:rsidRPr="00F153F6">
        <w:rPr>
          <w:rFonts w:ascii="Times New Roman" w:hAnsi="Times New Roman" w:cs="Times New Roman"/>
          <w:sz w:val="24"/>
          <w:szCs w:val="24"/>
        </w:rPr>
        <w:t xml:space="preserve">to know </w:t>
      </w:r>
      <w:r w:rsidR="00666957" w:rsidRPr="00F153F6">
        <w:rPr>
          <w:rFonts w:ascii="Times New Roman" w:hAnsi="Times New Roman" w:cs="Times New Roman"/>
          <w:sz w:val="24"/>
          <w:szCs w:val="24"/>
        </w:rPr>
        <w:t xml:space="preserve">or not about existing ICT artefacts, which is of great value for ICT product designers. In addition, this study offers insights into how project stakeholders could use </w:t>
      </w:r>
      <w:r w:rsidR="00964DE8" w:rsidRPr="00F153F6">
        <w:rPr>
          <w:rFonts w:ascii="Times New Roman" w:hAnsi="Times New Roman" w:cs="Times New Roman"/>
          <w:sz w:val="24"/>
          <w:szCs w:val="24"/>
        </w:rPr>
        <w:t>ICT</w:t>
      </w:r>
      <w:r w:rsidR="00666957" w:rsidRPr="00F153F6">
        <w:rPr>
          <w:rFonts w:ascii="Times New Roman" w:hAnsi="Times New Roman" w:cs="Times New Roman"/>
          <w:sz w:val="24"/>
          <w:szCs w:val="24"/>
        </w:rPr>
        <w:t xml:space="preserve"> to support their collaboration across their project stage. By understanding how ICT mediate</w:t>
      </w:r>
      <w:r w:rsidR="00964DE8" w:rsidRPr="00F153F6">
        <w:rPr>
          <w:rFonts w:ascii="Times New Roman" w:hAnsi="Times New Roman" w:cs="Times New Roman"/>
          <w:sz w:val="24"/>
          <w:szCs w:val="24"/>
        </w:rPr>
        <w:t>s</w:t>
      </w:r>
      <w:r w:rsidR="00666957" w:rsidRPr="00F153F6">
        <w:rPr>
          <w:rFonts w:ascii="Times New Roman" w:hAnsi="Times New Roman" w:cs="Times New Roman"/>
          <w:sz w:val="24"/>
          <w:szCs w:val="24"/>
        </w:rPr>
        <w:t xml:space="preserve"> different knowledgeabilities, project stakeholders may use </w:t>
      </w:r>
      <w:r w:rsidR="00964DE8" w:rsidRPr="00F153F6">
        <w:rPr>
          <w:rFonts w:ascii="Times New Roman" w:hAnsi="Times New Roman" w:cs="Times New Roman"/>
          <w:sz w:val="24"/>
          <w:szCs w:val="24"/>
        </w:rPr>
        <w:t>ICT</w:t>
      </w:r>
      <w:r w:rsidR="00666957" w:rsidRPr="00F153F6">
        <w:rPr>
          <w:rFonts w:ascii="Times New Roman" w:hAnsi="Times New Roman" w:cs="Times New Roman"/>
          <w:sz w:val="24"/>
          <w:szCs w:val="24"/>
        </w:rPr>
        <w:t xml:space="preserve"> smarter to support their collaboration, largely improving project workplace effectiveness and facilitate inter-organisational digital transformation.</w:t>
      </w:r>
    </w:p>
    <w:p w14:paraId="17E4E107" w14:textId="77777777" w:rsidR="00975561" w:rsidRPr="00F153F6" w:rsidRDefault="00975561" w:rsidP="004424B4">
      <w:pPr>
        <w:spacing w:line="360" w:lineRule="auto"/>
        <w:jc w:val="both"/>
        <w:rPr>
          <w:rFonts w:ascii="Times New Roman" w:hAnsi="Times New Roman" w:cs="Times New Roman"/>
        </w:rPr>
      </w:pPr>
    </w:p>
    <w:p w14:paraId="35CF4D92" w14:textId="48C37341" w:rsidR="00985293" w:rsidRPr="00F153F6" w:rsidRDefault="00985293" w:rsidP="004424B4">
      <w:pPr>
        <w:pStyle w:val="Heading2"/>
        <w:spacing w:line="360" w:lineRule="auto"/>
        <w:rPr>
          <w:rFonts w:ascii="Times New Roman" w:hAnsi="Times New Roman" w:cs="Times New Roman"/>
          <w:sz w:val="32"/>
          <w:szCs w:val="32"/>
          <w:lang w:val="en-US"/>
        </w:rPr>
      </w:pPr>
      <w:bookmarkStart w:id="679" w:name="_Toc133252193"/>
      <w:r w:rsidRPr="00F153F6">
        <w:rPr>
          <w:rFonts w:ascii="Times New Roman" w:hAnsi="Times New Roman" w:cs="Times New Roman"/>
          <w:sz w:val="32"/>
          <w:szCs w:val="32"/>
        </w:rPr>
        <w:t>6.</w:t>
      </w:r>
      <w:r w:rsidR="00975561" w:rsidRPr="00F153F6">
        <w:rPr>
          <w:rFonts w:ascii="Times New Roman" w:hAnsi="Times New Roman" w:cs="Times New Roman"/>
          <w:sz w:val="32"/>
          <w:szCs w:val="32"/>
        </w:rPr>
        <w:t>4</w:t>
      </w:r>
      <w:r w:rsidRPr="00F153F6">
        <w:rPr>
          <w:rFonts w:ascii="Times New Roman" w:hAnsi="Times New Roman" w:cs="Times New Roman"/>
          <w:sz w:val="32"/>
          <w:szCs w:val="32"/>
        </w:rPr>
        <w:t xml:space="preserve"> Limitations and Future Research</w:t>
      </w:r>
      <w:bookmarkEnd w:id="679"/>
      <w:r w:rsidRPr="00F153F6">
        <w:rPr>
          <w:rFonts w:ascii="Times New Roman" w:hAnsi="Times New Roman" w:cs="Times New Roman"/>
          <w:sz w:val="32"/>
          <w:szCs w:val="32"/>
        </w:rPr>
        <w:t xml:space="preserve"> </w:t>
      </w:r>
    </w:p>
    <w:p w14:paraId="7615B69F" w14:textId="3456E4D0" w:rsidR="00C42CB0" w:rsidRPr="00F153F6" w:rsidRDefault="00C42CB0"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This research has its own limitations in terms of the research scope</w:t>
      </w:r>
      <w:r w:rsidR="00A64573" w:rsidRPr="00F153F6">
        <w:rPr>
          <w:rFonts w:ascii="Times New Roman" w:hAnsi="Times New Roman" w:cs="Times New Roman"/>
          <w:sz w:val="24"/>
          <w:szCs w:val="24"/>
        </w:rPr>
        <w:t xml:space="preserve"> and </w:t>
      </w:r>
      <w:r w:rsidRPr="00F153F6">
        <w:rPr>
          <w:rFonts w:ascii="Times New Roman" w:hAnsi="Times New Roman" w:cs="Times New Roman"/>
          <w:sz w:val="24"/>
          <w:szCs w:val="24"/>
        </w:rPr>
        <w:t>methodology</w:t>
      </w:r>
      <w:r w:rsidR="005D1228" w:rsidRPr="00F153F6">
        <w:rPr>
          <w:rFonts w:ascii="Times New Roman" w:hAnsi="Times New Roman" w:cs="Times New Roman"/>
          <w:sz w:val="24"/>
          <w:szCs w:val="24"/>
        </w:rPr>
        <w:t>. This may inform future research to investigate in more depth and width.</w:t>
      </w:r>
    </w:p>
    <w:p w14:paraId="23721998" w14:textId="656BD56A" w:rsidR="00A64573" w:rsidRPr="00F153F6" w:rsidRDefault="005D1228"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With regards to the research scope, this research </w:t>
      </w:r>
      <w:r w:rsidR="009F496F" w:rsidRPr="00F153F6">
        <w:rPr>
          <w:rFonts w:ascii="Times New Roman" w:hAnsi="Times New Roman" w:cs="Times New Roman"/>
          <w:sz w:val="24"/>
          <w:szCs w:val="24"/>
        </w:rPr>
        <w:t>has deeply investigated ICT-based IOKE practice for inter-organisational setting. However, as discussed in literature review (2.4.1), inter-organisational collaboration only represents one form of many inter-organisational relations. ICT-based IOKE practice can also take place in other settings such as inter-organisational coordination and inter-organisational cooperation. The characteristics of the setting may vary and the ICT-based IOKE practice that take place in that setting may also vary in its nature. This calls for future research to study ICT-based IOKE practice in other settings towards a more generalised understanding to ICT-based IOKE practice.</w:t>
      </w:r>
    </w:p>
    <w:p w14:paraId="4C78E948" w14:textId="6B243688" w:rsidR="00F716D2" w:rsidRPr="00F153F6" w:rsidRDefault="00F716D2"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With regards to the research methodology, this research has adopted Glaserian version of Grounded Theory Methodology and attempted to strictly follow the principles suggested in the Grounded Theory such as keeping open mind to existing theories until the late stage of analysis. However, although the research</w:t>
      </w:r>
      <w:r w:rsidR="00CA6A6A" w:rsidRPr="00F153F6">
        <w:rPr>
          <w:rFonts w:ascii="Times New Roman" w:hAnsi="Times New Roman" w:cs="Times New Roman"/>
          <w:sz w:val="24"/>
          <w:szCs w:val="24"/>
        </w:rPr>
        <w:t>er</w:t>
      </w:r>
      <w:r w:rsidRPr="00F153F6">
        <w:rPr>
          <w:rFonts w:ascii="Times New Roman" w:hAnsi="Times New Roman" w:cs="Times New Roman"/>
          <w:sz w:val="24"/>
          <w:szCs w:val="24"/>
        </w:rPr>
        <w:t xml:space="preserve"> attempted to </w:t>
      </w:r>
      <w:r w:rsidR="00CA6A6A" w:rsidRPr="00F153F6">
        <w:rPr>
          <w:rFonts w:ascii="Times New Roman" w:hAnsi="Times New Roman" w:cs="Times New Roman"/>
          <w:sz w:val="24"/>
          <w:szCs w:val="24"/>
        </w:rPr>
        <w:t xml:space="preserve">only use relevant theories for developing theoretical sensitivity, it is unlikely to put the awareness of those theories entirely aside during data analysis </w:t>
      </w:r>
      <w:r w:rsidR="00CA6A6A" w:rsidRPr="00F153F6">
        <w:rPr>
          <w:rFonts w:ascii="Times New Roman" w:hAnsi="Times New Roman" w:cs="Times New Roman"/>
          <w:sz w:val="24"/>
          <w:szCs w:val="24"/>
        </w:rPr>
        <w:fldChar w:fldCharType="begin"/>
      </w:r>
      <w:r w:rsidR="00CA6A6A" w:rsidRPr="00F153F6">
        <w:rPr>
          <w:rFonts w:ascii="Times New Roman" w:hAnsi="Times New Roman" w:cs="Times New Roman"/>
          <w:sz w:val="24"/>
          <w:szCs w:val="24"/>
        </w:rPr>
        <w:instrText xml:space="preserve"> ADDIN ZOTERO_ITEM CSL_CITATION {"citationID":"qUA02hkL","properties":{"formattedCitation":"(Bryman, 2012)","plainCitation":"(Bryman, 2012)","noteIndex":0},"citationItems":[{"id":2296,"uris":["http://zotero.org/users/5709166/items/GKGEVL25"],"itemData":{"id":2296,"type":"book","call-number":"H62 .B787 2012","edition":"4th ed","event-place":"Oxford ; New York","ISBN":"978-0-19-958805-3","language":"en","number-of-pages":"766","publisher":"Oxford University Press","publisher-place":"Oxford ; New York","source":"Library of Congress ISBN","title":"Social research methods","author":[{"family":"Bryman","given":"Alan"}],"issued":{"date-parts":[["2012"]]}}}],"schema":"https://github.com/citation-style-language/schema/raw/master/csl-citation.json"} </w:instrText>
      </w:r>
      <w:r w:rsidR="00CA6A6A" w:rsidRPr="00F153F6">
        <w:rPr>
          <w:rFonts w:ascii="Times New Roman" w:hAnsi="Times New Roman" w:cs="Times New Roman"/>
          <w:sz w:val="24"/>
          <w:szCs w:val="24"/>
        </w:rPr>
        <w:fldChar w:fldCharType="separate"/>
      </w:r>
      <w:r w:rsidR="00CA6A6A" w:rsidRPr="00F153F6">
        <w:rPr>
          <w:rFonts w:ascii="Times New Roman" w:hAnsi="Times New Roman" w:cs="Times New Roman"/>
          <w:sz w:val="24"/>
          <w:szCs w:val="24"/>
        </w:rPr>
        <w:t>(Bryman, 2012)</w:t>
      </w:r>
      <w:r w:rsidR="00CA6A6A" w:rsidRPr="00F153F6">
        <w:rPr>
          <w:rFonts w:ascii="Times New Roman" w:hAnsi="Times New Roman" w:cs="Times New Roman"/>
          <w:sz w:val="24"/>
          <w:szCs w:val="24"/>
        </w:rPr>
        <w:fldChar w:fldCharType="end"/>
      </w:r>
      <w:r w:rsidR="00CA6A6A" w:rsidRPr="00F153F6">
        <w:rPr>
          <w:rFonts w:ascii="Times New Roman" w:hAnsi="Times New Roman" w:cs="Times New Roman"/>
          <w:sz w:val="24"/>
          <w:szCs w:val="24"/>
        </w:rPr>
        <w:t>. This may result that the proposed theory cannot be entirely close</w:t>
      </w:r>
      <w:r w:rsidR="0089572E" w:rsidRPr="00F153F6">
        <w:rPr>
          <w:rFonts w:ascii="Times New Roman" w:hAnsi="Times New Roman" w:cs="Times New Roman"/>
          <w:sz w:val="24"/>
          <w:szCs w:val="24"/>
        </w:rPr>
        <w:t>d</w:t>
      </w:r>
      <w:r w:rsidR="00CA6A6A" w:rsidRPr="00F153F6">
        <w:rPr>
          <w:rFonts w:ascii="Times New Roman" w:hAnsi="Times New Roman" w:cs="Times New Roman"/>
          <w:sz w:val="24"/>
          <w:szCs w:val="24"/>
        </w:rPr>
        <w:t xml:space="preserve"> to the data</w:t>
      </w:r>
      <w:r w:rsidR="0089572E" w:rsidRPr="00F153F6">
        <w:rPr>
          <w:rFonts w:ascii="Times New Roman" w:hAnsi="Times New Roman" w:cs="Times New Roman"/>
          <w:sz w:val="24"/>
          <w:szCs w:val="24"/>
        </w:rPr>
        <w:t>. This could be addressed by examining the proposed theory of this study with other approaches such as deductive approach in order to confirm its credibility.</w:t>
      </w:r>
      <w:r w:rsidR="00CA6A6A" w:rsidRPr="00F153F6">
        <w:rPr>
          <w:rFonts w:ascii="Times New Roman" w:hAnsi="Times New Roman" w:cs="Times New Roman"/>
          <w:sz w:val="24"/>
          <w:szCs w:val="24"/>
        </w:rPr>
        <w:t xml:space="preserve"> </w:t>
      </w:r>
    </w:p>
    <w:p w14:paraId="3760B303" w14:textId="3B75A928" w:rsidR="008B480B" w:rsidRPr="00F153F6" w:rsidRDefault="0089572E"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 xml:space="preserve">In addition, there are more research methods that could be applied for investigating the research phenomenon. As introduced in methodology chapter (3.3.1), observations and diaries are also suitable for this research. However, due to the constraints exposed by the global pandemic </w:t>
      </w:r>
      <w:r w:rsidRPr="00F153F6">
        <w:rPr>
          <w:rFonts w:ascii="Times New Roman" w:hAnsi="Times New Roman" w:cs="Times New Roman"/>
          <w:sz w:val="24"/>
          <w:szCs w:val="24"/>
        </w:rPr>
        <w:lastRenderedPageBreak/>
        <w:t xml:space="preserve">since early 2020, this research is unable to get access to conduct these strategies for data collection. </w:t>
      </w:r>
      <w:r w:rsidR="008B480B" w:rsidRPr="00F153F6">
        <w:rPr>
          <w:rFonts w:ascii="Times New Roman" w:hAnsi="Times New Roman" w:cs="Times New Roman"/>
          <w:sz w:val="24"/>
          <w:szCs w:val="24"/>
        </w:rPr>
        <w:t xml:space="preserve">A welcome extension of this research for future research is therefore to utilise other research methods to enrich the data set in order to further strengthen the </w:t>
      </w:r>
      <w:r w:rsidR="00FA0C8B" w:rsidRPr="00F153F6">
        <w:rPr>
          <w:rFonts w:ascii="Times New Roman" w:hAnsi="Times New Roman" w:cs="Times New Roman"/>
          <w:sz w:val="24"/>
          <w:szCs w:val="24"/>
        </w:rPr>
        <w:t>proposed</w:t>
      </w:r>
      <w:r w:rsidR="008B480B" w:rsidRPr="00F153F6">
        <w:rPr>
          <w:rFonts w:ascii="Times New Roman" w:hAnsi="Times New Roman" w:cs="Times New Roman"/>
          <w:sz w:val="24"/>
          <w:szCs w:val="24"/>
        </w:rPr>
        <w:t xml:space="preserve"> theory. </w:t>
      </w:r>
    </w:p>
    <w:p w14:paraId="0460DF8A" w14:textId="513A68DC" w:rsidR="005D1228" w:rsidRPr="00F153F6" w:rsidRDefault="00A64573" w:rsidP="004424B4">
      <w:pPr>
        <w:spacing w:line="360" w:lineRule="auto"/>
        <w:jc w:val="both"/>
        <w:rPr>
          <w:rFonts w:ascii="Times New Roman" w:hAnsi="Times New Roman" w:cs="Times New Roman"/>
          <w:sz w:val="24"/>
          <w:szCs w:val="24"/>
        </w:rPr>
      </w:pPr>
      <w:r w:rsidRPr="00F153F6">
        <w:rPr>
          <w:rFonts w:ascii="Times New Roman" w:hAnsi="Times New Roman" w:cs="Times New Roman"/>
          <w:sz w:val="24"/>
          <w:szCs w:val="24"/>
        </w:rPr>
        <w:t>Further, t</w:t>
      </w:r>
      <w:r w:rsidR="008B480B" w:rsidRPr="00F153F6">
        <w:rPr>
          <w:rFonts w:ascii="Times New Roman" w:hAnsi="Times New Roman" w:cs="Times New Roman"/>
          <w:sz w:val="24"/>
          <w:szCs w:val="24"/>
        </w:rPr>
        <w:t xml:space="preserve">his research </w:t>
      </w:r>
      <w:r w:rsidRPr="00F153F6">
        <w:rPr>
          <w:rFonts w:ascii="Times New Roman" w:hAnsi="Times New Roman" w:cs="Times New Roman"/>
          <w:sz w:val="24"/>
          <w:szCs w:val="24"/>
        </w:rPr>
        <w:t>selects</w:t>
      </w:r>
      <w:r w:rsidR="008B480B" w:rsidRPr="00F153F6">
        <w:rPr>
          <w:rFonts w:ascii="Times New Roman" w:hAnsi="Times New Roman" w:cs="Times New Roman"/>
          <w:sz w:val="24"/>
          <w:szCs w:val="24"/>
        </w:rPr>
        <w:t xml:space="preserve"> European Living Labs as a context, which is appropriate to study ICT-based IOKE practice for inter-organisational collaboration. However, due to the fact that the concept of Living Labs is still under developing in Europe, many Living Lab-based projects are not very identifiable. This raises difficulties for this study to sample data. As a result, this research </w:t>
      </w:r>
      <w:r w:rsidR="0031058E" w:rsidRPr="00F153F6">
        <w:rPr>
          <w:rFonts w:ascii="Times New Roman" w:hAnsi="Times New Roman" w:cs="Times New Roman"/>
          <w:sz w:val="24"/>
          <w:szCs w:val="24"/>
        </w:rPr>
        <w:t xml:space="preserve">established </w:t>
      </w:r>
      <w:r w:rsidR="00F02F0F" w:rsidRPr="00F153F6">
        <w:rPr>
          <w:rFonts w:ascii="Times New Roman" w:hAnsi="Times New Roman" w:cs="Times New Roman"/>
          <w:sz w:val="24"/>
          <w:szCs w:val="24"/>
        </w:rPr>
        <w:t>an</w:t>
      </w:r>
      <w:r w:rsidR="0031058E" w:rsidRPr="00F153F6">
        <w:rPr>
          <w:rFonts w:ascii="Times New Roman" w:hAnsi="Times New Roman" w:cs="Times New Roman"/>
          <w:sz w:val="24"/>
          <w:szCs w:val="24"/>
        </w:rPr>
        <w:t xml:space="preserve"> inclusive</w:t>
      </w:r>
      <w:r w:rsidR="008B480B" w:rsidRPr="00F153F6">
        <w:rPr>
          <w:rFonts w:ascii="Times New Roman" w:hAnsi="Times New Roman" w:cs="Times New Roman"/>
          <w:sz w:val="24"/>
          <w:szCs w:val="24"/>
        </w:rPr>
        <w:t xml:space="preserve"> data sampling criteria (described in section 3.4.3)</w:t>
      </w:r>
      <w:r w:rsidR="0031058E" w:rsidRPr="00F153F6">
        <w:rPr>
          <w:rFonts w:ascii="Times New Roman" w:hAnsi="Times New Roman" w:cs="Times New Roman"/>
          <w:sz w:val="24"/>
          <w:szCs w:val="24"/>
        </w:rPr>
        <w:t xml:space="preserve"> so that different use of Living Labs can be taken into account in the research context. Accordingly, a potential research area for future research to investigate Living Labs is thus to establish exclusive criteria where projects with strict and formal Living Lab methodology </w:t>
      </w:r>
      <w:r w:rsidRPr="00F153F6">
        <w:rPr>
          <w:rFonts w:ascii="Times New Roman" w:hAnsi="Times New Roman" w:cs="Times New Roman"/>
          <w:sz w:val="24"/>
          <w:szCs w:val="24"/>
        </w:rPr>
        <w:t>can be</w:t>
      </w:r>
      <w:r w:rsidR="0031058E" w:rsidRPr="00F153F6">
        <w:rPr>
          <w:rFonts w:ascii="Times New Roman" w:hAnsi="Times New Roman" w:cs="Times New Roman"/>
          <w:sz w:val="24"/>
          <w:szCs w:val="24"/>
        </w:rPr>
        <w:t xml:space="preserve"> selected in order to strengthen the characteristics of Living labs. </w:t>
      </w:r>
      <w:r w:rsidRPr="00F153F6">
        <w:rPr>
          <w:rFonts w:ascii="Times New Roman" w:hAnsi="Times New Roman" w:cs="Times New Roman"/>
          <w:sz w:val="24"/>
          <w:szCs w:val="24"/>
        </w:rPr>
        <w:t xml:space="preserve">In addition, </w:t>
      </w:r>
      <w:r w:rsidR="008B480B" w:rsidRPr="00F153F6">
        <w:rPr>
          <w:rFonts w:ascii="Times New Roman" w:hAnsi="Times New Roman" w:cs="Times New Roman"/>
          <w:sz w:val="24"/>
          <w:szCs w:val="24"/>
        </w:rPr>
        <w:t>t</w:t>
      </w:r>
      <w:r w:rsidR="009F496F" w:rsidRPr="00F153F6">
        <w:rPr>
          <w:rFonts w:ascii="Times New Roman" w:hAnsi="Times New Roman" w:cs="Times New Roman"/>
          <w:sz w:val="24"/>
          <w:szCs w:val="24"/>
        </w:rPr>
        <w:t>h</w:t>
      </w:r>
      <w:r w:rsidR="00F716D2" w:rsidRPr="00F153F6">
        <w:rPr>
          <w:rFonts w:ascii="Times New Roman" w:hAnsi="Times New Roman" w:cs="Times New Roman"/>
          <w:sz w:val="24"/>
          <w:szCs w:val="24"/>
        </w:rPr>
        <w:t>is research has concluded a temporal dimension of ICT-based IOKE practice, which largely is the result of</w:t>
      </w:r>
      <w:r w:rsidR="008B480B" w:rsidRPr="00F153F6">
        <w:rPr>
          <w:rFonts w:ascii="Times New Roman" w:hAnsi="Times New Roman" w:cs="Times New Roman"/>
          <w:sz w:val="24"/>
          <w:szCs w:val="24"/>
        </w:rPr>
        <w:t xml:space="preserve"> the sampled data </w:t>
      </w:r>
      <w:r w:rsidRPr="00F153F6">
        <w:rPr>
          <w:rFonts w:ascii="Times New Roman" w:hAnsi="Times New Roman" w:cs="Times New Roman"/>
          <w:sz w:val="24"/>
          <w:szCs w:val="24"/>
        </w:rPr>
        <w:t>that are all fixed-term projects with temporal dimension in nature. Additional research could be to explore and investigate other inter-organisational collaboration settings with long term durations.</w:t>
      </w:r>
    </w:p>
    <w:p w14:paraId="7F355D07" w14:textId="77777777" w:rsidR="00985293" w:rsidRPr="00F153F6" w:rsidRDefault="00985293" w:rsidP="004424B4">
      <w:pPr>
        <w:spacing w:line="360" w:lineRule="auto"/>
        <w:jc w:val="both"/>
        <w:rPr>
          <w:rFonts w:ascii="Times New Roman" w:hAnsi="Times New Roman" w:cs="Times New Roman"/>
        </w:rPr>
      </w:pPr>
    </w:p>
    <w:p w14:paraId="2C89E9EE" w14:textId="77777777" w:rsidR="00985293" w:rsidRPr="00F153F6" w:rsidRDefault="00985293" w:rsidP="004424B4">
      <w:pPr>
        <w:spacing w:line="360" w:lineRule="auto"/>
        <w:jc w:val="both"/>
        <w:rPr>
          <w:rFonts w:ascii="Times New Roman" w:hAnsi="Times New Roman" w:cs="Times New Roman"/>
        </w:rPr>
      </w:pPr>
    </w:p>
    <w:p w14:paraId="4F3E64E9" w14:textId="77777777" w:rsidR="00985293" w:rsidRPr="00F153F6" w:rsidRDefault="00985293" w:rsidP="004424B4">
      <w:pPr>
        <w:spacing w:line="360" w:lineRule="auto"/>
        <w:jc w:val="both"/>
        <w:rPr>
          <w:rFonts w:ascii="Times New Roman" w:hAnsi="Times New Roman" w:cs="Times New Roman"/>
        </w:rPr>
      </w:pPr>
    </w:p>
    <w:p w14:paraId="7972DB69" w14:textId="77777777" w:rsidR="00985293" w:rsidRPr="00F153F6" w:rsidRDefault="00985293" w:rsidP="004424B4">
      <w:pPr>
        <w:spacing w:line="360" w:lineRule="auto"/>
        <w:jc w:val="both"/>
        <w:rPr>
          <w:rFonts w:ascii="Times New Roman" w:hAnsi="Times New Roman" w:cs="Times New Roman"/>
        </w:rPr>
      </w:pPr>
    </w:p>
    <w:p w14:paraId="425E1D87" w14:textId="77777777" w:rsidR="00985293" w:rsidRPr="00F153F6" w:rsidRDefault="00985293" w:rsidP="004424B4">
      <w:pPr>
        <w:spacing w:line="360" w:lineRule="auto"/>
        <w:jc w:val="both"/>
        <w:rPr>
          <w:rFonts w:ascii="Times New Roman" w:hAnsi="Times New Roman" w:cs="Times New Roman"/>
        </w:rPr>
      </w:pPr>
    </w:p>
    <w:p w14:paraId="68908627" w14:textId="0B776F98" w:rsidR="0015201A" w:rsidRPr="00F153F6" w:rsidRDefault="0015201A" w:rsidP="004424B4">
      <w:pPr>
        <w:spacing w:after="160" w:line="360" w:lineRule="auto"/>
        <w:jc w:val="both"/>
      </w:pPr>
      <w:r w:rsidRPr="00F153F6">
        <w:br w:type="page"/>
      </w:r>
    </w:p>
    <w:p w14:paraId="69639D80" w14:textId="2847010D" w:rsidR="00721305" w:rsidRPr="00F153F6" w:rsidRDefault="00721305" w:rsidP="004424B4">
      <w:pPr>
        <w:pStyle w:val="Heading1"/>
        <w:spacing w:line="360" w:lineRule="auto"/>
        <w:jc w:val="center"/>
        <w:rPr>
          <w:rFonts w:ascii="Times New Roman" w:hAnsi="Times New Roman" w:cs="Times New Roman"/>
          <w:b w:val="0"/>
          <w:bCs/>
          <w:sz w:val="40"/>
          <w:szCs w:val="40"/>
        </w:rPr>
      </w:pPr>
      <w:bookmarkStart w:id="680" w:name="_Toc133252194"/>
      <w:r w:rsidRPr="00F153F6">
        <w:rPr>
          <w:rFonts w:ascii="Times New Roman" w:hAnsi="Times New Roman" w:cs="Times New Roman"/>
          <w:b w:val="0"/>
          <w:bCs/>
          <w:sz w:val="40"/>
          <w:szCs w:val="40"/>
        </w:rPr>
        <w:lastRenderedPageBreak/>
        <w:t>APPENDI</w:t>
      </w:r>
      <w:r w:rsidR="008039B7" w:rsidRPr="00F153F6">
        <w:rPr>
          <w:rFonts w:ascii="Times New Roman" w:hAnsi="Times New Roman" w:cs="Times New Roman"/>
          <w:b w:val="0"/>
          <w:bCs/>
          <w:sz w:val="40"/>
          <w:szCs w:val="40"/>
        </w:rPr>
        <w:t>NCES</w:t>
      </w:r>
      <w:bookmarkEnd w:id="680"/>
      <w:r w:rsidR="008039B7" w:rsidRPr="00F153F6">
        <w:rPr>
          <w:rFonts w:ascii="Times New Roman" w:hAnsi="Times New Roman" w:cs="Times New Roman"/>
          <w:b w:val="0"/>
          <w:bCs/>
          <w:sz w:val="40"/>
          <w:szCs w:val="40"/>
        </w:rPr>
        <w:t xml:space="preserve"> </w:t>
      </w:r>
    </w:p>
    <w:p w14:paraId="2D9E26EB" w14:textId="4CDC98E8" w:rsidR="00721305" w:rsidRPr="00F153F6" w:rsidRDefault="008039B7" w:rsidP="004424B4">
      <w:pPr>
        <w:spacing w:line="360" w:lineRule="auto"/>
        <w:jc w:val="both"/>
        <w:rPr>
          <w:rFonts w:ascii="Times New Roman" w:hAnsi="Times New Roman" w:cs="Times New Roman"/>
          <w:b/>
          <w:bCs/>
          <w:sz w:val="28"/>
          <w:szCs w:val="28"/>
        </w:rPr>
      </w:pPr>
      <w:r w:rsidRPr="00F153F6">
        <w:rPr>
          <w:rFonts w:ascii="Times New Roman" w:hAnsi="Times New Roman" w:cs="Times New Roman"/>
          <w:b/>
          <w:bCs/>
          <w:sz w:val="28"/>
          <w:szCs w:val="28"/>
        </w:rPr>
        <w:t>Appendix A. Interview Guide for Inception</w:t>
      </w:r>
      <w:r w:rsidR="00620FA0" w:rsidRPr="00F153F6">
        <w:rPr>
          <w:rFonts w:ascii="Times New Roman" w:hAnsi="Times New Roman" w:cs="Times New Roman"/>
          <w:b/>
          <w:bCs/>
          <w:sz w:val="28"/>
          <w:szCs w:val="28"/>
        </w:rPr>
        <w:t>/Middle</w:t>
      </w:r>
      <w:r w:rsidRPr="00F153F6">
        <w:rPr>
          <w:rFonts w:ascii="Times New Roman" w:hAnsi="Times New Roman" w:cs="Times New Roman"/>
          <w:b/>
          <w:bCs/>
          <w:sz w:val="28"/>
          <w:szCs w:val="28"/>
        </w:rPr>
        <w:t xml:space="preserve"> Stage</w:t>
      </w:r>
    </w:p>
    <w:p w14:paraId="744AF4B8" w14:textId="77777777" w:rsidR="00620FA0" w:rsidRPr="00F153F6" w:rsidRDefault="00620FA0" w:rsidP="004424B4">
      <w:pPr>
        <w:pStyle w:val="NoSpacing"/>
        <w:spacing w:line="360" w:lineRule="auto"/>
        <w:jc w:val="center"/>
        <w:rPr>
          <w:rFonts w:ascii="Times New Roman" w:eastAsiaTheme="majorEastAsia" w:hAnsi="Times New Roman" w:cs="Times New Roman"/>
          <w:b/>
          <w:bCs/>
          <w:sz w:val="32"/>
          <w:szCs w:val="32"/>
          <w:lang w:eastAsia="zh-CN"/>
        </w:rPr>
      </w:pPr>
      <w:r w:rsidRPr="00F153F6">
        <w:rPr>
          <w:rFonts w:ascii="Times New Roman" w:hAnsi="Times New Roman" w:cs="Times New Roman"/>
          <w:b/>
          <w:bCs/>
          <w:sz w:val="32"/>
          <w:szCs w:val="32"/>
        </w:rPr>
        <w:t>Interview Guide</w:t>
      </w:r>
    </w:p>
    <w:p w14:paraId="7A9B1CF8" w14:textId="77777777" w:rsidR="00620FA0" w:rsidRPr="00F153F6" w:rsidRDefault="00620FA0" w:rsidP="004424B4">
      <w:pPr>
        <w:pStyle w:val="NoSpacing"/>
        <w:spacing w:line="360" w:lineRule="auto"/>
        <w:jc w:val="center"/>
        <w:rPr>
          <w:rFonts w:ascii="Times New Roman" w:hAnsi="Times New Roman" w:cs="Times New Roman"/>
        </w:rPr>
      </w:pPr>
      <w:r w:rsidRPr="00F153F6">
        <w:rPr>
          <w:rFonts w:ascii="Times New Roman" w:hAnsi="Times New Roman" w:cs="Times New Roman"/>
        </w:rPr>
        <w:t>(Inception/Middle Stage – Project Leader)</w:t>
      </w:r>
    </w:p>
    <w:p w14:paraId="2BB3461D" w14:textId="77777777" w:rsidR="00620FA0" w:rsidRPr="00F153F6" w:rsidRDefault="00620FA0" w:rsidP="004424B4">
      <w:pPr>
        <w:pStyle w:val="NoSpacing"/>
        <w:spacing w:line="360" w:lineRule="auto"/>
        <w:rPr>
          <w:rFonts w:ascii="Times New Roman" w:hAnsi="Times New Roman" w:cs="Times New Roman"/>
          <w:b/>
          <w:bCs/>
          <w:sz w:val="28"/>
          <w:szCs w:val="28"/>
        </w:rPr>
      </w:pPr>
      <w:r w:rsidRPr="00F153F6">
        <w:rPr>
          <w:rFonts w:ascii="Times New Roman" w:hAnsi="Times New Roman" w:cs="Times New Roman"/>
          <w:b/>
          <w:bCs/>
          <w:sz w:val="28"/>
          <w:szCs w:val="28"/>
        </w:rPr>
        <w:t>Introduction</w:t>
      </w:r>
    </w:p>
    <w:p w14:paraId="17958F4B" w14:textId="77777777" w:rsidR="00620FA0" w:rsidRPr="00F153F6" w:rsidRDefault="00620FA0" w:rsidP="004424B4">
      <w:pPr>
        <w:pStyle w:val="NoSpacing"/>
        <w:spacing w:line="360" w:lineRule="auto"/>
        <w:rPr>
          <w:rFonts w:ascii="Times New Roman" w:hAnsi="Times New Roman" w:cs="Times New Roman"/>
          <w:sz w:val="24"/>
          <w:szCs w:val="24"/>
        </w:rPr>
      </w:pPr>
      <w:bookmarkStart w:id="681" w:name="OLE_LINK210"/>
      <w:bookmarkStart w:id="682" w:name="OLE_LINK209"/>
      <w:r w:rsidRPr="00F153F6">
        <w:rPr>
          <w:rFonts w:ascii="Times New Roman" w:hAnsi="Times New Roman" w:cs="Times New Roman"/>
          <w:sz w:val="24"/>
          <w:szCs w:val="24"/>
        </w:rPr>
        <w:t xml:space="preserve">In this research, I am interested to identify the role of information communication technologies (ICT) in collaboration activities within Living Labs. </w:t>
      </w:r>
      <w:bookmarkStart w:id="683" w:name="OLE_LINK215"/>
      <w:bookmarkStart w:id="684" w:name="OLE_LINK216"/>
      <w:r w:rsidRPr="00F153F6">
        <w:rPr>
          <w:rFonts w:ascii="Times New Roman" w:hAnsi="Times New Roman" w:cs="Times New Roman"/>
          <w:sz w:val="24"/>
          <w:szCs w:val="24"/>
        </w:rPr>
        <w:t xml:space="preserve">About your </w:t>
      </w:r>
      <w:r w:rsidRPr="00F153F6">
        <w:rPr>
          <w:rFonts w:ascii="Times New Roman" w:hAnsi="Times New Roman" w:cs="Times New Roman"/>
          <w:b/>
          <w:bCs/>
          <w:sz w:val="24"/>
          <w:szCs w:val="24"/>
        </w:rPr>
        <w:t>XXX</w:t>
      </w:r>
      <w:r w:rsidRPr="00F153F6">
        <w:rPr>
          <w:rFonts w:ascii="Times New Roman" w:hAnsi="Times New Roman" w:cs="Times New Roman"/>
          <w:sz w:val="24"/>
          <w:szCs w:val="24"/>
        </w:rPr>
        <w:t xml:space="preserve"> project</w:t>
      </w:r>
      <w:bookmarkEnd w:id="683"/>
      <w:bookmarkEnd w:id="684"/>
      <w:r w:rsidRPr="00F153F6">
        <w:rPr>
          <w:rFonts w:ascii="Times New Roman" w:hAnsi="Times New Roman" w:cs="Times New Roman"/>
          <w:sz w:val="24"/>
          <w:szCs w:val="24"/>
        </w:rPr>
        <w:t xml:space="preserve">, I will be inviting project partners from this project like yourself for an interview, to discuss their experiences and opinions in relation to how you have used various technologies to facilitate your communications and collaboration during this project. </w:t>
      </w:r>
    </w:p>
    <w:p w14:paraId="5FA6F208" w14:textId="77777777" w:rsidR="00620FA0" w:rsidRPr="00F153F6" w:rsidRDefault="00620FA0" w:rsidP="004424B4">
      <w:pPr>
        <w:pStyle w:val="NoSpacing"/>
        <w:spacing w:line="360" w:lineRule="auto"/>
        <w:rPr>
          <w:rFonts w:ascii="Times New Roman" w:hAnsi="Times New Roman" w:cs="Times New Roman"/>
          <w:sz w:val="24"/>
          <w:szCs w:val="24"/>
        </w:rPr>
      </w:pPr>
      <w:r w:rsidRPr="00F153F6">
        <w:rPr>
          <w:rFonts w:ascii="Times New Roman" w:hAnsi="Times New Roman" w:cs="Times New Roman"/>
          <w:sz w:val="24"/>
          <w:szCs w:val="24"/>
        </w:rPr>
        <w:t xml:space="preserve"> </w:t>
      </w:r>
    </w:p>
    <w:p w14:paraId="22A0092E" w14:textId="77777777" w:rsidR="00620FA0" w:rsidRPr="00F153F6" w:rsidRDefault="00620FA0" w:rsidP="004424B4">
      <w:pPr>
        <w:pStyle w:val="NoSpacing"/>
        <w:spacing w:line="360" w:lineRule="auto"/>
        <w:rPr>
          <w:rFonts w:ascii="Times New Roman" w:hAnsi="Times New Roman" w:cs="Times New Roman"/>
          <w:sz w:val="24"/>
          <w:szCs w:val="24"/>
        </w:rPr>
      </w:pPr>
      <w:r w:rsidRPr="00F153F6">
        <w:rPr>
          <w:rFonts w:ascii="Times New Roman" w:hAnsi="Times New Roman" w:cs="Times New Roman"/>
          <w:sz w:val="24"/>
          <w:szCs w:val="24"/>
        </w:rPr>
        <w:t xml:space="preserve">The interview will last </w:t>
      </w:r>
      <w:r w:rsidRPr="00F153F6">
        <w:rPr>
          <w:rFonts w:ascii="Times New Roman" w:hAnsi="Times New Roman" w:cs="Times New Roman"/>
          <w:b/>
          <w:bCs/>
          <w:sz w:val="24"/>
          <w:szCs w:val="24"/>
        </w:rPr>
        <w:t xml:space="preserve">around 70 to 80 minutes </w:t>
      </w:r>
      <w:r w:rsidRPr="00F153F6">
        <w:rPr>
          <w:rFonts w:ascii="Times New Roman" w:hAnsi="Times New Roman" w:cs="Times New Roman"/>
          <w:sz w:val="24"/>
          <w:szCs w:val="24"/>
        </w:rPr>
        <w:t>during which</w:t>
      </w:r>
      <w:r w:rsidRPr="00F153F6">
        <w:rPr>
          <w:rFonts w:ascii="Times New Roman" w:hAnsi="Times New Roman" w:cs="Times New Roman"/>
          <w:b/>
          <w:bCs/>
          <w:sz w:val="24"/>
          <w:szCs w:val="24"/>
        </w:rPr>
        <w:t xml:space="preserve"> </w:t>
      </w:r>
      <w:r w:rsidRPr="00F153F6">
        <w:rPr>
          <w:rFonts w:ascii="Times New Roman" w:hAnsi="Times New Roman" w:cs="Times New Roman"/>
          <w:sz w:val="24"/>
          <w:szCs w:val="24"/>
        </w:rPr>
        <w:t>I will ask you to</w:t>
      </w:r>
      <w:r w:rsidRPr="00F153F6">
        <w:rPr>
          <w:rFonts w:ascii="Times New Roman" w:hAnsi="Times New Roman" w:cs="Times New Roman"/>
          <w:b/>
          <w:bCs/>
          <w:sz w:val="24"/>
          <w:szCs w:val="24"/>
        </w:rPr>
        <w:t xml:space="preserve"> provide your experiences, attitudes, understanding, perceptions or any other insights. </w:t>
      </w:r>
      <w:r w:rsidRPr="00F153F6">
        <w:rPr>
          <w:rFonts w:ascii="Times New Roman" w:hAnsi="Times New Roman" w:cs="Times New Roman"/>
          <w:sz w:val="24"/>
          <w:szCs w:val="24"/>
        </w:rPr>
        <w:t xml:space="preserve">You can freely discuss your opinions and there is no time limitation. Most importantly, </w:t>
      </w:r>
      <w:r w:rsidRPr="00F153F6">
        <w:rPr>
          <w:rFonts w:ascii="Times New Roman" w:hAnsi="Times New Roman" w:cs="Times New Roman"/>
          <w:b/>
          <w:bCs/>
          <w:sz w:val="24"/>
          <w:szCs w:val="24"/>
        </w:rPr>
        <w:t xml:space="preserve">you have the right to stop the interview at any time </w:t>
      </w:r>
      <w:r w:rsidRPr="00F153F6">
        <w:rPr>
          <w:rFonts w:ascii="Times New Roman" w:hAnsi="Times New Roman" w:cs="Times New Roman"/>
          <w:sz w:val="24"/>
          <w:szCs w:val="24"/>
        </w:rPr>
        <w:t xml:space="preserve">if you feel uncomfortable or simply wish to withdraw from the research. </w:t>
      </w:r>
    </w:p>
    <w:p w14:paraId="708CEF3E" w14:textId="77777777" w:rsidR="00620FA0" w:rsidRPr="00F153F6" w:rsidRDefault="00620FA0" w:rsidP="004424B4">
      <w:pPr>
        <w:pStyle w:val="NoSpacing"/>
        <w:spacing w:line="360" w:lineRule="auto"/>
        <w:rPr>
          <w:rFonts w:ascii="Times New Roman" w:hAnsi="Times New Roman" w:cs="Times New Roman"/>
          <w:sz w:val="24"/>
          <w:szCs w:val="24"/>
        </w:rPr>
      </w:pPr>
    </w:p>
    <w:p w14:paraId="69C30CF1" w14:textId="77777777" w:rsidR="00620FA0" w:rsidRPr="00F153F6" w:rsidRDefault="00620FA0" w:rsidP="004424B4">
      <w:pPr>
        <w:pStyle w:val="NoSpacing"/>
        <w:spacing w:line="360" w:lineRule="auto"/>
        <w:rPr>
          <w:rFonts w:ascii="Times New Roman" w:hAnsi="Times New Roman" w:cs="Times New Roman"/>
          <w:sz w:val="24"/>
          <w:szCs w:val="24"/>
        </w:rPr>
      </w:pPr>
      <w:r w:rsidRPr="00F153F6">
        <w:rPr>
          <w:rFonts w:ascii="Times New Roman" w:hAnsi="Times New Roman" w:cs="Times New Roman"/>
          <w:sz w:val="24"/>
          <w:szCs w:val="24"/>
        </w:rPr>
        <w:t>I will be audio recording the interview for later analysis. If you don’t wish to be audio recorded, I will keep handwritten notes. All your information will be kept strictly confidential and will only be accessible to the research team members. All information that can potentially identify will be redacted. You can find more information in the consent form, and your participation in this research entails you have understood and agreed to all information in the consent form.</w:t>
      </w:r>
    </w:p>
    <w:bookmarkEnd w:id="681"/>
    <w:bookmarkEnd w:id="682"/>
    <w:p w14:paraId="7AD45748" w14:textId="77777777" w:rsidR="00620FA0" w:rsidRPr="00F153F6" w:rsidRDefault="00620FA0" w:rsidP="004424B4">
      <w:pPr>
        <w:pStyle w:val="NoSpacing"/>
        <w:spacing w:line="360" w:lineRule="auto"/>
        <w:rPr>
          <w:rFonts w:ascii="Times New Roman" w:hAnsi="Times New Roman" w:cs="Times New Roman"/>
          <w:sz w:val="28"/>
          <w:szCs w:val="28"/>
        </w:rPr>
      </w:pPr>
      <w:r w:rsidRPr="00F153F6">
        <w:rPr>
          <w:rFonts w:ascii="Times New Roman" w:hAnsi="Times New Roman" w:cs="Times New Roman"/>
          <w:sz w:val="24"/>
          <w:szCs w:val="24"/>
        </w:rPr>
        <w:t xml:space="preserve">   </w:t>
      </w:r>
    </w:p>
    <w:p w14:paraId="3F256E47" w14:textId="213DB49E" w:rsidR="00620FA0" w:rsidRPr="00F153F6" w:rsidRDefault="00620FA0" w:rsidP="004424B4">
      <w:pPr>
        <w:pStyle w:val="NoSpacing"/>
        <w:spacing w:line="360" w:lineRule="auto"/>
        <w:rPr>
          <w:rFonts w:ascii="Times New Roman" w:hAnsi="Times New Roman" w:cs="Times New Roman"/>
          <w:sz w:val="24"/>
          <w:szCs w:val="24"/>
        </w:rPr>
      </w:pPr>
      <w:bookmarkStart w:id="685" w:name="OLE_LINK229"/>
      <w:bookmarkStart w:id="686" w:name="OLE_LINK230"/>
      <w:bookmarkStart w:id="687" w:name="OLE_LINK214"/>
      <w:r w:rsidRPr="00F153F6">
        <w:rPr>
          <w:rFonts w:ascii="Times New Roman" w:hAnsi="Times New Roman" w:cs="Times New Roman"/>
          <w:sz w:val="24"/>
          <w:szCs w:val="24"/>
        </w:rPr>
        <w:t>Can you please confirm you give your consent for this interview and its recording</w:t>
      </w:r>
      <w:bookmarkEnd w:id="685"/>
      <w:bookmarkEnd w:id="686"/>
      <w:r w:rsidRPr="00F153F6">
        <w:rPr>
          <w:rFonts w:ascii="Times New Roman" w:hAnsi="Times New Roman" w:cs="Times New Roman"/>
          <w:sz w:val="24"/>
          <w:szCs w:val="24"/>
        </w:rPr>
        <w:t>? (Recording starts)</w:t>
      </w:r>
    </w:p>
    <w:p w14:paraId="5746E072" w14:textId="77777777" w:rsidR="00620FA0" w:rsidRPr="00F153F6" w:rsidRDefault="00620FA0" w:rsidP="004424B4">
      <w:pPr>
        <w:pStyle w:val="NoSpacing"/>
        <w:spacing w:line="360" w:lineRule="auto"/>
        <w:rPr>
          <w:rFonts w:ascii="Times New Roman" w:hAnsi="Times New Roman" w:cs="Times New Roman"/>
          <w:sz w:val="24"/>
          <w:szCs w:val="24"/>
        </w:rPr>
      </w:pPr>
    </w:p>
    <w:bookmarkEnd w:id="687"/>
    <w:p w14:paraId="1A045CDB" w14:textId="77777777" w:rsidR="00620FA0" w:rsidRPr="00F153F6" w:rsidRDefault="00620FA0" w:rsidP="004424B4">
      <w:pPr>
        <w:pStyle w:val="NoSpacing"/>
        <w:spacing w:line="360" w:lineRule="auto"/>
        <w:jc w:val="center"/>
        <w:rPr>
          <w:rFonts w:ascii="Times New Roman" w:hAnsi="Times New Roman" w:cs="Times New Roman"/>
          <w:b/>
          <w:bCs/>
          <w:sz w:val="28"/>
          <w:szCs w:val="28"/>
        </w:rPr>
      </w:pPr>
      <w:r w:rsidRPr="00F153F6">
        <w:rPr>
          <w:rFonts w:ascii="Times New Roman" w:hAnsi="Times New Roman" w:cs="Times New Roman"/>
          <w:b/>
          <w:bCs/>
          <w:sz w:val="28"/>
          <w:szCs w:val="28"/>
        </w:rPr>
        <w:t>Background</w:t>
      </w:r>
    </w:p>
    <w:p w14:paraId="52B2EC81" w14:textId="78D74D0B" w:rsidR="00620FA0" w:rsidRPr="00F153F6" w:rsidRDefault="00620FA0" w:rsidP="004424B4">
      <w:pPr>
        <w:pStyle w:val="ListParagraph"/>
        <w:numPr>
          <w:ilvl w:val="0"/>
          <w:numId w:val="7"/>
        </w:numPr>
        <w:spacing w:line="360" w:lineRule="auto"/>
        <w:rPr>
          <w:rFonts w:ascii="Times New Roman" w:hAnsi="Times New Roman" w:cs="Times New Roman"/>
          <w:sz w:val="24"/>
          <w:szCs w:val="24"/>
        </w:rPr>
      </w:pPr>
      <w:bookmarkStart w:id="688" w:name="OLE_LINK217"/>
      <w:bookmarkStart w:id="689" w:name="OLE_LINK218"/>
      <w:bookmarkStart w:id="690" w:name="OLE_LINK56"/>
      <w:r w:rsidRPr="00F153F6">
        <w:rPr>
          <w:rFonts w:ascii="Times New Roman" w:hAnsi="Times New Roman" w:cs="Times New Roman"/>
          <w:sz w:val="24"/>
          <w:szCs w:val="24"/>
        </w:rPr>
        <w:t>Can you tell me a little bit about your experience, as for example your previous involvement in funded projects, other living labs projects and so on?</w:t>
      </w:r>
    </w:p>
    <w:p w14:paraId="3527ECA7" w14:textId="77777777" w:rsidR="00620FA0" w:rsidRPr="00F153F6" w:rsidRDefault="00620FA0" w:rsidP="004424B4">
      <w:pPr>
        <w:pStyle w:val="ListParagraph"/>
        <w:widowControl/>
        <w:numPr>
          <w:ilvl w:val="0"/>
          <w:numId w:val="7"/>
        </w:numPr>
        <w:spacing w:after="0" w:line="360" w:lineRule="auto"/>
        <w:rPr>
          <w:rFonts w:ascii="Times New Roman" w:hAnsi="Times New Roman" w:cs="Times New Roman"/>
          <w:sz w:val="24"/>
          <w:szCs w:val="24"/>
        </w:rPr>
      </w:pPr>
      <w:bookmarkStart w:id="691" w:name="OLE_LINK219"/>
      <w:bookmarkEnd w:id="688"/>
      <w:bookmarkEnd w:id="689"/>
      <w:r w:rsidRPr="00F153F6">
        <w:rPr>
          <w:rFonts w:ascii="Times New Roman" w:hAnsi="Times New Roman" w:cs="Times New Roman"/>
          <w:sz w:val="24"/>
          <w:szCs w:val="24"/>
        </w:rPr>
        <w:t xml:space="preserve">Could you tell me a few things about your role in this project? </w:t>
      </w:r>
    </w:p>
    <w:bookmarkEnd w:id="691"/>
    <w:p w14:paraId="5DE5795C" w14:textId="1A04B5B0"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lastRenderedPageBreak/>
        <w:t>What does this role entail and what are your main responsibilities?</w:t>
      </w:r>
    </w:p>
    <w:p w14:paraId="476D9663" w14:textId="77777777" w:rsidR="00620FA0" w:rsidRPr="00F153F6" w:rsidRDefault="00620FA0" w:rsidP="004424B4">
      <w:pPr>
        <w:pStyle w:val="ListParagraph"/>
        <w:widowControl/>
        <w:numPr>
          <w:ilvl w:val="0"/>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Could you give me some information about the project? I would like to know what the aims of the project are, when it was launched, what is its current status, and when you got involved in it and in what capacity.</w:t>
      </w:r>
    </w:p>
    <w:p w14:paraId="78673936" w14:textId="227EF319"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Which are the partner organisations in this project and what are their role in the project?</w:t>
      </w:r>
    </w:p>
    <w:p w14:paraId="2B0AB7D7" w14:textId="31E41BA1" w:rsidR="00620FA0" w:rsidRPr="00F153F6" w:rsidRDefault="00620FA0" w:rsidP="004424B4">
      <w:pPr>
        <w:pStyle w:val="ListParagraph"/>
        <w:widowControl/>
        <w:numPr>
          <w:ilvl w:val="0"/>
          <w:numId w:val="7"/>
        </w:numPr>
        <w:spacing w:after="0" w:line="360" w:lineRule="auto"/>
        <w:rPr>
          <w:rFonts w:ascii="Times New Roman" w:hAnsi="Times New Roman" w:cs="Times New Roman"/>
          <w:sz w:val="24"/>
          <w:szCs w:val="24"/>
        </w:rPr>
      </w:pPr>
      <w:bookmarkStart w:id="692" w:name="OLE_LINK228"/>
      <w:r w:rsidRPr="00F153F6">
        <w:rPr>
          <w:rFonts w:ascii="Times New Roman" w:hAnsi="Times New Roman" w:cs="Times New Roman"/>
          <w:sz w:val="24"/>
          <w:szCs w:val="24"/>
        </w:rPr>
        <w:t>Who do you generally work and collaborate with most often for this project from within your own organisation and from the partner organisations?</w:t>
      </w:r>
      <w:bookmarkEnd w:id="690"/>
      <w:bookmarkEnd w:id="692"/>
    </w:p>
    <w:p w14:paraId="1704B207" w14:textId="77777777" w:rsidR="00620FA0" w:rsidRPr="00F153F6" w:rsidRDefault="00620FA0" w:rsidP="004424B4">
      <w:pPr>
        <w:pStyle w:val="ListParagraph"/>
        <w:widowControl/>
        <w:spacing w:after="0" w:line="360" w:lineRule="auto"/>
        <w:ind w:left="360"/>
        <w:rPr>
          <w:rFonts w:ascii="Times New Roman" w:hAnsi="Times New Roman" w:cs="Times New Roman"/>
          <w:sz w:val="24"/>
          <w:szCs w:val="24"/>
        </w:rPr>
      </w:pPr>
    </w:p>
    <w:p w14:paraId="2EBC1CB2" w14:textId="77777777" w:rsidR="00620FA0" w:rsidRPr="00F153F6" w:rsidRDefault="00620FA0" w:rsidP="004424B4">
      <w:pPr>
        <w:pStyle w:val="NoSpacing"/>
        <w:spacing w:line="360" w:lineRule="auto"/>
        <w:jc w:val="center"/>
        <w:rPr>
          <w:rFonts w:ascii="Times New Roman" w:hAnsi="Times New Roman" w:cs="Times New Roman"/>
          <w:b/>
          <w:bCs/>
          <w:sz w:val="24"/>
          <w:szCs w:val="24"/>
        </w:rPr>
      </w:pPr>
      <w:r w:rsidRPr="00F153F6">
        <w:rPr>
          <w:rFonts w:ascii="Times New Roman" w:hAnsi="Times New Roman" w:cs="Times New Roman"/>
          <w:b/>
          <w:bCs/>
          <w:sz w:val="24"/>
          <w:szCs w:val="24"/>
        </w:rPr>
        <w:t>IOKE Practices</w:t>
      </w:r>
    </w:p>
    <w:p w14:paraId="6B7624B9" w14:textId="77777777" w:rsidR="00620FA0" w:rsidRPr="00F153F6" w:rsidRDefault="00620FA0" w:rsidP="004424B4">
      <w:pPr>
        <w:pStyle w:val="ListParagraph"/>
        <w:widowControl/>
        <w:numPr>
          <w:ilvl w:val="0"/>
          <w:numId w:val="7"/>
        </w:numPr>
        <w:spacing w:after="0" w:line="360" w:lineRule="auto"/>
        <w:rPr>
          <w:rFonts w:ascii="Times New Roman" w:hAnsi="Times New Roman" w:cs="Times New Roman"/>
          <w:sz w:val="24"/>
          <w:szCs w:val="24"/>
        </w:rPr>
      </w:pPr>
      <w:bookmarkStart w:id="693" w:name="OLE_LINK231"/>
      <w:bookmarkStart w:id="694" w:name="OLE_LINK232"/>
      <w:r w:rsidRPr="00F153F6">
        <w:rPr>
          <w:rFonts w:ascii="Times New Roman" w:hAnsi="Times New Roman" w:cs="Times New Roman"/>
          <w:sz w:val="24"/>
          <w:szCs w:val="24"/>
        </w:rPr>
        <w:t>Can you talk to me a little about your experience with the project so far? How would you evaluate it? Why?</w:t>
      </w:r>
    </w:p>
    <w:p w14:paraId="2E6BC492" w14:textId="77777777"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How has the collaboration been going so far in your opinion?</w:t>
      </w:r>
    </w:p>
    <w:p w14:paraId="7760D626" w14:textId="77777777" w:rsidR="00620FA0" w:rsidRPr="00F153F6" w:rsidRDefault="00620FA0" w:rsidP="004424B4">
      <w:pPr>
        <w:pStyle w:val="ListParagraph"/>
        <w:widowControl/>
        <w:numPr>
          <w:ilvl w:val="1"/>
          <w:numId w:val="7"/>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During the project, what were your normal ways to communicate with partners? (Technologies?)</w:t>
      </w:r>
    </w:p>
    <w:p w14:paraId="59046A16" w14:textId="77777777" w:rsidR="00620FA0" w:rsidRPr="00F153F6" w:rsidRDefault="00620FA0" w:rsidP="004424B4">
      <w:pPr>
        <w:pStyle w:val="ListParagraph"/>
        <w:widowControl/>
        <w:numPr>
          <w:ilvl w:val="1"/>
          <w:numId w:val="7"/>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Among these partners, did you have particular communication approach for particular partners?</w:t>
      </w:r>
    </w:p>
    <w:p w14:paraId="1966B89E" w14:textId="77777777"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 xml:space="preserve">What are your expectations from your partners with regards to this project? </w:t>
      </w:r>
    </w:p>
    <w:bookmarkEnd w:id="693"/>
    <w:bookmarkEnd w:id="694"/>
    <w:p w14:paraId="14C54B16" w14:textId="77777777" w:rsidR="00620FA0" w:rsidRPr="00F153F6" w:rsidRDefault="00620FA0" w:rsidP="004424B4">
      <w:pPr>
        <w:spacing w:line="360" w:lineRule="auto"/>
        <w:jc w:val="both"/>
        <w:rPr>
          <w:rFonts w:ascii="Times New Roman" w:hAnsi="Times New Roman" w:cs="Times New Roman"/>
          <w:sz w:val="24"/>
          <w:szCs w:val="24"/>
        </w:rPr>
      </w:pPr>
    </w:p>
    <w:p w14:paraId="6FDE3B9E" w14:textId="77777777" w:rsidR="00620FA0" w:rsidRPr="00F153F6" w:rsidRDefault="00620FA0" w:rsidP="004424B4">
      <w:pPr>
        <w:pStyle w:val="ListParagraph"/>
        <w:widowControl/>
        <w:numPr>
          <w:ilvl w:val="0"/>
          <w:numId w:val="7"/>
        </w:numPr>
        <w:spacing w:after="0" w:line="360" w:lineRule="auto"/>
        <w:rPr>
          <w:rFonts w:ascii="Times New Roman" w:hAnsi="Times New Roman" w:cs="Times New Roman"/>
          <w:sz w:val="24"/>
          <w:szCs w:val="24"/>
        </w:rPr>
      </w:pPr>
      <w:bookmarkStart w:id="695" w:name="OLE_LINK233"/>
      <w:bookmarkStart w:id="696" w:name="OLE_LINK234"/>
      <w:r w:rsidRPr="00F153F6">
        <w:rPr>
          <w:rFonts w:ascii="Times New Roman" w:hAnsi="Times New Roman" w:cs="Times New Roman"/>
          <w:sz w:val="24"/>
          <w:szCs w:val="24"/>
        </w:rPr>
        <w:t xml:space="preserve">What methodology does the lab typically follow? What methodology do you follow for this particular project? </w:t>
      </w:r>
    </w:p>
    <w:p w14:paraId="3BA2182E" w14:textId="77777777"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 xml:space="preserve">Are there any differences in the methodology you typically follow as a Living Lab and the one you follow for this project? </w:t>
      </w:r>
    </w:p>
    <w:p w14:paraId="45E64C3D" w14:textId="6AE0F258"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(if different) Why did you choose to adapt the methodology for this project?</w:t>
      </w:r>
      <w:bookmarkEnd w:id="695"/>
      <w:bookmarkEnd w:id="696"/>
    </w:p>
    <w:p w14:paraId="525DFBA7" w14:textId="13185B2D" w:rsidR="00620FA0" w:rsidRPr="00F153F6" w:rsidRDefault="00620FA0" w:rsidP="004424B4">
      <w:pPr>
        <w:pStyle w:val="ListParagraph"/>
        <w:widowControl/>
        <w:numPr>
          <w:ilvl w:val="0"/>
          <w:numId w:val="7"/>
        </w:numPr>
        <w:spacing w:after="0" w:line="360" w:lineRule="auto"/>
        <w:rPr>
          <w:rFonts w:ascii="Times New Roman" w:hAnsi="Times New Roman" w:cs="Times New Roman"/>
          <w:sz w:val="24"/>
          <w:szCs w:val="24"/>
        </w:rPr>
      </w:pPr>
      <w:bookmarkStart w:id="697" w:name="OLE_LINK235"/>
      <w:bookmarkStart w:id="698" w:name="OLE_LINK236"/>
      <w:r w:rsidRPr="00F153F6">
        <w:rPr>
          <w:rFonts w:ascii="Times New Roman" w:hAnsi="Times New Roman" w:cs="Times New Roman"/>
          <w:sz w:val="24"/>
          <w:szCs w:val="24"/>
        </w:rPr>
        <w:t>Considering that a project based on the Living lab methodology brings together partners with different experiences and objectives, I would be interested to know how do you integrate all the expertise and contributions of the different project partners. Can you tell me a little bit about this?</w:t>
      </w:r>
    </w:p>
    <w:p w14:paraId="7A8C1C17" w14:textId="77777777" w:rsidR="00620FA0" w:rsidRPr="00F153F6" w:rsidRDefault="00620FA0" w:rsidP="004424B4">
      <w:pPr>
        <w:pStyle w:val="ListParagraph"/>
        <w:widowControl/>
        <w:numPr>
          <w:ilvl w:val="0"/>
          <w:numId w:val="7"/>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I realise in this project your partners may want different value, so during the project activities, how did you reciprocate each other?</w:t>
      </w:r>
    </w:p>
    <w:p w14:paraId="6F7331B9" w14:textId="0ED50F8A" w:rsidR="00620FA0" w:rsidRPr="00F153F6" w:rsidRDefault="00620FA0" w:rsidP="004424B4">
      <w:pPr>
        <w:pStyle w:val="ListParagraph"/>
        <w:widowControl/>
        <w:numPr>
          <w:ilvl w:val="1"/>
          <w:numId w:val="7"/>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Do you think how such mutual value are reflected from their different contributions?</w:t>
      </w:r>
      <w:bookmarkEnd w:id="697"/>
      <w:bookmarkEnd w:id="698"/>
    </w:p>
    <w:p w14:paraId="31477B05" w14:textId="77777777" w:rsidR="00620FA0" w:rsidRPr="00F153F6" w:rsidRDefault="00620FA0" w:rsidP="004424B4">
      <w:pPr>
        <w:pStyle w:val="ListParagraph"/>
        <w:widowControl/>
        <w:numPr>
          <w:ilvl w:val="0"/>
          <w:numId w:val="7"/>
        </w:numPr>
        <w:spacing w:after="0" w:line="360" w:lineRule="auto"/>
        <w:rPr>
          <w:rFonts w:ascii="Times New Roman" w:hAnsi="Times New Roman" w:cs="Times New Roman"/>
          <w:sz w:val="24"/>
          <w:szCs w:val="24"/>
        </w:rPr>
      </w:pPr>
      <w:bookmarkStart w:id="699" w:name="OLE_LINK237"/>
      <w:bookmarkStart w:id="700" w:name="OLE_LINK238"/>
      <w:r w:rsidRPr="00F153F6">
        <w:rPr>
          <w:rFonts w:ascii="Times New Roman" w:hAnsi="Times New Roman" w:cs="Times New Roman"/>
          <w:sz w:val="24"/>
          <w:szCs w:val="24"/>
        </w:rPr>
        <w:t xml:space="preserve">What is the workplan of this project? </w:t>
      </w:r>
      <w:r w:rsidRPr="00F153F6">
        <w:rPr>
          <w:rFonts w:ascii="Times New Roman" w:hAnsi="Times New Roman" w:cs="Times New Roman"/>
          <w:i/>
          <w:iCs/>
          <w:sz w:val="24"/>
          <w:szCs w:val="24"/>
          <w:u w:val="single"/>
        </w:rPr>
        <w:t>(if they need prompt or explanations: what are the main work packages and tasks for this project),</w:t>
      </w:r>
      <w:r w:rsidRPr="00F153F6">
        <w:rPr>
          <w:rFonts w:ascii="Times New Roman" w:hAnsi="Times New Roman" w:cs="Times New Roman"/>
          <w:sz w:val="24"/>
          <w:szCs w:val="24"/>
        </w:rPr>
        <w:t xml:space="preserve"> and how have they been allocated to the partners?</w:t>
      </w:r>
    </w:p>
    <w:p w14:paraId="1E474F8D" w14:textId="77777777"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lastRenderedPageBreak/>
        <w:t xml:space="preserve">how do you evaluate the progress of the project so far? Why? </w:t>
      </w:r>
    </w:p>
    <w:p w14:paraId="5B16AEB8" w14:textId="7CF92ED9"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so far, what work have you completed per stage?</w:t>
      </w:r>
      <w:bookmarkEnd w:id="699"/>
      <w:bookmarkEnd w:id="700"/>
    </w:p>
    <w:p w14:paraId="1039B98A" w14:textId="77777777" w:rsidR="00620FA0" w:rsidRPr="00F153F6" w:rsidRDefault="00620FA0" w:rsidP="004424B4">
      <w:pPr>
        <w:pStyle w:val="ListParagraph"/>
        <w:widowControl/>
        <w:numPr>
          <w:ilvl w:val="0"/>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Are there any activities that have deviated from the plan?</w:t>
      </w:r>
    </w:p>
    <w:p w14:paraId="118F9DCE" w14:textId="77777777"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In your opinion, what were the reasons for these deviations?</w:t>
      </w:r>
    </w:p>
    <w:p w14:paraId="4DA5A3EE" w14:textId="77777777"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 xml:space="preserve">Did you do anything (as an individual or as a partnership) to address the issues you just described? </w:t>
      </w:r>
    </w:p>
    <w:p w14:paraId="0AD7201E" w14:textId="2B33AC60"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With hindsight, do you think there was something that could have been done differently to avoid these issues?</w:t>
      </w:r>
    </w:p>
    <w:p w14:paraId="79F7CB7A" w14:textId="77777777" w:rsidR="00620FA0" w:rsidRPr="00F153F6" w:rsidRDefault="00620FA0" w:rsidP="004424B4">
      <w:pPr>
        <w:pStyle w:val="ListParagraph"/>
        <w:widowControl/>
        <w:numPr>
          <w:ilvl w:val="0"/>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 xml:space="preserve">Which things have gone particularly well so far with this project? Why do you think so? </w:t>
      </w:r>
    </w:p>
    <w:p w14:paraId="440B8C75" w14:textId="718B8104"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Generally, in your opinion, what are most important things that make a Living Lab project successful?</w:t>
      </w:r>
      <w:bookmarkStart w:id="701" w:name="OLE_LINK63"/>
      <w:bookmarkStart w:id="702" w:name="OLE_LINK64"/>
    </w:p>
    <w:p w14:paraId="600B1CE8" w14:textId="1F245A47" w:rsidR="00620FA0" w:rsidRPr="00F153F6" w:rsidRDefault="00620FA0" w:rsidP="004424B4">
      <w:pPr>
        <w:pStyle w:val="ListParagraph"/>
        <w:widowControl/>
        <w:numPr>
          <w:ilvl w:val="0"/>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When do you find it most necessary or useful to collaborate with others? How does this collaboration usually take place?</w:t>
      </w:r>
    </w:p>
    <w:p w14:paraId="2560CCE5" w14:textId="77777777" w:rsidR="00620FA0" w:rsidRPr="00F153F6" w:rsidRDefault="00620FA0" w:rsidP="004424B4">
      <w:pPr>
        <w:pStyle w:val="ListParagraph"/>
        <w:widowControl/>
        <w:numPr>
          <w:ilvl w:val="0"/>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 xml:space="preserve">Have you faced any challenges in your collaboration with your partners so far? What challenges were these? </w:t>
      </w:r>
    </w:p>
    <w:p w14:paraId="0DA13427" w14:textId="77777777"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i/>
          <w:iCs/>
          <w:sz w:val="24"/>
          <w:szCs w:val="24"/>
          <w:u w:val="single"/>
        </w:rPr>
        <w:t>(if relevant)</w:t>
      </w:r>
      <w:r w:rsidRPr="00F153F6">
        <w:rPr>
          <w:rFonts w:ascii="Times New Roman" w:hAnsi="Times New Roman" w:cs="Times New Roman"/>
          <w:sz w:val="24"/>
          <w:szCs w:val="24"/>
        </w:rPr>
        <w:t xml:space="preserve"> Have you used ICTs to overcome these challenges? </w:t>
      </w:r>
      <w:bookmarkEnd w:id="701"/>
      <w:bookmarkEnd w:id="702"/>
    </w:p>
    <w:p w14:paraId="65F0EC33" w14:textId="77777777" w:rsidR="00620FA0" w:rsidRPr="00F153F6" w:rsidRDefault="00620FA0" w:rsidP="004424B4">
      <w:pPr>
        <w:pStyle w:val="NoSpacing"/>
        <w:spacing w:line="360" w:lineRule="auto"/>
        <w:rPr>
          <w:rFonts w:ascii="Times New Roman" w:hAnsi="Times New Roman" w:cs="Times New Roman"/>
          <w:i/>
          <w:iCs/>
          <w:sz w:val="24"/>
          <w:szCs w:val="24"/>
        </w:rPr>
      </w:pPr>
    </w:p>
    <w:p w14:paraId="66A24408" w14:textId="77777777" w:rsidR="00620FA0" w:rsidRPr="00F153F6" w:rsidRDefault="00620FA0" w:rsidP="004424B4">
      <w:pPr>
        <w:pStyle w:val="NoSpacing"/>
        <w:spacing w:line="360" w:lineRule="auto"/>
        <w:jc w:val="center"/>
        <w:rPr>
          <w:rFonts w:ascii="Times New Roman" w:hAnsi="Times New Roman" w:cs="Times New Roman"/>
          <w:b/>
          <w:bCs/>
          <w:sz w:val="24"/>
          <w:szCs w:val="24"/>
        </w:rPr>
      </w:pPr>
      <w:r w:rsidRPr="00F153F6">
        <w:rPr>
          <w:rFonts w:ascii="Times New Roman" w:hAnsi="Times New Roman" w:cs="Times New Roman"/>
          <w:b/>
          <w:bCs/>
          <w:sz w:val="24"/>
          <w:szCs w:val="24"/>
        </w:rPr>
        <w:t>ICT in Use</w:t>
      </w:r>
    </w:p>
    <w:p w14:paraId="01751940" w14:textId="77777777" w:rsidR="00620FA0" w:rsidRPr="00F153F6" w:rsidRDefault="00620FA0" w:rsidP="004424B4">
      <w:pPr>
        <w:pStyle w:val="ListParagraph"/>
        <w:widowControl/>
        <w:numPr>
          <w:ilvl w:val="0"/>
          <w:numId w:val="7"/>
        </w:numPr>
        <w:spacing w:after="0" w:line="360" w:lineRule="auto"/>
        <w:rPr>
          <w:rFonts w:ascii="Times New Roman" w:hAnsi="Times New Roman" w:cs="Times New Roman"/>
          <w:sz w:val="24"/>
          <w:szCs w:val="24"/>
        </w:rPr>
      </w:pPr>
      <w:bookmarkStart w:id="703" w:name="OLE_LINK79"/>
      <w:bookmarkStart w:id="704" w:name="OLE_LINK80"/>
      <w:r w:rsidRPr="00F153F6">
        <w:rPr>
          <w:rFonts w:ascii="Times New Roman" w:hAnsi="Times New Roman" w:cs="Times New Roman"/>
          <w:sz w:val="24"/>
          <w:szCs w:val="24"/>
        </w:rPr>
        <w:t xml:space="preserve">Do you use any applications or software in this project specifically for collaboration purposes? For example, do you use any software or systems to monitor the project or to share ideas with your partners? </w:t>
      </w:r>
    </w:p>
    <w:p w14:paraId="045664E6" w14:textId="77777777"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 xml:space="preserve">Can you give me some examples of how you have been using these across the different project stages? </w:t>
      </w:r>
    </w:p>
    <w:p w14:paraId="6A3F1661" w14:textId="4B28D910"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i/>
          <w:iCs/>
          <w:sz w:val="24"/>
          <w:szCs w:val="24"/>
          <w:u w:val="single"/>
        </w:rPr>
        <w:t>(if changes are spotted</w:t>
      </w:r>
      <w:r w:rsidRPr="00F153F6">
        <w:rPr>
          <w:rFonts w:ascii="Times New Roman" w:hAnsi="Times New Roman" w:cs="Times New Roman"/>
          <w:sz w:val="24"/>
          <w:szCs w:val="24"/>
          <w:u w:val="single"/>
        </w:rPr>
        <w:t>)</w:t>
      </w:r>
      <w:r w:rsidRPr="00F153F6">
        <w:rPr>
          <w:rFonts w:ascii="Times New Roman" w:hAnsi="Times New Roman" w:cs="Times New Roman"/>
          <w:sz w:val="24"/>
          <w:szCs w:val="24"/>
        </w:rPr>
        <w:t xml:space="preserve"> Based on what you told me, it seems that the way you use technology across the different stages has changed. Have I understood correctly? </w:t>
      </w:r>
      <w:r w:rsidRPr="00F153F6">
        <w:rPr>
          <w:rFonts w:ascii="Times New Roman" w:hAnsi="Times New Roman" w:cs="Times New Roman"/>
          <w:i/>
          <w:iCs/>
          <w:sz w:val="24"/>
          <w:szCs w:val="24"/>
        </w:rPr>
        <w:t xml:space="preserve">(If yes) </w:t>
      </w:r>
      <w:r w:rsidRPr="00F153F6">
        <w:rPr>
          <w:rFonts w:ascii="Times New Roman" w:hAnsi="Times New Roman" w:cs="Times New Roman"/>
          <w:sz w:val="24"/>
          <w:szCs w:val="24"/>
        </w:rPr>
        <w:t>Why do you think this has happened?</w:t>
      </w:r>
      <w:bookmarkEnd w:id="703"/>
      <w:bookmarkEnd w:id="704"/>
    </w:p>
    <w:p w14:paraId="114A7B15" w14:textId="77777777" w:rsidR="00620FA0" w:rsidRPr="00F153F6" w:rsidRDefault="00620FA0" w:rsidP="004424B4">
      <w:pPr>
        <w:pStyle w:val="ListParagraph"/>
        <w:widowControl/>
        <w:numPr>
          <w:ilvl w:val="0"/>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Are there any ICTs that you prefer more than others for collaborating with others in the Living Lab? Why do you say this?</w:t>
      </w:r>
    </w:p>
    <w:p w14:paraId="7160810F" w14:textId="77777777"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What kind of activities do these ICTs help you with?</w:t>
      </w:r>
    </w:p>
    <w:p w14:paraId="1E4411A4" w14:textId="77777777"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How will you evaluate ICT’s help on these activities?</w:t>
      </w:r>
    </w:p>
    <w:p w14:paraId="33A08912" w14:textId="1877C272"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What is it in these ICTs that makes them more useful or better?</w:t>
      </w:r>
    </w:p>
    <w:p w14:paraId="7F7B38CB" w14:textId="0E9EE3C4" w:rsidR="00620FA0" w:rsidRPr="00F153F6" w:rsidRDefault="00620FA0" w:rsidP="004424B4">
      <w:pPr>
        <w:pStyle w:val="ListParagraph"/>
        <w:widowControl/>
        <w:numPr>
          <w:ilvl w:val="0"/>
          <w:numId w:val="7"/>
        </w:numPr>
        <w:spacing w:after="0" w:line="360" w:lineRule="auto"/>
        <w:rPr>
          <w:rFonts w:ascii="Times New Roman" w:hAnsi="Times New Roman" w:cs="Times New Roman"/>
          <w:sz w:val="24"/>
          <w:szCs w:val="24"/>
        </w:rPr>
      </w:pPr>
      <w:bookmarkStart w:id="705" w:name="OLE_LINK81"/>
      <w:r w:rsidRPr="00F153F6">
        <w:rPr>
          <w:rFonts w:ascii="Times New Roman" w:hAnsi="Times New Roman" w:cs="Times New Roman"/>
          <w:sz w:val="24"/>
          <w:szCs w:val="24"/>
        </w:rPr>
        <w:t>How was your experience of using these ICTs in collaborating with others? Would you say it was more positive or more negative?</w:t>
      </w:r>
    </w:p>
    <w:p w14:paraId="353EB45D" w14:textId="77777777" w:rsidR="00620FA0" w:rsidRPr="00F153F6" w:rsidRDefault="00620FA0" w:rsidP="004424B4">
      <w:pPr>
        <w:pStyle w:val="ListParagraph"/>
        <w:widowControl/>
        <w:spacing w:after="0" w:line="360" w:lineRule="auto"/>
        <w:rPr>
          <w:rFonts w:ascii="Times New Roman" w:hAnsi="Times New Roman" w:cs="Times New Roman"/>
          <w:sz w:val="24"/>
          <w:szCs w:val="24"/>
          <w:u w:val="single"/>
        </w:rPr>
      </w:pPr>
      <w:r w:rsidRPr="00F153F6">
        <w:rPr>
          <w:rFonts w:ascii="Times New Roman" w:hAnsi="Times New Roman" w:cs="Times New Roman"/>
          <w:sz w:val="24"/>
          <w:szCs w:val="24"/>
          <w:u w:val="single"/>
        </w:rPr>
        <w:t xml:space="preserve">If more negative: </w:t>
      </w:r>
    </w:p>
    <w:p w14:paraId="419A2DED" w14:textId="77777777"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bookmarkStart w:id="706" w:name="OLE_LINK122"/>
      <w:bookmarkStart w:id="707" w:name="OLE_LINK123"/>
      <w:r w:rsidRPr="00F153F6">
        <w:rPr>
          <w:rFonts w:ascii="Times New Roman" w:hAnsi="Times New Roman" w:cs="Times New Roman"/>
          <w:sz w:val="24"/>
          <w:szCs w:val="24"/>
        </w:rPr>
        <w:lastRenderedPageBreak/>
        <w:t>What kind of problems did you experience</w:t>
      </w:r>
      <w:bookmarkEnd w:id="706"/>
      <w:bookmarkEnd w:id="707"/>
      <w:r w:rsidRPr="00F153F6">
        <w:rPr>
          <w:rFonts w:ascii="Times New Roman" w:hAnsi="Times New Roman" w:cs="Times New Roman"/>
          <w:sz w:val="24"/>
          <w:szCs w:val="24"/>
        </w:rPr>
        <w:t>?</w:t>
      </w:r>
    </w:p>
    <w:p w14:paraId="52E0A447" w14:textId="77777777"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Were you able to address them? How?</w:t>
      </w:r>
    </w:p>
    <w:p w14:paraId="0F0B2711" w14:textId="77777777"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 xml:space="preserve">Based on this experience, do you think if you will continue using the same ICTs for your collaboration or potentially move on to some other applications? </w:t>
      </w:r>
    </w:p>
    <w:p w14:paraId="56124BCC" w14:textId="30C379EA"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Which features or functions of ICTs do you find to be more important for supporting collaborative activities?</w:t>
      </w:r>
    </w:p>
    <w:p w14:paraId="16F2BDC2" w14:textId="77777777" w:rsidR="00620FA0" w:rsidRPr="00F153F6" w:rsidRDefault="00620FA0" w:rsidP="004424B4">
      <w:pPr>
        <w:pStyle w:val="ListParagraph"/>
        <w:widowControl/>
        <w:spacing w:after="0" w:line="360" w:lineRule="auto"/>
        <w:rPr>
          <w:rFonts w:ascii="Times New Roman" w:hAnsi="Times New Roman" w:cs="Times New Roman"/>
          <w:sz w:val="24"/>
          <w:szCs w:val="24"/>
          <w:u w:val="single"/>
        </w:rPr>
      </w:pPr>
      <w:r w:rsidRPr="00F153F6">
        <w:rPr>
          <w:rFonts w:ascii="Times New Roman" w:hAnsi="Times New Roman" w:cs="Times New Roman"/>
          <w:sz w:val="24"/>
          <w:szCs w:val="24"/>
          <w:u w:val="single"/>
        </w:rPr>
        <w:t>If more positive:</w:t>
      </w:r>
    </w:p>
    <w:p w14:paraId="79667D7C" w14:textId="77777777"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Which features or functions of ICTs did you find to be particularly important and useful for your collaboration?</w:t>
      </w:r>
    </w:p>
    <w:p w14:paraId="6BE8FF39" w14:textId="77777777"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Can you recall a notable experience where technology was particularly useful for your collaboration?</w:t>
      </w:r>
    </w:p>
    <w:p w14:paraId="64940D3D" w14:textId="77777777"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Are there any issues that you find more challenging when using ICTs for collaboration purposes?</w:t>
      </w:r>
    </w:p>
    <w:p w14:paraId="31FF255C" w14:textId="08FC5EB2" w:rsidR="00620FA0"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How do you usually address them?</w:t>
      </w:r>
      <w:bookmarkStart w:id="708" w:name="OLE_LINK322"/>
      <w:bookmarkStart w:id="709" w:name="OLE_LINK323"/>
      <w:bookmarkEnd w:id="705"/>
    </w:p>
    <w:p w14:paraId="1EC40C3E" w14:textId="6ED81B1F" w:rsidR="00620FA0" w:rsidRPr="00F153F6" w:rsidRDefault="00620FA0" w:rsidP="004424B4">
      <w:pPr>
        <w:pStyle w:val="ListParagraph"/>
        <w:widowControl/>
        <w:numPr>
          <w:ilvl w:val="0"/>
          <w:numId w:val="7"/>
        </w:numPr>
        <w:spacing w:after="0" w:line="360" w:lineRule="auto"/>
        <w:rPr>
          <w:rFonts w:ascii="Times New Roman" w:hAnsi="Times New Roman" w:cs="Times New Roman"/>
          <w:sz w:val="24"/>
          <w:szCs w:val="24"/>
        </w:rPr>
      </w:pPr>
      <w:bookmarkStart w:id="710" w:name="OLE_LINK92"/>
      <w:bookmarkStart w:id="711" w:name="OLE_LINK91"/>
      <w:bookmarkEnd w:id="708"/>
      <w:bookmarkEnd w:id="709"/>
      <w:r w:rsidRPr="00F153F6">
        <w:rPr>
          <w:rFonts w:ascii="Times New Roman" w:hAnsi="Times New Roman" w:cs="Times New Roman"/>
          <w:sz w:val="24"/>
          <w:szCs w:val="24"/>
        </w:rPr>
        <w:t xml:space="preserve">If you compare this project to previous ones you have worked on, are there any differences in how ICTs are used? (If yes) Why do you think there are differences? </w:t>
      </w:r>
      <w:bookmarkEnd w:id="710"/>
      <w:bookmarkEnd w:id="711"/>
      <w:r w:rsidRPr="00F153F6">
        <w:rPr>
          <w:rFonts w:ascii="Times New Roman" w:hAnsi="Times New Roman" w:cs="Times New Roman"/>
          <w:sz w:val="24"/>
          <w:szCs w:val="24"/>
        </w:rPr>
        <w:t xml:space="preserve"> </w:t>
      </w:r>
      <w:r w:rsidRPr="00F153F6">
        <w:rPr>
          <w:rFonts w:ascii="Times New Roman" w:hAnsi="Times New Roman" w:cs="Times New Roman"/>
          <w:sz w:val="24"/>
          <w:szCs w:val="24"/>
        </w:rPr>
        <w:tab/>
      </w:r>
    </w:p>
    <w:p w14:paraId="621675DF" w14:textId="77777777" w:rsidR="00620FA0" w:rsidRPr="00F153F6" w:rsidRDefault="00620FA0" w:rsidP="004424B4">
      <w:pPr>
        <w:pStyle w:val="ListParagraph"/>
        <w:widowControl/>
        <w:numPr>
          <w:ilvl w:val="0"/>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 xml:space="preserve">As the project moves forward, </w:t>
      </w:r>
      <w:bookmarkStart w:id="712" w:name="OLE_LINK89"/>
      <w:bookmarkStart w:id="713" w:name="OLE_LINK90"/>
      <w:r w:rsidRPr="00F153F6">
        <w:rPr>
          <w:rFonts w:ascii="Times New Roman" w:hAnsi="Times New Roman" w:cs="Times New Roman"/>
          <w:sz w:val="24"/>
          <w:szCs w:val="24"/>
        </w:rPr>
        <w:t>do you think that there may be some other ICTs that can be helpful in your collaboration with a) the partner organisations b) with the partners from within your own organisations c) with achieving the goals of the project?</w:t>
      </w:r>
      <w:bookmarkEnd w:id="712"/>
      <w:bookmarkEnd w:id="713"/>
    </w:p>
    <w:p w14:paraId="14A661CF" w14:textId="77777777" w:rsidR="00620FA0" w:rsidRPr="00F153F6" w:rsidRDefault="00620FA0" w:rsidP="004424B4">
      <w:pPr>
        <w:pStyle w:val="NoSpacing"/>
        <w:spacing w:line="360" w:lineRule="auto"/>
        <w:rPr>
          <w:rFonts w:ascii="Times New Roman" w:hAnsi="Times New Roman" w:cs="Times New Roman"/>
          <w:sz w:val="24"/>
          <w:szCs w:val="24"/>
        </w:rPr>
      </w:pPr>
    </w:p>
    <w:p w14:paraId="1A7BBA9D" w14:textId="627B00D0" w:rsidR="00620FA0" w:rsidRPr="00F153F6" w:rsidRDefault="00620FA0" w:rsidP="004424B4">
      <w:pPr>
        <w:spacing w:line="360" w:lineRule="auto"/>
        <w:jc w:val="center"/>
        <w:rPr>
          <w:rFonts w:ascii="Times New Roman" w:hAnsi="Times New Roman" w:cs="Times New Roman"/>
          <w:b/>
          <w:bCs/>
          <w:sz w:val="24"/>
          <w:szCs w:val="24"/>
        </w:rPr>
      </w:pPr>
      <w:r w:rsidRPr="00F153F6">
        <w:rPr>
          <w:rFonts w:ascii="Times New Roman" w:hAnsi="Times New Roman" w:cs="Times New Roman"/>
          <w:b/>
          <w:bCs/>
          <w:sz w:val="24"/>
          <w:szCs w:val="24"/>
        </w:rPr>
        <w:t>End</w:t>
      </w:r>
    </w:p>
    <w:p w14:paraId="7037ED20" w14:textId="77777777" w:rsidR="00620FA0" w:rsidRPr="00F153F6" w:rsidRDefault="00620FA0" w:rsidP="004424B4">
      <w:pPr>
        <w:spacing w:line="360" w:lineRule="auto"/>
        <w:rPr>
          <w:rFonts w:ascii="Times New Roman" w:eastAsiaTheme="minorEastAsia" w:hAnsi="Times New Roman" w:cs="Times New Roman"/>
          <w:sz w:val="24"/>
          <w:szCs w:val="24"/>
          <w:lang w:eastAsia="zh-CN"/>
        </w:rPr>
      </w:pPr>
      <w:r w:rsidRPr="00F153F6">
        <w:rPr>
          <w:rFonts w:ascii="Times New Roman" w:hAnsi="Times New Roman" w:cs="Times New Roman"/>
          <w:sz w:val="24"/>
          <w:szCs w:val="24"/>
        </w:rPr>
        <w:t>Thank you very much for providing these very insightful thoughts and opinions. Do you have something to add further?</w:t>
      </w:r>
    </w:p>
    <w:p w14:paraId="2C90DC36" w14:textId="77777777" w:rsidR="00620FA0" w:rsidRPr="00F153F6" w:rsidRDefault="00620FA0" w:rsidP="004424B4">
      <w:pPr>
        <w:pStyle w:val="ListParagraph"/>
        <w:widowControl/>
        <w:numPr>
          <w:ilvl w:val="0"/>
          <w:numId w:val="7"/>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Do you have anyone in this project you would recommend me to interview for getting more insights, if possible?</w:t>
      </w:r>
    </w:p>
    <w:p w14:paraId="5F19177F" w14:textId="5CE5E800" w:rsidR="009D0FD8" w:rsidRPr="00F153F6" w:rsidRDefault="00620FA0" w:rsidP="004424B4">
      <w:pPr>
        <w:pStyle w:val="ListParagraph"/>
        <w:widowControl/>
        <w:numPr>
          <w:ilvl w:val="1"/>
          <w:numId w:val="7"/>
        </w:numPr>
        <w:spacing w:after="0" w:line="360" w:lineRule="auto"/>
        <w:rPr>
          <w:rFonts w:ascii="Times New Roman" w:hAnsi="Times New Roman" w:cs="Times New Roman"/>
          <w:sz w:val="24"/>
          <w:szCs w:val="24"/>
        </w:rPr>
        <w:sectPr w:rsidR="009D0FD8" w:rsidRPr="00F153F6" w:rsidSect="0015201A">
          <w:pgSz w:w="11906" w:h="16838"/>
          <w:pgMar w:top="1440" w:right="1440" w:bottom="1440" w:left="1440" w:header="708" w:footer="708" w:gutter="0"/>
          <w:cols w:space="708"/>
          <w:titlePg/>
          <w:docGrid w:linePitch="360"/>
        </w:sectPr>
      </w:pPr>
      <w:r w:rsidRPr="00F153F6">
        <w:rPr>
          <w:rFonts w:ascii="Times New Roman" w:hAnsi="Times New Roman" w:cs="Times New Roman"/>
          <w:sz w:val="24"/>
          <w:szCs w:val="24"/>
        </w:rPr>
        <w:t xml:space="preserve">Can I get their contacts? </w:t>
      </w:r>
    </w:p>
    <w:p w14:paraId="7025C0F7" w14:textId="1459CB40" w:rsidR="00620FA0" w:rsidRPr="00F153F6" w:rsidRDefault="00620FA0" w:rsidP="004424B4">
      <w:pPr>
        <w:spacing w:after="0" w:line="360" w:lineRule="auto"/>
        <w:rPr>
          <w:rFonts w:ascii="Times New Roman" w:hAnsi="Times New Roman" w:cs="Times New Roman"/>
          <w:b/>
          <w:bCs/>
          <w:sz w:val="32"/>
          <w:szCs w:val="32"/>
        </w:rPr>
      </w:pPr>
      <w:r w:rsidRPr="00F153F6">
        <w:rPr>
          <w:rFonts w:ascii="Times New Roman" w:hAnsi="Times New Roman" w:cs="Times New Roman"/>
          <w:b/>
          <w:bCs/>
          <w:sz w:val="32"/>
          <w:szCs w:val="32"/>
        </w:rPr>
        <w:lastRenderedPageBreak/>
        <w:t>Appendix B Interview Guide for Completed Stage</w:t>
      </w:r>
    </w:p>
    <w:p w14:paraId="7368B89E" w14:textId="77777777" w:rsidR="00620FA0" w:rsidRPr="00F153F6" w:rsidRDefault="00620FA0" w:rsidP="004424B4">
      <w:pPr>
        <w:pStyle w:val="NoSpacing"/>
        <w:spacing w:line="360" w:lineRule="auto"/>
        <w:jc w:val="center"/>
        <w:rPr>
          <w:rFonts w:ascii="Times New Roman" w:eastAsiaTheme="majorEastAsia" w:hAnsi="Times New Roman" w:cs="Times New Roman"/>
          <w:b/>
          <w:bCs/>
          <w:sz w:val="36"/>
          <w:szCs w:val="36"/>
          <w:lang w:eastAsia="zh-CN"/>
        </w:rPr>
      </w:pPr>
      <w:r w:rsidRPr="00F153F6">
        <w:rPr>
          <w:rFonts w:ascii="Times New Roman" w:hAnsi="Times New Roman" w:cs="Times New Roman"/>
          <w:b/>
          <w:bCs/>
          <w:sz w:val="36"/>
          <w:szCs w:val="36"/>
        </w:rPr>
        <w:t>Interview Guide</w:t>
      </w:r>
    </w:p>
    <w:p w14:paraId="23334520" w14:textId="77777777" w:rsidR="00620FA0" w:rsidRPr="00F153F6" w:rsidRDefault="00620FA0" w:rsidP="004424B4">
      <w:pPr>
        <w:spacing w:line="360" w:lineRule="auto"/>
        <w:jc w:val="center"/>
        <w:rPr>
          <w:rFonts w:ascii="Times New Roman" w:eastAsiaTheme="minorEastAsia" w:hAnsi="Times New Roman" w:cs="Times New Roman"/>
          <w:sz w:val="24"/>
          <w:szCs w:val="24"/>
          <w:lang w:eastAsia="zh-CN"/>
        </w:rPr>
      </w:pPr>
      <w:r w:rsidRPr="00F153F6">
        <w:rPr>
          <w:rFonts w:ascii="Times New Roman" w:hAnsi="Times New Roman" w:cs="Times New Roman"/>
          <w:sz w:val="24"/>
          <w:szCs w:val="24"/>
        </w:rPr>
        <w:t>(Completed – Project Leader)</w:t>
      </w:r>
    </w:p>
    <w:p w14:paraId="1DFBB948" w14:textId="77777777" w:rsidR="00620FA0" w:rsidRPr="00F153F6" w:rsidRDefault="00620FA0" w:rsidP="004424B4">
      <w:pPr>
        <w:pStyle w:val="NoSpacing"/>
        <w:spacing w:line="360" w:lineRule="auto"/>
        <w:rPr>
          <w:rFonts w:ascii="Times New Roman" w:hAnsi="Times New Roman" w:cs="Times New Roman"/>
          <w:b/>
          <w:bCs/>
          <w:sz w:val="24"/>
          <w:szCs w:val="24"/>
        </w:rPr>
      </w:pPr>
      <w:r w:rsidRPr="00F153F6">
        <w:rPr>
          <w:rFonts w:ascii="Times New Roman" w:hAnsi="Times New Roman" w:cs="Times New Roman"/>
          <w:b/>
          <w:bCs/>
          <w:sz w:val="24"/>
          <w:szCs w:val="24"/>
        </w:rPr>
        <w:t>Introduction</w:t>
      </w:r>
    </w:p>
    <w:p w14:paraId="30A27264" w14:textId="77777777" w:rsidR="00620FA0" w:rsidRPr="00F153F6" w:rsidRDefault="00620FA0" w:rsidP="004424B4">
      <w:pPr>
        <w:pStyle w:val="NoSpacing"/>
        <w:spacing w:line="360" w:lineRule="auto"/>
        <w:rPr>
          <w:rFonts w:ascii="Times New Roman" w:hAnsi="Times New Roman" w:cs="Times New Roman"/>
          <w:sz w:val="24"/>
          <w:szCs w:val="24"/>
        </w:rPr>
      </w:pPr>
      <w:r w:rsidRPr="00F153F6">
        <w:rPr>
          <w:rFonts w:ascii="Times New Roman" w:hAnsi="Times New Roman" w:cs="Times New Roman"/>
          <w:sz w:val="24"/>
          <w:szCs w:val="24"/>
        </w:rPr>
        <w:t xml:space="preserve">In this research, I am interested to identify the role of information communication technologies (ICT) in collaboration activities within Living Labs. About your XXX project, I will be inviting project partners from this project like yourself for an interview, to discuss their experiences and opinions in relation to how you have used various technologies to facilitate your communications and collaboration during this project. </w:t>
      </w:r>
    </w:p>
    <w:p w14:paraId="5A494D71" w14:textId="21BB7C76" w:rsidR="00620FA0" w:rsidRPr="00F153F6" w:rsidRDefault="00620FA0" w:rsidP="004424B4">
      <w:pPr>
        <w:pStyle w:val="NoSpacing"/>
        <w:spacing w:line="360" w:lineRule="auto"/>
        <w:rPr>
          <w:rFonts w:ascii="Times New Roman" w:hAnsi="Times New Roman" w:cs="Times New Roman"/>
          <w:sz w:val="24"/>
          <w:szCs w:val="24"/>
        </w:rPr>
      </w:pPr>
      <w:r w:rsidRPr="00F153F6">
        <w:rPr>
          <w:rFonts w:ascii="Times New Roman" w:hAnsi="Times New Roman" w:cs="Times New Roman"/>
          <w:sz w:val="24"/>
          <w:szCs w:val="24"/>
        </w:rPr>
        <w:t xml:space="preserve"> </w:t>
      </w:r>
    </w:p>
    <w:p w14:paraId="492CD43F" w14:textId="77777777" w:rsidR="00620FA0" w:rsidRPr="00F153F6" w:rsidRDefault="00620FA0" w:rsidP="004424B4">
      <w:pPr>
        <w:pStyle w:val="NoSpacing"/>
        <w:spacing w:line="360" w:lineRule="auto"/>
        <w:rPr>
          <w:rFonts w:ascii="Times New Roman" w:hAnsi="Times New Roman" w:cs="Times New Roman"/>
          <w:sz w:val="24"/>
          <w:szCs w:val="24"/>
        </w:rPr>
      </w:pPr>
      <w:r w:rsidRPr="00F153F6">
        <w:rPr>
          <w:rFonts w:ascii="Times New Roman" w:hAnsi="Times New Roman" w:cs="Times New Roman"/>
          <w:sz w:val="24"/>
          <w:szCs w:val="24"/>
        </w:rPr>
        <w:t xml:space="preserve">The interview will last </w:t>
      </w:r>
      <w:r w:rsidRPr="00F153F6">
        <w:rPr>
          <w:rFonts w:ascii="Times New Roman" w:hAnsi="Times New Roman" w:cs="Times New Roman"/>
          <w:b/>
          <w:bCs/>
          <w:sz w:val="24"/>
          <w:szCs w:val="24"/>
        </w:rPr>
        <w:t xml:space="preserve">around 70 to 80 minutes </w:t>
      </w:r>
      <w:r w:rsidRPr="00F153F6">
        <w:rPr>
          <w:rFonts w:ascii="Times New Roman" w:hAnsi="Times New Roman" w:cs="Times New Roman"/>
          <w:sz w:val="24"/>
          <w:szCs w:val="24"/>
        </w:rPr>
        <w:t>during which</w:t>
      </w:r>
      <w:r w:rsidRPr="00F153F6">
        <w:rPr>
          <w:rFonts w:ascii="Times New Roman" w:hAnsi="Times New Roman" w:cs="Times New Roman"/>
          <w:b/>
          <w:bCs/>
          <w:sz w:val="24"/>
          <w:szCs w:val="24"/>
        </w:rPr>
        <w:t xml:space="preserve"> </w:t>
      </w:r>
      <w:r w:rsidRPr="00F153F6">
        <w:rPr>
          <w:rFonts w:ascii="Times New Roman" w:hAnsi="Times New Roman" w:cs="Times New Roman"/>
          <w:sz w:val="24"/>
          <w:szCs w:val="24"/>
        </w:rPr>
        <w:t>I will ask you to</w:t>
      </w:r>
      <w:r w:rsidRPr="00F153F6">
        <w:rPr>
          <w:rFonts w:ascii="Times New Roman" w:hAnsi="Times New Roman" w:cs="Times New Roman"/>
          <w:b/>
          <w:bCs/>
          <w:sz w:val="24"/>
          <w:szCs w:val="24"/>
        </w:rPr>
        <w:t xml:space="preserve"> provide your experiences, attitudes, understanding, perceptions or any other insights. </w:t>
      </w:r>
      <w:r w:rsidRPr="00F153F6">
        <w:rPr>
          <w:rFonts w:ascii="Times New Roman" w:hAnsi="Times New Roman" w:cs="Times New Roman"/>
          <w:sz w:val="24"/>
          <w:szCs w:val="24"/>
        </w:rPr>
        <w:t xml:space="preserve">You can freely discuss your opinions and there is no time limitation. Most importantly, </w:t>
      </w:r>
      <w:r w:rsidRPr="00F153F6">
        <w:rPr>
          <w:rFonts w:ascii="Times New Roman" w:hAnsi="Times New Roman" w:cs="Times New Roman"/>
          <w:b/>
          <w:bCs/>
          <w:sz w:val="24"/>
          <w:szCs w:val="24"/>
        </w:rPr>
        <w:t xml:space="preserve">you have the right to stop the interview at any time </w:t>
      </w:r>
      <w:r w:rsidRPr="00F153F6">
        <w:rPr>
          <w:rFonts w:ascii="Times New Roman" w:hAnsi="Times New Roman" w:cs="Times New Roman"/>
          <w:sz w:val="24"/>
          <w:szCs w:val="24"/>
        </w:rPr>
        <w:t xml:space="preserve">if you feel uncomfortable or simply wish to withdraw from the research. </w:t>
      </w:r>
    </w:p>
    <w:p w14:paraId="57D759D0" w14:textId="77777777" w:rsidR="00620FA0" w:rsidRPr="00F153F6" w:rsidRDefault="00620FA0" w:rsidP="004424B4">
      <w:pPr>
        <w:pStyle w:val="NoSpacing"/>
        <w:spacing w:line="360" w:lineRule="auto"/>
        <w:rPr>
          <w:rFonts w:ascii="Times New Roman" w:hAnsi="Times New Roman" w:cs="Times New Roman"/>
          <w:sz w:val="24"/>
          <w:szCs w:val="24"/>
        </w:rPr>
      </w:pPr>
    </w:p>
    <w:p w14:paraId="7B9D7419" w14:textId="77777777" w:rsidR="00620FA0" w:rsidRPr="00F153F6" w:rsidRDefault="00620FA0" w:rsidP="004424B4">
      <w:pPr>
        <w:pStyle w:val="NoSpacing"/>
        <w:spacing w:line="360" w:lineRule="auto"/>
        <w:rPr>
          <w:rFonts w:ascii="Times New Roman" w:hAnsi="Times New Roman" w:cs="Times New Roman"/>
          <w:sz w:val="24"/>
          <w:szCs w:val="24"/>
        </w:rPr>
      </w:pPr>
      <w:r w:rsidRPr="00F153F6">
        <w:rPr>
          <w:rFonts w:ascii="Times New Roman" w:hAnsi="Times New Roman" w:cs="Times New Roman"/>
          <w:sz w:val="24"/>
          <w:szCs w:val="24"/>
        </w:rPr>
        <w:t>I will be audio recording the interview for later analysis. If you don’t wish to be audio recorded, I will keep handwritten notes. All your information will be kept strictly confidential and will only be accessible to the research team members. All information that can potentially identify will be redacted. You can find more information in the consent form, and your participation in this research entails you have understood and agreed to all information in the consent form.</w:t>
      </w:r>
    </w:p>
    <w:p w14:paraId="627BE6BB" w14:textId="77777777" w:rsidR="00620FA0" w:rsidRPr="00F153F6" w:rsidRDefault="00620FA0" w:rsidP="004424B4">
      <w:pPr>
        <w:pStyle w:val="NoSpacing"/>
        <w:spacing w:line="360" w:lineRule="auto"/>
        <w:rPr>
          <w:rFonts w:ascii="Times New Roman" w:hAnsi="Times New Roman" w:cs="Times New Roman"/>
          <w:sz w:val="28"/>
          <w:szCs w:val="28"/>
        </w:rPr>
      </w:pPr>
      <w:r w:rsidRPr="00F153F6">
        <w:rPr>
          <w:rFonts w:ascii="Times New Roman" w:hAnsi="Times New Roman" w:cs="Times New Roman"/>
          <w:sz w:val="24"/>
          <w:szCs w:val="24"/>
        </w:rPr>
        <w:t xml:space="preserve">   </w:t>
      </w:r>
    </w:p>
    <w:p w14:paraId="464F7351" w14:textId="77777777" w:rsidR="00620FA0" w:rsidRPr="00F153F6" w:rsidRDefault="00620FA0" w:rsidP="004424B4">
      <w:pPr>
        <w:pStyle w:val="NoSpacing"/>
        <w:spacing w:line="360" w:lineRule="auto"/>
        <w:rPr>
          <w:rFonts w:ascii="Times New Roman" w:hAnsi="Times New Roman" w:cs="Times New Roman"/>
          <w:sz w:val="24"/>
          <w:szCs w:val="24"/>
        </w:rPr>
      </w:pPr>
      <w:r w:rsidRPr="00F153F6">
        <w:rPr>
          <w:rFonts w:ascii="Times New Roman" w:hAnsi="Times New Roman" w:cs="Times New Roman"/>
          <w:sz w:val="24"/>
          <w:szCs w:val="24"/>
        </w:rPr>
        <w:t>Can you please confirm you give your consent for this interview and its recording? (Recording starts)</w:t>
      </w:r>
    </w:p>
    <w:p w14:paraId="7107CD07" w14:textId="77777777" w:rsidR="00620FA0" w:rsidRPr="00F153F6" w:rsidRDefault="00620FA0" w:rsidP="004424B4">
      <w:pPr>
        <w:pStyle w:val="NoSpacing"/>
        <w:spacing w:line="360" w:lineRule="auto"/>
        <w:rPr>
          <w:rFonts w:ascii="Times New Roman" w:hAnsi="Times New Roman" w:cs="Times New Roman"/>
          <w:sz w:val="24"/>
          <w:szCs w:val="24"/>
        </w:rPr>
      </w:pPr>
    </w:p>
    <w:p w14:paraId="5351873E" w14:textId="77777777" w:rsidR="00620FA0" w:rsidRPr="00F153F6" w:rsidRDefault="00620FA0" w:rsidP="004424B4">
      <w:pPr>
        <w:pStyle w:val="NoSpacing"/>
        <w:spacing w:line="360" w:lineRule="auto"/>
        <w:jc w:val="center"/>
        <w:rPr>
          <w:rFonts w:ascii="Times New Roman" w:hAnsi="Times New Roman" w:cs="Times New Roman"/>
          <w:b/>
          <w:bCs/>
          <w:sz w:val="28"/>
          <w:szCs w:val="28"/>
        </w:rPr>
      </w:pPr>
      <w:r w:rsidRPr="00F153F6">
        <w:rPr>
          <w:rFonts w:ascii="Times New Roman" w:hAnsi="Times New Roman" w:cs="Times New Roman"/>
          <w:b/>
          <w:bCs/>
          <w:sz w:val="28"/>
          <w:szCs w:val="28"/>
        </w:rPr>
        <w:t>Background</w:t>
      </w:r>
    </w:p>
    <w:p w14:paraId="33AD97B7" w14:textId="77777777" w:rsidR="00620FA0" w:rsidRPr="00F153F6" w:rsidRDefault="00620FA0" w:rsidP="004424B4">
      <w:pPr>
        <w:pStyle w:val="ListParagraph"/>
        <w:numPr>
          <w:ilvl w:val="0"/>
          <w:numId w:val="9"/>
        </w:numPr>
        <w:spacing w:line="360" w:lineRule="auto"/>
        <w:ind w:left="360"/>
        <w:rPr>
          <w:rFonts w:ascii="Times New Roman" w:hAnsi="Times New Roman" w:cs="Times New Roman"/>
          <w:sz w:val="24"/>
          <w:szCs w:val="24"/>
        </w:rPr>
      </w:pPr>
      <w:r w:rsidRPr="00F153F6">
        <w:rPr>
          <w:rFonts w:ascii="Times New Roman" w:hAnsi="Times New Roman" w:cs="Times New Roman"/>
          <w:sz w:val="24"/>
          <w:szCs w:val="24"/>
        </w:rPr>
        <w:t>Can you tell me a little bit about your experience, as for example your previous involvement in funded projects, other living labs projects and so on?</w:t>
      </w:r>
    </w:p>
    <w:p w14:paraId="25A226F1" w14:textId="77777777" w:rsidR="00620FA0" w:rsidRPr="00F153F6" w:rsidRDefault="00620FA0" w:rsidP="004424B4">
      <w:pPr>
        <w:pStyle w:val="ListParagraph"/>
        <w:numPr>
          <w:ilvl w:val="1"/>
          <w:numId w:val="9"/>
        </w:numPr>
        <w:spacing w:line="360" w:lineRule="auto"/>
        <w:ind w:left="1080"/>
        <w:rPr>
          <w:rFonts w:ascii="Times New Roman" w:hAnsi="Times New Roman" w:cs="Times New Roman"/>
          <w:sz w:val="24"/>
          <w:szCs w:val="24"/>
        </w:rPr>
      </w:pPr>
      <w:r w:rsidRPr="00F153F6">
        <w:rPr>
          <w:rFonts w:ascii="Times New Roman" w:hAnsi="Times New Roman" w:cs="Times New Roman"/>
          <w:sz w:val="24"/>
          <w:szCs w:val="24"/>
        </w:rPr>
        <w:t>Did your previous experience have any impact on the development of this XXX project?</w:t>
      </w:r>
    </w:p>
    <w:p w14:paraId="58BCAEC3" w14:textId="77777777" w:rsidR="00620FA0" w:rsidRPr="00F153F6" w:rsidRDefault="00620FA0" w:rsidP="004424B4">
      <w:pPr>
        <w:pStyle w:val="ListParagraph"/>
        <w:widowControl/>
        <w:numPr>
          <w:ilvl w:val="0"/>
          <w:numId w:val="9"/>
        </w:numPr>
        <w:spacing w:after="0" w:line="360" w:lineRule="auto"/>
        <w:ind w:left="360"/>
        <w:jc w:val="left"/>
        <w:rPr>
          <w:rFonts w:ascii="Times New Roman" w:hAnsi="Times New Roman" w:cs="Times New Roman"/>
          <w:sz w:val="24"/>
          <w:szCs w:val="24"/>
        </w:rPr>
      </w:pPr>
      <w:r w:rsidRPr="00F153F6">
        <w:rPr>
          <w:rFonts w:ascii="Times New Roman" w:hAnsi="Times New Roman" w:cs="Times New Roman"/>
          <w:sz w:val="24"/>
          <w:szCs w:val="24"/>
        </w:rPr>
        <w:t xml:space="preserve">Could you tell me a few things about your role in XXX project? </w:t>
      </w:r>
    </w:p>
    <w:p w14:paraId="5989460E" w14:textId="77777777" w:rsidR="00620FA0" w:rsidRPr="00F153F6" w:rsidRDefault="00620FA0" w:rsidP="004424B4">
      <w:pPr>
        <w:pStyle w:val="ListParagraph"/>
        <w:widowControl/>
        <w:numPr>
          <w:ilvl w:val="1"/>
          <w:numId w:val="9"/>
        </w:numPr>
        <w:spacing w:after="0" w:line="360" w:lineRule="auto"/>
        <w:ind w:left="1080"/>
        <w:jc w:val="left"/>
        <w:rPr>
          <w:rFonts w:ascii="Times New Roman" w:hAnsi="Times New Roman" w:cs="Times New Roman"/>
          <w:sz w:val="24"/>
          <w:szCs w:val="24"/>
        </w:rPr>
      </w:pPr>
      <w:r w:rsidRPr="00F153F6">
        <w:rPr>
          <w:rFonts w:ascii="Times New Roman" w:hAnsi="Times New Roman" w:cs="Times New Roman"/>
          <w:sz w:val="24"/>
          <w:szCs w:val="24"/>
        </w:rPr>
        <w:lastRenderedPageBreak/>
        <w:t>What did this role entail and what were your main responsibilities?</w:t>
      </w:r>
    </w:p>
    <w:p w14:paraId="0251716A" w14:textId="77777777" w:rsidR="00620FA0" w:rsidRPr="00F153F6" w:rsidRDefault="00620FA0" w:rsidP="004424B4">
      <w:pPr>
        <w:pStyle w:val="ListParagraph"/>
        <w:widowControl/>
        <w:spacing w:after="0" w:line="360" w:lineRule="auto"/>
        <w:ind w:left="360"/>
        <w:jc w:val="left"/>
        <w:rPr>
          <w:rFonts w:ascii="Times New Roman" w:hAnsi="Times New Roman" w:cs="Times New Roman"/>
          <w:sz w:val="24"/>
          <w:szCs w:val="24"/>
        </w:rPr>
      </w:pPr>
    </w:p>
    <w:p w14:paraId="09789952" w14:textId="77777777" w:rsidR="00620FA0" w:rsidRPr="00F153F6" w:rsidRDefault="00620FA0" w:rsidP="004424B4">
      <w:pPr>
        <w:pStyle w:val="ListParagraph"/>
        <w:widowControl/>
        <w:numPr>
          <w:ilvl w:val="0"/>
          <w:numId w:val="9"/>
        </w:numPr>
        <w:spacing w:after="0" w:line="360" w:lineRule="auto"/>
        <w:ind w:left="360"/>
        <w:jc w:val="left"/>
        <w:rPr>
          <w:rFonts w:ascii="Times New Roman" w:hAnsi="Times New Roman" w:cs="Times New Roman"/>
          <w:sz w:val="24"/>
          <w:szCs w:val="24"/>
        </w:rPr>
      </w:pPr>
      <w:r w:rsidRPr="00F153F6">
        <w:rPr>
          <w:rFonts w:ascii="Times New Roman" w:hAnsi="Times New Roman" w:cs="Times New Roman"/>
          <w:sz w:val="24"/>
          <w:szCs w:val="24"/>
        </w:rPr>
        <w:t>Could you give me some information about the project? I would like to know what the aims of the project were, when it was launched, and when you got involved in it and in what capacity.</w:t>
      </w:r>
    </w:p>
    <w:p w14:paraId="729E9FE7" w14:textId="77777777" w:rsidR="00620FA0" w:rsidRPr="00F153F6" w:rsidRDefault="00620FA0" w:rsidP="004424B4">
      <w:pPr>
        <w:pStyle w:val="ListParagraph"/>
        <w:widowControl/>
        <w:numPr>
          <w:ilvl w:val="1"/>
          <w:numId w:val="9"/>
        </w:numPr>
        <w:spacing w:after="0" w:line="360" w:lineRule="auto"/>
        <w:ind w:left="1080"/>
        <w:jc w:val="left"/>
        <w:rPr>
          <w:rFonts w:ascii="Times New Roman" w:hAnsi="Times New Roman" w:cs="Times New Roman"/>
          <w:sz w:val="24"/>
          <w:szCs w:val="24"/>
        </w:rPr>
      </w:pPr>
      <w:bookmarkStart w:id="714" w:name="OLE_LINK129"/>
      <w:r w:rsidRPr="00F153F6">
        <w:rPr>
          <w:rFonts w:ascii="Times New Roman" w:hAnsi="Times New Roman" w:cs="Times New Roman"/>
          <w:sz w:val="24"/>
          <w:szCs w:val="24"/>
        </w:rPr>
        <w:t>Which were the partner organisations in this project and what were their role in the project?</w:t>
      </w:r>
    </w:p>
    <w:p w14:paraId="4A694BD5" w14:textId="77777777" w:rsidR="00620FA0" w:rsidRPr="00F153F6" w:rsidRDefault="00620FA0" w:rsidP="004424B4">
      <w:pPr>
        <w:pStyle w:val="ListParagraph"/>
        <w:widowControl/>
        <w:numPr>
          <w:ilvl w:val="0"/>
          <w:numId w:val="9"/>
        </w:numPr>
        <w:spacing w:after="0" w:line="360" w:lineRule="auto"/>
        <w:ind w:left="360"/>
        <w:jc w:val="left"/>
        <w:rPr>
          <w:rFonts w:ascii="Times New Roman" w:hAnsi="Times New Roman" w:cs="Times New Roman"/>
          <w:sz w:val="24"/>
          <w:szCs w:val="24"/>
        </w:rPr>
      </w:pPr>
      <w:bookmarkStart w:id="715" w:name="OLE_LINK132"/>
      <w:bookmarkEnd w:id="714"/>
      <w:r w:rsidRPr="00F153F6">
        <w:rPr>
          <w:rFonts w:ascii="Times New Roman" w:hAnsi="Times New Roman" w:cs="Times New Roman"/>
          <w:sz w:val="24"/>
          <w:szCs w:val="24"/>
        </w:rPr>
        <w:t>Who did you generally work and collaborate with most often for this project from within your own organisation and from the partner organisations?</w:t>
      </w:r>
    </w:p>
    <w:bookmarkEnd w:id="715"/>
    <w:p w14:paraId="23D08366" w14:textId="77777777" w:rsidR="009D0FD8" w:rsidRPr="00F153F6" w:rsidRDefault="00620FA0" w:rsidP="004424B4">
      <w:pPr>
        <w:pStyle w:val="ListParagraph"/>
        <w:widowControl/>
        <w:numPr>
          <w:ilvl w:val="0"/>
          <w:numId w:val="9"/>
        </w:numPr>
        <w:spacing w:after="0" w:line="360" w:lineRule="auto"/>
        <w:ind w:left="360"/>
        <w:jc w:val="left"/>
        <w:rPr>
          <w:rFonts w:ascii="Times New Roman" w:hAnsi="Times New Roman" w:cs="Times New Roman"/>
          <w:sz w:val="24"/>
          <w:szCs w:val="24"/>
        </w:rPr>
      </w:pPr>
      <w:r w:rsidRPr="00F153F6">
        <w:rPr>
          <w:rFonts w:ascii="Times New Roman" w:hAnsi="Times New Roman" w:cs="Times New Roman"/>
          <w:sz w:val="24"/>
          <w:szCs w:val="24"/>
        </w:rPr>
        <w:t>Would you describe this as a successful project or a failed project? What made it a successful/failed project in your opinion?</w:t>
      </w:r>
    </w:p>
    <w:p w14:paraId="3166CB9D" w14:textId="77777777" w:rsidR="009D0FD8" w:rsidRPr="00F153F6" w:rsidRDefault="009D0FD8" w:rsidP="004424B4">
      <w:pPr>
        <w:spacing w:after="0" w:line="360" w:lineRule="auto"/>
        <w:jc w:val="center"/>
        <w:rPr>
          <w:rFonts w:ascii="Times New Roman" w:hAnsi="Times New Roman" w:cs="Times New Roman"/>
          <w:b/>
          <w:bCs/>
          <w:sz w:val="24"/>
          <w:szCs w:val="24"/>
        </w:rPr>
      </w:pPr>
    </w:p>
    <w:p w14:paraId="5B877AD7" w14:textId="44DBAF38" w:rsidR="009D0FD8" w:rsidRPr="00F153F6" w:rsidRDefault="00DF77A5" w:rsidP="004424B4">
      <w:pPr>
        <w:spacing w:after="0" w:line="360" w:lineRule="auto"/>
        <w:jc w:val="center"/>
        <w:rPr>
          <w:rFonts w:ascii="Times New Roman" w:hAnsi="Times New Roman" w:cs="Times New Roman"/>
          <w:sz w:val="24"/>
          <w:szCs w:val="24"/>
        </w:rPr>
      </w:pPr>
      <w:r w:rsidRPr="00F153F6">
        <w:rPr>
          <w:rFonts w:ascii="Times New Roman" w:hAnsi="Times New Roman" w:cs="Times New Roman"/>
          <w:b/>
          <w:bCs/>
          <w:sz w:val="24"/>
          <w:szCs w:val="24"/>
        </w:rPr>
        <w:t>IOKE Practice</w:t>
      </w:r>
    </w:p>
    <w:p w14:paraId="32F48E92" w14:textId="77777777" w:rsidR="009D0FD8" w:rsidRPr="00F153F6" w:rsidRDefault="009D0FD8" w:rsidP="004424B4">
      <w:pPr>
        <w:pStyle w:val="ListParagraph"/>
        <w:numPr>
          <w:ilvl w:val="0"/>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Can you talk to me a little about your experience with the project:</w:t>
      </w:r>
    </w:p>
    <w:p w14:paraId="6B0E3740" w14:textId="77777777" w:rsidR="009D0FD8" w:rsidRPr="00F153F6" w:rsidRDefault="009D0FD8" w:rsidP="004424B4">
      <w:pPr>
        <w:pStyle w:val="ListParagraph"/>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How was the collaboration with the project partners in your opinion?</w:t>
      </w:r>
    </w:p>
    <w:p w14:paraId="1B6A85A4" w14:textId="77777777" w:rsidR="009D0FD8" w:rsidRPr="00F153F6" w:rsidRDefault="009D0FD8" w:rsidP="004424B4">
      <w:pPr>
        <w:pStyle w:val="ListParagraph"/>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Initially how do you reach out your partners? As project moving forward, are you reaching out new partners? is there any change on such reaching out approach?</w:t>
      </w:r>
    </w:p>
    <w:p w14:paraId="6095B3ED" w14:textId="77777777" w:rsidR="009D0FD8" w:rsidRPr="00F153F6" w:rsidRDefault="009D0FD8" w:rsidP="004424B4">
      <w:pPr>
        <w:pStyle w:val="ListParagraph"/>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During the project, what were your normal ways to communicate with partners? (Technologies?)</w:t>
      </w:r>
    </w:p>
    <w:p w14:paraId="6A2472A5" w14:textId="77777777" w:rsidR="009D0FD8" w:rsidRPr="00F153F6" w:rsidRDefault="009D0FD8" w:rsidP="004424B4">
      <w:pPr>
        <w:pStyle w:val="ListParagraph"/>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Among these partners, did you have particular communication approach for particular partners?</w:t>
      </w:r>
    </w:p>
    <w:p w14:paraId="134F2532" w14:textId="77777777" w:rsidR="009D0FD8" w:rsidRPr="00F153F6" w:rsidRDefault="009D0FD8" w:rsidP="004424B4">
      <w:pPr>
        <w:pStyle w:val="ListParagraph"/>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What were your initial expectations from your project partners in the beginning of the project?</w:t>
      </w:r>
    </w:p>
    <w:p w14:paraId="5E52AF4D" w14:textId="77777777" w:rsidR="009D0FD8" w:rsidRPr="00F153F6" w:rsidRDefault="009D0FD8" w:rsidP="004424B4">
      <w:pPr>
        <w:pStyle w:val="ListParagraph"/>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How would you evaluate your partners’ contributions in this project?</w:t>
      </w:r>
    </w:p>
    <w:p w14:paraId="50117A7B" w14:textId="5FF41C75" w:rsidR="009D0FD8" w:rsidRPr="00F153F6" w:rsidRDefault="009D0FD8" w:rsidP="004424B4">
      <w:pPr>
        <w:pStyle w:val="ListParagraph"/>
        <w:widowControl/>
        <w:numPr>
          <w:ilvl w:val="1"/>
          <w:numId w:val="10"/>
        </w:numPr>
        <w:spacing w:after="0" w:line="360" w:lineRule="auto"/>
        <w:jc w:val="left"/>
        <w:rPr>
          <w:rFonts w:ascii="Times New Roman" w:hAnsi="Times New Roman" w:cs="Times New Roman"/>
          <w:sz w:val="24"/>
          <w:szCs w:val="24"/>
        </w:rPr>
      </w:pPr>
    </w:p>
    <w:p w14:paraId="66744747" w14:textId="77777777" w:rsidR="009D0FD8" w:rsidRPr="00F153F6" w:rsidRDefault="009D0FD8" w:rsidP="004424B4">
      <w:pPr>
        <w:pStyle w:val="ListParagraph"/>
        <w:widowControl/>
        <w:spacing w:after="0" w:line="360" w:lineRule="auto"/>
        <w:ind w:left="360"/>
        <w:jc w:val="left"/>
        <w:rPr>
          <w:rFonts w:ascii="Times New Roman" w:hAnsi="Times New Roman" w:cs="Times New Roman"/>
          <w:sz w:val="24"/>
          <w:szCs w:val="24"/>
        </w:rPr>
      </w:pPr>
    </w:p>
    <w:p w14:paraId="1A8598AC" w14:textId="32BB21EE" w:rsidR="00E35ED6" w:rsidRPr="00F153F6" w:rsidRDefault="00E35ED6" w:rsidP="004424B4">
      <w:pPr>
        <w:pStyle w:val="ListParagraph"/>
        <w:widowControl/>
        <w:numPr>
          <w:ilvl w:val="0"/>
          <w:numId w:val="10"/>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 xml:space="preserve">What methodology does the lab typically follow? What methodology did you follow for this particular project? </w:t>
      </w:r>
    </w:p>
    <w:p w14:paraId="123EBE8D" w14:textId="77777777" w:rsidR="00E35ED6" w:rsidRPr="00F153F6" w:rsidRDefault="00E35ED6" w:rsidP="004424B4">
      <w:pPr>
        <w:pStyle w:val="ListParagraph"/>
        <w:widowControl/>
        <w:numPr>
          <w:ilvl w:val="1"/>
          <w:numId w:val="10"/>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 xml:space="preserve">Were there any differences in the methodology you typically follow as a Living Lab and the one you followed for this project? </w:t>
      </w:r>
    </w:p>
    <w:p w14:paraId="0C20E651" w14:textId="77777777" w:rsidR="00E35ED6" w:rsidRPr="00F153F6" w:rsidRDefault="00E35ED6" w:rsidP="004424B4">
      <w:pPr>
        <w:pStyle w:val="ListParagraph"/>
        <w:widowControl/>
        <w:numPr>
          <w:ilvl w:val="1"/>
          <w:numId w:val="10"/>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(if different) Why did you choose to adapt the methodology for this project?</w:t>
      </w:r>
    </w:p>
    <w:p w14:paraId="653062A7" w14:textId="77777777" w:rsidR="00E35ED6" w:rsidRPr="00F153F6" w:rsidRDefault="00E35ED6" w:rsidP="004424B4">
      <w:pPr>
        <w:pStyle w:val="ListParagraph"/>
        <w:widowControl/>
        <w:spacing w:after="0" w:line="360" w:lineRule="auto"/>
        <w:ind w:left="360"/>
        <w:jc w:val="left"/>
        <w:rPr>
          <w:rFonts w:ascii="Times New Roman" w:hAnsi="Times New Roman" w:cs="Times New Roman"/>
          <w:i/>
          <w:iCs/>
          <w:sz w:val="24"/>
          <w:szCs w:val="24"/>
        </w:rPr>
      </w:pPr>
    </w:p>
    <w:p w14:paraId="0C458779" w14:textId="77777777" w:rsidR="00E35ED6" w:rsidRPr="00F153F6" w:rsidRDefault="00E35ED6" w:rsidP="004424B4">
      <w:pPr>
        <w:pStyle w:val="ListParagraph"/>
        <w:widowControl/>
        <w:numPr>
          <w:ilvl w:val="0"/>
          <w:numId w:val="10"/>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 xml:space="preserve">Considering that a project based on the Living lab methodology brings together partners with different experiences and objectives, I would be interested to know how did you </w:t>
      </w:r>
      <w:r w:rsidRPr="00F153F6">
        <w:rPr>
          <w:rFonts w:ascii="Times New Roman" w:hAnsi="Times New Roman" w:cs="Times New Roman"/>
          <w:sz w:val="24"/>
          <w:szCs w:val="24"/>
        </w:rPr>
        <w:lastRenderedPageBreak/>
        <w:t>integrate all the expertise and contributions of the different project partners. Can you tell me a little bit about this?</w:t>
      </w:r>
    </w:p>
    <w:p w14:paraId="626AE886" w14:textId="77777777" w:rsidR="00E35ED6" w:rsidRPr="00F153F6" w:rsidRDefault="00E35ED6" w:rsidP="004424B4">
      <w:pPr>
        <w:pStyle w:val="ListParagraph"/>
        <w:widowControl/>
        <w:numPr>
          <w:ilvl w:val="0"/>
          <w:numId w:val="10"/>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I realise in this project your partners may want different value, so during the project activities, how did you reciprocate each other?</w:t>
      </w:r>
    </w:p>
    <w:p w14:paraId="3A674608" w14:textId="77777777" w:rsidR="00E35ED6" w:rsidRPr="00F153F6" w:rsidRDefault="00E35ED6" w:rsidP="004424B4">
      <w:pPr>
        <w:pStyle w:val="ListParagraph"/>
        <w:widowControl/>
        <w:numPr>
          <w:ilvl w:val="1"/>
          <w:numId w:val="10"/>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Do you think how such mutual value are reflected from their different contributions?</w:t>
      </w:r>
    </w:p>
    <w:p w14:paraId="26F66338" w14:textId="77777777" w:rsidR="00E35ED6" w:rsidRPr="00F153F6" w:rsidRDefault="00E35ED6" w:rsidP="004424B4">
      <w:pPr>
        <w:pStyle w:val="ListParagraph"/>
        <w:widowControl/>
        <w:spacing w:after="0" w:line="360" w:lineRule="auto"/>
        <w:ind w:left="360"/>
        <w:jc w:val="left"/>
        <w:rPr>
          <w:rFonts w:ascii="Times New Roman" w:hAnsi="Times New Roman" w:cs="Times New Roman"/>
          <w:i/>
          <w:iCs/>
          <w:sz w:val="24"/>
          <w:szCs w:val="24"/>
        </w:rPr>
      </w:pPr>
    </w:p>
    <w:p w14:paraId="55492BAA" w14:textId="77777777" w:rsidR="00E35ED6" w:rsidRPr="00F153F6" w:rsidRDefault="00E35ED6" w:rsidP="004424B4">
      <w:pPr>
        <w:pStyle w:val="ListParagraph"/>
        <w:widowControl/>
        <w:numPr>
          <w:ilvl w:val="0"/>
          <w:numId w:val="10"/>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 xml:space="preserve">What was the workplan of this project? </w:t>
      </w:r>
      <w:r w:rsidRPr="00F153F6">
        <w:rPr>
          <w:rFonts w:ascii="Times New Roman" w:hAnsi="Times New Roman" w:cs="Times New Roman"/>
          <w:i/>
          <w:iCs/>
          <w:sz w:val="24"/>
          <w:szCs w:val="24"/>
          <w:u w:val="single"/>
        </w:rPr>
        <w:t>(if they need prompt or explanations: what are the main work packages and tasks for this project)</w:t>
      </w:r>
      <w:r w:rsidRPr="00F153F6">
        <w:rPr>
          <w:rFonts w:ascii="Times New Roman" w:hAnsi="Times New Roman" w:cs="Times New Roman"/>
          <w:i/>
          <w:iCs/>
          <w:sz w:val="24"/>
          <w:szCs w:val="24"/>
        </w:rPr>
        <w:t>,</w:t>
      </w:r>
      <w:r w:rsidRPr="00F153F6">
        <w:rPr>
          <w:rFonts w:ascii="Times New Roman" w:hAnsi="Times New Roman" w:cs="Times New Roman"/>
          <w:sz w:val="24"/>
          <w:szCs w:val="24"/>
        </w:rPr>
        <w:t xml:space="preserve"> and how were they allocated to the partners?</w:t>
      </w:r>
    </w:p>
    <w:p w14:paraId="731D0E2B" w14:textId="77777777" w:rsidR="00E35ED6" w:rsidRPr="00F153F6" w:rsidRDefault="00E35ED6" w:rsidP="004424B4">
      <w:pPr>
        <w:pStyle w:val="ListParagraph"/>
        <w:widowControl/>
        <w:numPr>
          <w:ilvl w:val="1"/>
          <w:numId w:val="10"/>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 xml:space="preserve">how were you evaluating the progress of the project along the different stages? </w:t>
      </w:r>
    </w:p>
    <w:p w14:paraId="3CB579AA" w14:textId="77777777" w:rsidR="00E35ED6" w:rsidRPr="00F153F6" w:rsidRDefault="00E35ED6" w:rsidP="004424B4">
      <w:pPr>
        <w:pStyle w:val="ListParagraph"/>
        <w:widowControl/>
        <w:numPr>
          <w:ilvl w:val="1"/>
          <w:numId w:val="10"/>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 xml:space="preserve">Have you completed all tasks and activities per each stage? (if not all stages were completed) What work was left incomplete and why? </w:t>
      </w:r>
    </w:p>
    <w:p w14:paraId="190933EB" w14:textId="77777777" w:rsidR="00E35ED6" w:rsidRPr="00F153F6" w:rsidRDefault="00E35ED6" w:rsidP="004424B4">
      <w:pPr>
        <w:spacing w:line="360" w:lineRule="auto"/>
        <w:rPr>
          <w:rFonts w:ascii="Times New Roman" w:hAnsi="Times New Roman" w:cs="Times New Roman"/>
          <w:i/>
          <w:iCs/>
          <w:sz w:val="24"/>
          <w:szCs w:val="24"/>
        </w:rPr>
      </w:pPr>
    </w:p>
    <w:p w14:paraId="11198AF3" w14:textId="77777777" w:rsidR="00E35ED6" w:rsidRPr="00F153F6" w:rsidRDefault="00E35ED6" w:rsidP="004424B4">
      <w:pPr>
        <w:pStyle w:val="ListParagraph"/>
        <w:widowControl/>
        <w:numPr>
          <w:ilvl w:val="0"/>
          <w:numId w:val="10"/>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Were there any activities that deviated from the plan?</w:t>
      </w:r>
    </w:p>
    <w:p w14:paraId="1BF4582F" w14:textId="77777777" w:rsidR="00E35ED6" w:rsidRPr="00F153F6" w:rsidRDefault="00E35ED6" w:rsidP="004424B4">
      <w:pPr>
        <w:pStyle w:val="ListParagraph"/>
        <w:widowControl/>
        <w:numPr>
          <w:ilvl w:val="1"/>
          <w:numId w:val="10"/>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In your opinion, what were the reasons for these deviations?</w:t>
      </w:r>
    </w:p>
    <w:p w14:paraId="07E7B6A1" w14:textId="77777777" w:rsidR="00E35ED6" w:rsidRPr="00F153F6" w:rsidRDefault="00E35ED6" w:rsidP="004424B4">
      <w:pPr>
        <w:pStyle w:val="ListParagraph"/>
        <w:widowControl/>
        <w:numPr>
          <w:ilvl w:val="1"/>
          <w:numId w:val="10"/>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 xml:space="preserve">Did you do anything (as an individual or as a partnership) to address the issues you just described? </w:t>
      </w:r>
    </w:p>
    <w:p w14:paraId="5F55F0C3" w14:textId="77777777" w:rsidR="00E35ED6" w:rsidRPr="00F153F6" w:rsidRDefault="00E35ED6" w:rsidP="004424B4">
      <w:pPr>
        <w:pStyle w:val="ListParagraph"/>
        <w:widowControl/>
        <w:numPr>
          <w:ilvl w:val="1"/>
          <w:numId w:val="10"/>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With hindsight, do you think there was something that could have been done differently to avoid these issues?</w:t>
      </w:r>
    </w:p>
    <w:p w14:paraId="7F026478" w14:textId="77777777" w:rsidR="00E35ED6" w:rsidRPr="00F153F6" w:rsidRDefault="00E35ED6" w:rsidP="004424B4">
      <w:pPr>
        <w:spacing w:line="360" w:lineRule="auto"/>
        <w:rPr>
          <w:rFonts w:ascii="Times New Roman" w:hAnsi="Times New Roman" w:cs="Times New Roman"/>
          <w:i/>
          <w:iCs/>
          <w:sz w:val="24"/>
          <w:szCs w:val="24"/>
        </w:rPr>
      </w:pPr>
    </w:p>
    <w:p w14:paraId="19D5448F" w14:textId="77777777" w:rsidR="00E35ED6" w:rsidRPr="00F153F6" w:rsidRDefault="00E35ED6" w:rsidP="004424B4">
      <w:pPr>
        <w:pStyle w:val="ListParagraph"/>
        <w:widowControl/>
        <w:numPr>
          <w:ilvl w:val="0"/>
          <w:numId w:val="10"/>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 xml:space="preserve">Which things have gone particularly well with this project? Why do you think so? </w:t>
      </w:r>
    </w:p>
    <w:p w14:paraId="25B3EA42" w14:textId="77777777" w:rsidR="00E35ED6" w:rsidRPr="00F153F6" w:rsidRDefault="00E35ED6" w:rsidP="004424B4">
      <w:pPr>
        <w:pStyle w:val="ListParagraph"/>
        <w:widowControl/>
        <w:numPr>
          <w:ilvl w:val="1"/>
          <w:numId w:val="10"/>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Generally, in your opinion, what are the most important things that make a Living Lab project successful?</w:t>
      </w:r>
    </w:p>
    <w:p w14:paraId="022EA452" w14:textId="77777777" w:rsidR="00E35ED6" w:rsidRPr="00F153F6" w:rsidRDefault="00E35ED6" w:rsidP="004424B4">
      <w:pPr>
        <w:spacing w:line="360" w:lineRule="auto"/>
        <w:rPr>
          <w:rFonts w:ascii="Times New Roman" w:hAnsi="Times New Roman" w:cs="Times New Roman"/>
          <w:i/>
          <w:iCs/>
          <w:sz w:val="24"/>
          <w:szCs w:val="24"/>
        </w:rPr>
      </w:pPr>
    </w:p>
    <w:p w14:paraId="5262960F" w14:textId="77777777" w:rsidR="00E35ED6" w:rsidRPr="00F153F6" w:rsidRDefault="00E35ED6" w:rsidP="004424B4">
      <w:pPr>
        <w:pStyle w:val="ListParagraph"/>
        <w:widowControl/>
        <w:numPr>
          <w:ilvl w:val="0"/>
          <w:numId w:val="10"/>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If you were to redo this project, would you do anything differently? From setting up the consortium and selecting the partners, to designing the workplan, choosing the ICTs etc.</w:t>
      </w:r>
    </w:p>
    <w:p w14:paraId="2B23A71A" w14:textId="77777777" w:rsidR="00E35ED6" w:rsidRPr="00F153F6" w:rsidRDefault="00E35ED6" w:rsidP="004424B4">
      <w:pPr>
        <w:pStyle w:val="ListParagraph"/>
        <w:widowControl/>
        <w:spacing w:after="0" w:line="360" w:lineRule="auto"/>
        <w:ind w:left="360"/>
        <w:jc w:val="left"/>
        <w:rPr>
          <w:rFonts w:ascii="Times New Roman" w:hAnsi="Times New Roman" w:cs="Times New Roman"/>
          <w:i/>
          <w:iCs/>
          <w:sz w:val="24"/>
          <w:szCs w:val="24"/>
        </w:rPr>
      </w:pPr>
    </w:p>
    <w:p w14:paraId="11CE5F46" w14:textId="77777777" w:rsidR="00E35ED6" w:rsidRPr="00F153F6" w:rsidRDefault="00E35ED6" w:rsidP="004424B4">
      <w:pPr>
        <w:pStyle w:val="ListParagraph"/>
        <w:widowControl/>
        <w:numPr>
          <w:ilvl w:val="0"/>
          <w:numId w:val="10"/>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When do you find it most necessary or useful to collaborate with others? How does this collaboration usually take place?</w:t>
      </w:r>
    </w:p>
    <w:p w14:paraId="3529B734" w14:textId="77777777" w:rsidR="00E35ED6" w:rsidRPr="00F153F6" w:rsidRDefault="00E35ED6" w:rsidP="004424B4">
      <w:pPr>
        <w:spacing w:line="360" w:lineRule="auto"/>
        <w:rPr>
          <w:rFonts w:ascii="Times New Roman" w:hAnsi="Times New Roman" w:cs="Times New Roman"/>
          <w:i/>
          <w:iCs/>
          <w:sz w:val="24"/>
          <w:szCs w:val="24"/>
        </w:rPr>
      </w:pPr>
    </w:p>
    <w:p w14:paraId="1C661744" w14:textId="77777777" w:rsidR="00E35ED6" w:rsidRPr="00F153F6" w:rsidRDefault="00E35ED6" w:rsidP="004424B4">
      <w:pPr>
        <w:pStyle w:val="ListParagraph"/>
        <w:widowControl/>
        <w:numPr>
          <w:ilvl w:val="0"/>
          <w:numId w:val="10"/>
        </w:numPr>
        <w:spacing w:after="0" w:line="360" w:lineRule="auto"/>
        <w:jc w:val="left"/>
        <w:rPr>
          <w:rFonts w:ascii="Times New Roman" w:hAnsi="Times New Roman" w:cs="Times New Roman"/>
          <w:sz w:val="24"/>
          <w:szCs w:val="24"/>
        </w:rPr>
      </w:pPr>
      <w:r w:rsidRPr="00F153F6">
        <w:rPr>
          <w:rFonts w:ascii="Times New Roman" w:hAnsi="Times New Roman" w:cs="Times New Roman"/>
          <w:sz w:val="24"/>
          <w:szCs w:val="24"/>
        </w:rPr>
        <w:t xml:space="preserve">Have you faced any challenges in your collaboration with your partners during the project? What challenges were these? </w:t>
      </w:r>
    </w:p>
    <w:p w14:paraId="227945BE" w14:textId="0913F64E" w:rsidR="00620FA0" w:rsidRPr="00F153F6" w:rsidRDefault="00E35ED6" w:rsidP="004424B4">
      <w:pPr>
        <w:pStyle w:val="NoSpacing"/>
        <w:spacing w:line="360" w:lineRule="auto"/>
        <w:rPr>
          <w:rFonts w:ascii="Times New Roman" w:hAnsi="Times New Roman" w:cs="Times New Roman"/>
          <w:sz w:val="24"/>
          <w:szCs w:val="24"/>
        </w:rPr>
      </w:pPr>
      <w:r w:rsidRPr="00F153F6">
        <w:rPr>
          <w:rFonts w:ascii="Times New Roman" w:hAnsi="Times New Roman" w:cs="Times New Roman"/>
          <w:i/>
          <w:iCs/>
          <w:sz w:val="24"/>
          <w:szCs w:val="24"/>
          <w:u w:val="single"/>
        </w:rPr>
        <w:lastRenderedPageBreak/>
        <w:t>(if relevant)</w:t>
      </w:r>
      <w:r w:rsidRPr="00F153F6">
        <w:rPr>
          <w:rFonts w:ascii="Times New Roman" w:hAnsi="Times New Roman" w:cs="Times New Roman"/>
          <w:sz w:val="24"/>
          <w:szCs w:val="24"/>
        </w:rPr>
        <w:t xml:space="preserve"> Have you used ICTs to overcome these challenges?</w:t>
      </w:r>
    </w:p>
    <w:p w14:paraId="5DDCCD33" w14:textId="0747785B" w:rsidR="009D0FD8" w:rsidRPr="00F153F6" w:rsidRDefault="009D0FD8" w:rsidP="004424B4">
      <w:pPr>
        <w:pStyle w:val="NoSpacing"/>
        <w:spacing w:line="360" w:lineRule="auto"/>
        <w:rPr>
          <w:rFonts w:ascii="Times New Roman" w:hAnsi="Times New Roman" w:cs="Times New Roman"/>
          <w:i/>
          <w:iCs/>
          <w:sz w:val="24"/>
          <w:szCs w:val="24"/>
        </w:rPr>
      </w:pPr>
    </w:p>
    <w:p w14:paraId="5BE0FC3F" w14:textId="48DB0ACE" w:rsidR="009D0FD8" w:rsidRPr="00F153F6" w:rsidRDefault="009D0FD8" w:rsidP="004424B4">
      <w:pPr>
        <w:pStyle w:val="NoSpacing"/>
        <w:spacing w:line="360" w:lineRule="auto"/>
        <w:jc w:val="center"/>
        <w:rPr>
          <w:rFonts w:ascii="Times New Roman" w:hAnsi="Times New Roman" w:cs="Times New Roman"/>
          <w:b/>
          <w:bCs/>
          <w:sz w:val="24"/>
          <w:szCs w:val="24"/>
        </w:rPr>
      </w:pPr>
      <w:r w:rsidRPr="00F153F6">
        <w:rPr>
          <w:rFonts w:ascii="Times New Roman" w:hAnsi="Times New Roman" w:cs="Times New Roman"/>
          <w:b/>
          <w:bCs/>
          <w:sz w:val="24"/>
          <w:szCs w:val="24"/>
        </w:rPr>
        <w:t>ICT in Use</w:t>
      </w:r>
    </w:p>
    <w:p w14:paraId="2E00D86B" w14:textId="77777777" w:rsidR="00620FA0" w:rsidRPr="00F153F6" w:rsidRDefault="00620FA0" w:rsidP="004424B4">
      <w:pPr>
        <w:pStyle w:val="ListParagraph"/>
        <w:widowControl/>
        <w:numPr>
          <w:ilvl w:val="0"/>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 xml:space="preserve">Do you use any applications or software in this project specifically for collaboration purposes? For example, do you use any software or systems to monitor the project or to share ideas with your partners? </w:t>
      </w:r>
    </w:p>
    <w:p w14:paraId="717B4727" w14:textId="77777777" w:rsidR="00620FA0" w:rsidRPr="00F153F6" w:rsidRDefault="00620FA0" w:rsidP="004424B4">
      <w:pPr>
        <w:pStyle w:val="ListParagraph"/>
        <w:widowControl/>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 xml:space="preserve">Can you give me some examples of how you have been using these across the different project stages? </w:t>
      </w:r>
    </w:p>
    <w:p w14:paraId="21658B8C" w14:textId="77777777" w:rsidR="00620FA0" w:rsidRPr="00F153F6" w:rsidRDefault="00620FA0" w:rsidP="004424B4">
      <w:pPr>
        <w:pStyle w:val="ListParagraph"/>
        <w:widowControl/>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i/>
          <w:iCs/>
          <w:sz w:val="24"/>
          <w:szCs w:val="24"/>
          <w:u w:val="single"/>
        </w:rPr>
        <w:t>(if changes are spotted</w:t>
      </w:r>
      <w:r w:rsidRPr="00F153F6">
        <w:rPr>
          <w:rFonts w:ascii="Times New Roman" w:hAnsi="Times New Roman" w:cs="Times New Roman"/>
          <w:sz w:val="24"/>
          <w:szCs w:val="24"/>
          <w:u w:val="single"/>
        </w:rPr>
        <w:t>)</w:t>
      </w:r>
      <w:r w:rsidRPr="00F153F6">
        <w:rPr>
          <w:rFonts w:ascii="Times New Roman" w:hAnsi="Times New Roman" w:cs="Times New Roman"/>
          <w:sz w:val="24"/>
          <w:szCs w:val="24"/>
        </w:rPr>
        <w:t xml:space="preserve"> Based on what you told me, it seems that the way you use technology across the different stages has changed. Have I understood correctly? </w:t>
      </w:r>
      <w:r w:rsidRPr="00F153F6">
        <w:rPr>
          <w:rFonts w:ascii="Times New Roman" w:hAnsi="Times New Roman" w:cs="Times New Roman"/>
          <w:i/>
          <w:iCs/>
          <w:sz w:val="24"/>
          <w:szCs w:val="24"/>
        </w:rPr>
        <w:t xml:space="preserve">(If yes) </w:t>
      </w:r>
      <w:r w:rsidRPr="00F153F6">
        <w:rPr>
          <w:rFonts w:ascii="Times New Roman" w:hAnsi="Times New Roman" w:cs="Times New Roman"/>
          <w:sz w:val="24"/>
          <w:szCs w:val="24"/>
        </w:rPr>
        <w:t>Why do you think this has happened?</w:t>
      </w:r>
    </w:p>
    <w:p w14:paraId="4FA72E62" w14:textId="77777777" w:rsidR="00620FA0" w:rsidRPr="00F153F6" w:rsidRDefault="00620FA0" w:rsidP="004424B4">
      <w:pPr>
        <w:pStyle w:val="ListParagraph"/>
        <w:widowControl/>
        <w:numPr>
          <w:ilvl w:val="0"/>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Are there any ICTs that you prefer more than others for collaborating with others in the Living Lab? Why do you say this?</w:t>
      </w:r>
    </w:p>
    <w:p w14:paraId="5BAB4C1A" w14:textId="77777777" w:rsidR="00620FA0" w:rsidRPr="00F153F6" w:rsidRDefault="00620FA0" w:rsidP="004424B4">
      <w:pPr>
        <w:pStyle w:val="ListParagraph"/>
        <w:widowControl/>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What kind of activities do these ICTs help you with?</w:t>
      </w:r>
    </w:p>
    <w:p w14:paraId="55936DDE" w14:textId="77777777" w:rsidR="00620FA0" w:rsidRPr="00F153F6" w:rsidRDefault="00620FA0" w:rsidP="004424B4">
      <w:pPr>
        <w:pStyle w:val="ListParagraph"/>
        <w:widowControl/>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How will you evaluate ICT’s help on these activities?</w:t>
      </w:r>
    </w:p>
    <w:p w14:paraId="13EAB11F" w14:textId="77777777" w:rsidR="00620FA0" w:rsidRPr="00F153F6" w:rsidRDefault="00620FA0" w:rsidP="004424B4">
      <w:pPr>
        <w:pStyle w:val="ListParagraph"/>
        <w:widowControl/>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What is it in these ICTs that makes them more useful or better?</w:t>
      </w:r>
    </w:p>
    <w:p w14:paraId="2D99B313" w14:textId="77777777" w:rsidR="00620FA0" w:rsidRPr="00F153F6" w:rsidRDefault="00620FA0" w:rsidP="004424B4">
      <w:pPr>
        <w:pStyle w:val="ListParagraph"/>
        <w:widowControl/>
        <w:numPr>
          <w:ilvl w:val="0"/>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How was your experience of using these ICTs in collaborating with others? Would you say it was more positive or more negative?</w:t>
      </w:r>
    </w:p>
    <w:p w14:paraId="7C77BE4F" w14:textId="77777777" w:rsidR="00620FA0" w:rsidRPr="00F153F6" w:rsidRDefault="00620FA0" w:rsidP="004424B4">
      <w:pPr>
        <w:pStyle w:val="ListParagraph"/>
        <w:widowControl/>
        <w:spacing w:after="0" w:line="360" w:lineRule="auto"/>
        <w:rPr>
          <w:rFonts w:ascii="Times New Roman" w:hAnsi="Times New Roman" w:cs="Times New Roman"/>
          <w:sz w:val="24"/>
          <w:szCs w:val="24"/>
          <w:u w:val="single"/>
        </w:rPr>
      </w:pPr>
      <w:r w:rsidRPr="00F153F6">
        <w:rPr>
          <w:rFonts w:ascii="Times New Roman" w:hAnsi="Times New Roman" w:cs="Times New Roman"/>
          <w:sz w:val="24"/>
          <w:szCs w:val="24"/>
          <w:u w:val="single"/>
        </w:rPr>
        <w:t xml:space="preserve">If more negative: </w:t>
      </w:r>
    </w:p>
    <w:p w14:paraId="18CCD7CF" w14:textId="77777777" w:rsidR="00620FA0" w:rsidRPr="00F153F6" w:rsidRDefault="00620FA0" w:rsidP="004424B4">
      <w:pPr>
        <w:pStyle w:val="ListParagraph"/>
        <w:widowControl/>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What kind of problems did you experience?</w:t>
      </w:r>
    </w:p>
    <w:p w14:paraId="057FE476" w14:textId="77777777" w:rsidR="00620FA0" w:rsidRPr="00F153F6" w:rsidRDefault="00620FA0" w:rsidP="004424B4">
      <w:pPr>
        <w:pStyle w:val="ListParagraph"/>
        <w:widowControl/>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Were you able to address them? How?</w:t>
      </w:r>
    </w:p>
    <w:p w14:paraId="166C488E" w14:textId="77777777" w:rsidR="00620FA0" w:rsidRPr="00F153F6" w:rsidRDefault="00620FA0" w:rsidP="004424B4">
      <w:pPr>
        <w:pStyle w:val="ListParagraph"/>
        <w:widowControl/>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 xml:space="preserve">Based on this experience, do you think if you will continue using the same ICTs for your collaboration or potentially move on to some other applications? </w:t>
      </w:r>
    </w:p>
    <w:p w14:paraId="53282037" w14:textId="77777777" w:rsidR="00620FA0" w:rsidRPr="00F153F6" w:rsidRDefault="00620FA0" w:rsidP="004424B4">
      <w:pPr>
        <w:pStyle w:val="ListParagraph"/>
        <w:widowControl/>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Which features or functions of ICTs do you find to be more important for supporting collaborative activities?</w:t>
      </w:r>
    </w:p>
    <w:p w14:paraId="4568B366" w14:textId="77777777" w:rsidR="00620FA0" w:rsidRPr="00F153F6" w:rsidRDefault="00620FA0" w:rsidP="004424B4">
      <w:pPr>
        <w:pStyle w:val="ListParagraph"/>
        <w:widowControl/>
        <w:spacing w:after="0" w:line="360" w:lineRule="auto"/>
        <w:rPr>
          <w:rFonts w:ascii="Times New Roman" w:hAnsi="Times New Roman" w:cs="Times New Roman"/>
          <w:sz w:val="24"/>
          <w:szCs w:val="24"/>
          <w:u w:val="single"/>
        </w:rPr>
      </w:pPr>
      <w:r w:rsidRPr="00F153F6">
        <w:rPr>
          <w:rFonts w:ascii="Times New Roman" w:hAnsi="Times New Roman" w:cs="Times New Roman"/>
          <w:sz w:val="24"/>
          <w:szCs w:val="24"/>
          <w:u w:val="single"/>
        </w:rPr>
        <w:t>If more positive:</w:t>
      </w:r>
    </w:p>
    <w:p w14:paraId="5CB72C97" w14:textId="77777777" w:rsidR="00620FA0" w:rsidRPr="00F153F6" w:rsidRDefault="00620FA0" w:rsidP="004424B4">
      <w:pPr>
        <w:pStyle w:val="ListParagraph"/>
        <w:widowControl/>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Which features or functions of ICTs did you find to be particularly important and useful for your collaboration?</w:t>
      </w:r>
    </w:p>
    <w:p w14:paraId="7A368334" w14:textId="77777777" w:rsidR="00620FA0" w:rsidRPr="00F153F6" w:rsidRDefault="00620FA0" w:rsidP="004424B4">
      <w:pPr>
        <w:pStyle w:val="ListParagraph"/>
        <w:widowControl/>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Can you recall a notable experience where technology was particularly useful for your collaboration?</w:t>
      </w:r>
    </w:p>
    <w:p w14:paraId="185466BE" w14:textId="77777777" w:rsidR="00620FA0" w:rsidRPr="00F153F6" w:rsidRDefault="00620FA0" w:rsidP="004424B4">
      <w:pPr>
        <w:pStyle w:val="ListParagraph"/>
        <w:widowControl/>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Are there any issues that you find more challenging when using ICTs for collaboration purposes?</w:t>
      </w:r>
    </w:p>
    <w:p w14:paraId="78F63C72" w14:textId="77777777" w:rsidR="00620FA0" w:rsidRPr="00F153F6" w:rsidRDefault="00620FA0" w:rsidP="004424B4">
      <w:pPr>
        <w:pStyle w:val="ListParagraph"/>
        <w:widowControl/>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How do you usually address them?</w:t>
      </w:r>
    </w:p>
    <w:p w14:paraId="1979CED0" w14:textId="77777777" w:rsidR="00620FA0" w:rsidRPr="00F153F6" w:rsidRDefault="00620FA0" w:rsidP="004424B4">
      <w:pPr>
        <w:pStyle w:val="ListParagraph"/>
        <w:widowControl/>
        <w:numPr>
          <w:ilvl w:val="0"/>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lastRenderedPageBreak/>
        <w:t xml:space="preserve">If you compare this project to previous ones you have worked on, are there any differences in how ICTs are used? (If yes) Why do you think there are differences?  </w:t>
      </w:r>
      <w:r w:rsidRPr="00F153F6">
        <w:rPr>
          <w:rFonts w:ascii="Times New Roman" w:hAnsi="Times New Roman" w:cs="Times New Roman"/>
          <w:sz w:val="24"/>
          <w:szCs w:val="24"/>
        </w:rPr>
        <w:tab/>
      </w:r>
    </w:p>
    <w:p w14:paraId="70FFBC87" w14:textId="77777777" w:rsidR="00620FA0" w:rsidRPr="00F153F6" w:rsidRDefault="00620FA0" w:rsidP="004424B4">
      <w:pPr>
        <w:pStyle w:val="ListParagraph"/>
        <w:widowControl/>
        <w:numPr>
          <w:ilvl w:val="0"/>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As the project moves forward, do you think that there may be some other ICTs that can be helpful in your collaboration with a) the partner organisations b) with the partners from within your own organisations c) with achieving the goals of the project?</w:t>
      </w:r>
    </w:p>
    <w:p w14:paraId="1DF08560" w14:textId="77777777" w:rsidR="00620FA0" w:rsidRPr="00F153F6" w:rsidRDefault="00620FA0" w:rsidP="004424B4">
      <w:pPr>
        <w:pStyle w:val="NoSpacing"/>
        <w:spacing w:line="360" w:lineRule="auto"/>
        <w:rPr>
          <w:rFonts w:ascii="Times New Roman" w:hAnsi="Times New Roman" w:cs="Times New Roman"/>
          <w:sz w:val="24"/>
          <w:szCs w:val="24"/>
        </w:rPr>
      </w:pPr>
    </w:p>
    <w:p w14:paraId="49AEA8D0" w14:textId="77777777" w:rsidR="00620FA0" w:rsidRPr="00F153F6" w:rsidRDefault="00620FA0" w:rsidP="004424B4">
      <w:pPr>
        <w:spacing w:line="360" w:lineRule="auto"/>
        <w:rPr>
          <w:rFonts w:ascii="Times New Roman" w:eastAsiaTheme="minorEastAsia" w:hAnsi="Times New Roman" w:cs="Times New Roman"/>
          <w:sz w:val="24"/>
          <w:szCs w:val="24"/>
          <w:lang w:eastAsia="zh-CN"/>
        </w:rPr>
      </w:pPr>
      <w:r w:rsidRPr="00F153F6">
        <w:rPr>
          <w:rFonts w:ascii="Times New Roman" w:hAnsi="Times New Roman" w:cs="Times New Roman"/>
          <w:sz w:val="24"/>
          <w:szCs w:val="24"/>
        </w:rPr>
        <w:t>Thank you very much for providing these very insightful thoughts and opinions. Do you have something to add further?</w:t>
      </w:r>
    </w:p>
    <w:p w14:paraId="4C8F168B" w14:textId="77777777" w:rsidR="00620FA0" w:rsidRPr="00F153F6" w:rsidRDefault="00620FA0" w:rsidP="004424B4">
      <w:pPr>
        <w:pStyle w:val="ListParagraph"/>
        <w:widowControl/>
        <w:numPr>
          <w:ilvl w:val="0"/>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Do you have anyone in this project you would recommend me to interview for getting more insights, if possible?</w:t>
      </w:r>
    </w:p>
    <w:p w14:paraId="2860AA50" w14:textId="77777777" w:rsidR="00620FA0" w:rsidRPr="00F153F6" w:rsidRDefault="00620FA0" w:rsidP="004424B4">
      <w:pPr>
        <w:pStyle w:val="ListParagraph"/>
        <w:widowControl/>
        <w:numPr>
          <w:ilvl w:val="1"/>
          <w:numId w:val="10"/>
        </w:numPr>
        <w:spacing w:after="0" w:line="360" w:lineRule="auto"/>
        <w:rPr>
          <w:rFonts w:ascii="Times New Roman" w:hAnsi="Times New Roman" w:cs="Times New Roman"/>
          <w:sz w:val="24"/>
          <w:szCs w:val="24"/>
        </w:rPr>
      </w:pPr>
      <w:r w:rsidRPr="00F153F6">
        <w:rPr>
          <w:rFonts w:ascii="Times New Roman" w:hAnsi="Times New Roman" w:cs="Times New Roman"/>
          <w:sz w:val="24"/>
          <w:szCs w:val="24"/>
        </w:rPr>
        <w:t xml:space="preserve">Can I get their contacts? </w:t>
      </w:r>
    </w:p>
    <w:p w14:paraId="2713AEEA" w14:textId="77777777" w:rsidR="00620FA0" w:rsidRPr="00F153F6" w:rsidRDefault="00620FA0" w:rsidP="004424B4">
      <w:pPr>
        <w:spacing w:line="360" w:lineRule="auto"/>
        <w:jc w:val="both"/>
        <w:rPr>
          <w:rFonts w:ascii="Times New Roman" w:hAnsi="Times New Roman" w:cs="Times New Roman"/>
          <w:b/>
          <w:bCs/>
          <w:sz w:val="28"/>
          <w:szCs w:val="28"/>
        </w:rPr>
      </w:pPr>
    </w:p>
    <w:p w14:paraId="02A1DFF5" w14:textId="7A11C547" w:rsidR="00523FB2" w:rsidRPr="00F153F6" w:rsidRDefault="00523FB2" w:rsidP="004424B4">
      <w:pPr>
        <w:spacing w:after="160" w:line="360" w:lineRule="auto"/>
      </w:pPr>
      <w:r w:rsidRPr="00F153F6">
        <w:br w:type="page"/>
      </w:r>
    </w:p>
    <w:p w14:paraId="130142CF" w14:textId="77777777" w:rsidR="00523FB2" w:rsidRPr="00F153F6" w:rsidRDefault="00523FB2" w:rsidP="004424B4">
      <w:pPr>
        <w:spacing w:after="160" w:line="360" w:lineRule="auto"/>
        <w:jc w:val="both"/>
        <w:rPr>
          <w:rFonts w:ascii="Times New Roman" w:hAnsi="Times New Roman" w:cs="Times New Roman"/>
          <w:b/>
          <w:bCs/>
          <w:sz w:val="28"/>
          <w:szCs w:val="28"/>
        </w:rPr>
      </w:pPr>
      <w:r w:rsidRPr="00F153F6">
        <w:rPr>
          <w:rFonts w:ascii="Times New Roman" w:hAnsi="Times New Roman" w:cs="Times New Roman"/>
          <w:b/>
          <w:bCs/>
          <w:sz w:val="28"/>
          <w:szCs w:val="28"/>
        </w:rPr>
        <w:lastRenderedPageBreak/>
        <w:t>Appendix C Ethics Approval Letter</w:t>
      </w:r>
    </w:p>
    <w:p w14:paraId="673782C2" w14:textId="2B0057F0" w:rsidR="00523FB2" w:rsidRPr="00F153F6" w:rsidRDefault="00523FB2" w:rsidP="004424B4">
      <w:pPr>
        <w:spacing w:after="160" w:line="360" w:lineRule="auto"/>
      </w:pPr>
      <w:r w:rsidRPr="00F153F6">
        <w:rPr>
          <w:noProof/>
        </w:rPr>
        <w:t xml:space="preserve"> </w:t>
      </w:r>
      <w:r w:rsidRPr="00F153F6">
        <w:rPr>
          <w:noProof/>
        </w:rPr>
        <w:drawing>
          <wp:inline distT="0" distB="0" distL="0" distR="0" wp14:anchorId="473A5C71" wp14:editId="36FB2E20">
            <wp:extent cx="6009257" cy="7391400"/>
            <wp:effectExtent l="19050" t="19050" r="10795" b="1905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28"/>
                    <a:stretch>
                      <a:fillRect/>
                    </a:stretch>
                  </pic:blipFill>
                  <pic:spPr>
                    <a:xfrm>
                      <a:off x="0" y="0"/>
                      <a:ext cx="6011813" cy="7394544"/>
                    </a:xfrm>
                    <a:prstGeom prst="rect">
                      <a:avLst/>
                    </a:prstGeom>
                    <a:ln w="12700">
                      <a:solidFill>
                        <a:schemeClr val="tx1"/>
                      </a:solidFill>
                    </a:ln>
                  </pic:spPr>
                </pic:pic>
              </a:graphicData>
            </a:graphic>
          </wp:inline>
        </w:drawing>
      </w:r>
    </w:p>
    <w:p w14:paraId="6FA4AADC" w14:textId="16CA3A9E" w:rsidR="00721305" w:rsidRPr="00F153F6" w:rsidRDefault="00721305" w:rsidP="004424B4">
      <w:pPr>
        <w:spacing w:after="160" w:line="360" w:lineRule="auto"/>
        <w:jc w:val="both"/>
      </w:pPr>
      <w:r w:rsidRPr="00F153F6">
        <w:br w:type="page"/>
      </w:r>
    </w:p>
    <w:p w14:paraId="5D6BAEDA" w14:textId="41105037" w:rsidR="00721305" w:rsidRPr="00F153F6" w:rsidRDefault="00721305" w:rsidP="004424B4">
      <w:pPr>
        <w:pStyle w:val="Heading1"/>
        <w:spacing w:line="360" w:lineRule="auto"/>
        <w:jc w:val="center"/>
        <w:rPr>
          <w:rFonts w:ascii="Times New Roman" w:hAnsi="Times New Roman" w:cs="Times New Roman"/>
          <w:b w:val="0"/>
          <w:bCs/>
          <w:sz w:val="40"/>
          <w:szCs w:val="40"/>
        </w:rPr>
      </w:pPr>
      <w:bookmarkStart w:id="716" w:name="_Toc133252195"/>
      <w:r w:rsidRPr="00F153F6">
        <w:rPr>
          <w:rFonts w:ascii="Times New Roman" w:hAnsi="Times New Roman" w:cs="Times New Roman"/>
          <w:b w:val="0"/>
          <w:bCs/>
          <w:sz w:val="40"/>
          <w:szCs w:val="40"/>
        </w:rPr>
        <w:lastRenderedPageBreak/>
        <w:t>ABBREVIATIONS</w:t>
      </w:r>
      <w:bookmarkEnd w:id="716"/>
    </w:p>
    <w:p w14:paraId="4354A60B" w14:textId="77777777" w:rsidR="007B6A6D" w:rsidRPr="00F153F6" w:rsidRDefault="007B6A6D" w:rsidP="004424B4">
      <w:pPr>
        <w:spacing w:after="160" w:line="360" w:lineRule="auto"/>
        <w:jc w:val="both"/>
        <w:rPr>
          <w:rFonts w:ascii="Times New Roman" w:hAnsi="Times New Roman" w:cs="Times New Roman"/>
        </w:rPr>
      </w:pPr>
    </w:p>
    <w:p w14:paraId="3B9B3219" w14:textId="2B1442D5" w:rsidR="007B6A6D" w:rsidRPr="00F153F6" w:rsidRDefault="007B6A6D" w:rsidP="004424B4">
      <w:pPr>
        <w:spacing w:after="160" w:line="360" w:lineRule="auto"/>
        <w:jc w:val="both"/>
        <w:rPr>
          <w:rFonts w:ascii="Times New Roman" w:hAnsi="Times New Roman" w:cs="Times New Roman"/>
          <w:sz w:val="24"/>
          <w:szCs w:val="24"/>
        </w:rPr>
      </w:pPr>
      <w:r w:rsidRPr="00F153F6">
        <w:rPr>
          <w:rFonts w:ascii="Times New Roman" w:hAnsi="Times New Roman" w:cs="Times New Roman"/>
          <w:sz w:val="24"/>
          <w:szCs w:val="24"/>
        </w:rPr>
        <w:t>IT – Information Technology</w:t>
      </w:r>
    </w:p>
    <w:p w14:paraId="5541CD74" w14:textId="64D042B0" w:rsidR="00721305" w:rsidRPr="00F153F6" w:rsidRDefault="007B6A6D" w:rsidP="004424B4">
      <w:pPr>
        <w:spacing w:after="160" w:line="360" w:lineRule="auto"/>
        <w:jc w:val="both"/>
        <w:rPr>
          <w:rFonts w:ascii="Times New Roman" w:hAnsi="Times New Roman" w:cs="Times New Roman"/>
          <w:sz w:val="24"/>
          <w:szCs w:val="24"/>
        </w:rPr>
      </w:pPr>
      <w:r w:rsidRPr="00F153F6">
        <w:rPr>
          <w:rFonts w:ascii="Times New Roman" w:hAnsi="Times New Roman" w:cs="Times New Roman"/>
          <w:sz w:val="24"/>
          <w:szCs w:val="24"/>
        </w:rPr>
        <w:t>ICT – Information and Communication Technology</w:t>
      </w:r>
    </w:p>
    <w:p w14:paraId="03EA4713" w14:textId="6B286E25" w:rsidR="007B6A6D" w:rsidRPr="00F153F6" w:rsidRDefault="007B6A6D" w:rsidP="004424B4">
      <w:pPr>
        <w:spacing w:after="160" w:line="360" w:lineRule="auto"/>
        <w:jc w:val="both"/>
        <w:rPr>
          <w:rFonts w:ascii="Times New Roman" w:hAnsi="Times New Roman" w:cs="Times New Roman"/>
          <w:sz w:val="24"/>
          <w:szCs w:val="24"/>
        </w:rPr>
      </w:pPr>
      <w:r w:rsidRPr="00F153F6">
        <w:rPr>
          <w:rFonts w:ascii="Times New Roman" w:hAnsi="Times New Roman" w:cs="Times New Roman"/>
          <w:sz w:val="24"/>
          <w:szCs w:val="24"/>
        </w:rPr>
        <w:t>IOKE – Inter-organisational Knowledge Exchange</w:t>
      </w:r>
    </w:p>
    <w:p w14:paraId="09167882" w14:textId="4F3B65F9" w:rsidR="007B6A6D" w:rsidRPr="00F153F6" w:rsidRDefault="007B6A6D" w:rsidP="004424B4">
      <w:pPr>
        <w:spacing w:after="160" w:line="360" w:lineRule="auto"/>
        <w:jc w:val="both"/>
        <w:rPr>
          <w:rFonts w:ascii="Times New Roman" w:hAnsi="Times New Roman" w:cs="Times New Roman"/>
          <w:sz w:val="24"/>
          <w:szCs w:val="24"/>
        </w:rPr>
      </w:pPr>
      <w:r w:rsidRPr="00F153F6">
        <w:rPr>
          <w:rFonts w:ascii="Times New Roman" w:hAnsi="Times New Roman" w:cs="Times New Roman"/>
          <w:sz w:val="24"/>
          <w:szCs w:val="24"/>
        </w:rPr>
        <w:t>IOC – Inter-organisational Collaboration</w:t>
      </w:r>
    </w:p>
    <w:p w14:paraId="34C3D800" w14:textId="49960210" w:rsidR="007B6A6D" w:rsidRPr="00F153F6" w:rsidRDefault="007B6A6D" w:rsidP="004424B4">
      <w:pPr>
        <w:spacing w:after="160" w:line="360" w:lineRule="auto"/>
        <w:jc w:val="both"/>
        <w:rPr>
          <w:rFonts w:ascii="Times New Roman" w:hAnsi="Times New Roman" w:cs="Times New Roman"/>
          <w:sz w:val="24"/>
          <w:szCs w:val="24"/>
        </w:rPr>
      </w:pPr>
      <w:r w:rsidRPr="00F153F6">
        <w:rPr>
          <w:rFonts w:ascii="Times New Roman" w:hAnsi="Times New Roman" w:cs="Times New Roman"/>
          <w:sz w:val="24"/>
          <w:szCs w:val="24"/>
        </w:rPr>
        <w:t>IOR – Inter-organisational Relation</w:t>
      </w:r>
    </w:p>
    <w:p w14:paraId="39105B27" w14:textId="7B8C103B" w:rsidR="007B6A6D" w:rsidRPr="00F153F6" w:rsidRDefault="007B6A6D" w:rsidP="004424B4">
      <w:pPr>
        <w:spacing w:after="160" w:line="360" w:lineRule="auto"/>
        <w:jc w:val="both"/>
        <w:rPr>
          <w:rFonts w:ascii="Times New Roman" w:hAnsi="Times New Roman" w:cs="Times New Roman"/>
          <w:sz w:val="24"/>
          <w:szCs w:val="24"/>
        </w:rPr>
      </w:pPr>
      <w:r w:rsidRPr="00F153F6">
        <w:rPr>
          <w:rFonts w:ascii="Times New Roman" w:hAnsi="Times New Roman" w:cs="Times New Roman"/>
          <w:sz w:val="24"/>
          <w:szCs w:val="24"/>
        </w:rPr>
        <w:t>KE – Knowledge Exchange</w:t>
      </w:r>
    </w:p>
    <w:p w14:paraId="4757B174" w14:textId="11C8F5DA" w:rsidR="007B6A6D" w:rsidRPr="00F153F6" w:rsidRDefault="007B6A6D" w:rsidP="004424B4">
      <w:pPr>
        <w:spacing w:after="160" w:line="360" w:lineRule="auto"/>
        <w:jc w:val="both"/>
        <w:rPr>
          <w:rFonts w:ascii="Times New Roman" w:hAnsi="Times New Roman" w:cs="Times New Roman"/>
          <w:sz w:val="24"/>
          <w:szCs w:val="24"/>
        </w:rPr>
      </w:pPr>
      <w:r w:rsidRPr="00F153F6">
        <w:rPr>
          <w:rFonts w:ascii="Times New Roman" w:hAnsi="Times New Roman" w:cs="Times New Roman"/>
          <w:sz w:val="24"/>
          <w:szCs w:val="24"/>
        </w:rPr>
        <w:t>KM – Knowledge management</w:t>
      </w:r>
    </w:p>
    <w:p w14:paraId="658C5CE6" w14:textId="186213FE" w:rsidR="004D2DC1" w:rsidRPr="00F153F6" w:rsidRDefault="004D2DC1" w:rsidP="004424B4">
      <w:pPr>
        <w:spacing w:after="160" w:line="360" w:lineRule="auto"/>
        <w:jc w:val="both"/>
        <w:rPr>
          <w:rFonts w:ascii="Times New Roman" w:hAnsi="Times New Roman" w:cs="Times New Roman"/>
          <w:sz w:val="24"/>
          <w:szCs w:val="24"/>
        </w:rPr>
      </w:pPr>
      <w:r w:rsidRPr="00F153F6">
        <w:rPr>
          <w:rFonts w:ascii="Times New Roman" w:hAnsi="Times New Roman" w:cs="Times New Roman"/>
          <w:sz w:val="24"/>
          <w:szCs w:val="24"/>
        </w:rPr>
        <w:t>IOKM – Interorganisational Knowledge Management</w:t>
      </w:r>
    </w:p>
    <w:p w14:paraId="76B9C159" w14:textId="26FDC6E4" w:rsidR="007B6A6D" w:rsidRPr="00F153F6" w:rsidRDefault="007B6A6D" w:rsidP="004424B4">
      <w:pPr>
        <w:spacing w:after="160" w:line="360" w:lineRule="auto"/>
        <w:jc w:val="both"/>
        <w:rPr>
          <w:rFonts w:ascii="Times New Roman" w:hAnsi="Times New Roman" w:cs="Times New Roman"/>
          <w:sz w:val="24"/>
          <w:szCs w:val="24"/>
        </w:rPr>
      </w:pPr>
      <w:r w:rsidRPr="00F153F6">
        <w:rPr>
          <w:rFonts w:ascii="Times New Roman" w:hAnsi="Times New Roman" w:cs="Times New Roman"/>
          <w:sz w:val="24"/>
          <w:szCs w:val="24"/>
        </w:rPr>
        <w:t>IS – Information Systems</w:t>
      </w:r>
    </w:p>
    <w:p w14:paraId="70C3CD33" w14:textId="42D44E82" w:rsidR="007B6A6D" w:rsidRPr="00F153F6" w:rsidRDefault="007B6A6D" w:rsidP="004424B4">
      <w:pPr>
        <w:spacing w:after="160" w:line="360" w:lineRule="auto"/>
        <w:jc w:val="both"/>
        <w:rPr>
          <w:rFonts w:ascii="Times New Roman" w:hAnsi="Times New Roman" w:cs="Times New Roman"/>
          <w:sz w:val="24"/>
          <w:szCs w:val="24"/>
        </w:rPr>
      </w:pPr>
      <w:r w:rsidRPr="00F153F6">
        <w:rPr>
          <w:rFonts w:ascii="Times New Roman" w:hAnsi="Times New Roman" w:cs="Times New Roman"/>
          <w:sz w:val="24"/>
          <w:szCs w:val="24"/>
        </w:rPr>
        <w:t>MIS – Management Information Systems</w:t>
      </w:r>
    </w:p>
    <w:p w14:paraId="65D4BA93" w14:textId="5F4A827D" w:rsidR="007B6A6D" w:rsidRPr="00F153F6" w:rsidRDefault="003C373E" w:rsidP="004424B4">
      <w:pPr>
        <w:spacing w:after="160" w:line="360" w:lineRule="auto"/>
        <w:jc w:val="both"/>
        <w:rPr>
          <w:rFonts w:ascii="Times New Roman" w:hAnsi="Times New Roman" w:cs="Times New Roman"/>
          <w:sz w:val="24"/>
          <w:szCs w:val="24"/>
        </w:rPr>
      </w:pPr>
      <w:r w:rsidRPr="00F153F6">
        <w:rPr>
          <w:rFonts w:ascii="Times New Roman" w:hAnsi="Times New Roman" w:cs="Times New Roman"/>
          <w:sz w:val="24"/>
          <w:szCs w:val="24"/>
        </w:rPr>
        <w:t>CGT - Classic Grounded Theory</w:t>
      </w:r>
    </w:p>
    <w:p w14:paraId="13621FE7" w14:textId="77777777" w:rsidR="003C373E" w:rsidRPr="00F153F6" w:rsidRDefault="003C373E" w:rsidP="004424B4">
      <w:pPr>
        <w:spacing w:after="160" w:line="360" w:lineRule="auto"/>
        <w:jc w:val="both"/>
        <w:rPr>
          <w:rFonts w:ascii="Times New Roman" w:hAnsi="Times New Roman" w:cs="Times New Roman"/>
          <w:sz w:val="24"/>
          <w:szCs w:val="24"/>
        </w:rPr>
      </w:pPr>
    </w:p>
    <w:p w14:paraId="1D67FD5A" w14:textId="63DCADF6" w:rsidR="007B6A6D" w:rsidRPr="00F153F6" w:rsidRDefault="007B6A6D" w:rsidP="004424B4">
      <w:pPr>
        <w:spacing w:after="160" w:line="360" w:lineRule="auto"/>
        <w:jc w:val="both"/>
        <w:rPr>
          <w:rFonts w:ascii="Times New Roman" w:hAnsi="Times New Roman" w:cs="Times New Roman"/>
          <w:sz w:val="24"/>
          <w:szCs w:val="24"/>
        </w:rPr>
      </w:pPr>
      <w:r w:rsidRPr="00F153F6">
        <w:rPr>
          <w:rFonts w:ascii="Times New Roman" w:hAnsi="Times New Roman" w:cs="Times New Roman"/>
          <w:sz w:val="24"/>
          <w:szCs w:val="24"/>
        </w:rPr>
        <w:t>In. – Inception Stage</w:t>
      </w:r>
    </w:p>
    <w:p w14:paraId="240AA530" w14:textId="556DD2EA" w:rsidR="007B6A6D" w:rsidRPr="00F153F6" w:rsidRDefault="007B6A6D" w:rsidP="004424B4">
      <w:pPr>
        <w:spacing w:after="160" w:line="360" w:lineRule="auto"/>
        <w:jc w:val="both"/>
        <w:rPr>
          <w:rFonts w:ascii="Times New Roman" w:hAnsi="Times New Roman" w:cs="Times New Roman"/>
          <w:sz w:val="24"/>
          <w:szCs w:val="24"/>
        </w:rPr>
      </w:pPr>
      <w:r w:rsidRPr="00F153F6">
        <w:rPr>
          <w:rFonts w:ascii="Times New Roman" w:hAnsi="Times New Roman" w:cs="Times New Roman"/>
          <w:sz w:val="24"/>
          <w:szCs w:val="24"/>
        </w:rPr>
        <w:t>Mi. – Middle Stage</w:t>
      </w:r>
    </w:p>
    <w:p w14:paraId="71414E2B" w14:textId="783BFFA4" w:rsidR="007B6A6D" w:rsidRPr="00F153F6" w:rsidRDefault="007B6A6D" w:rsidP="004424B4">
      <w:pPr>
        <w:spacing w:after="160" w:line="360" w:lineRule="auto"/>
        <w:jc w:val="both"/>
        <w:rPr>
          <w:rFonts w:ascii="Times New Roman" w:hAnsi="Times New Roman" w:cs="Times New Roman"/>
          <w:sz w:val="24"/>
          <w:szCs w:val="24"/>
        </w:rPr>
      </w:pPr>
      <w:r w:rsidRPr="00F153F6">
        <w:rPr>
          <w:rFonts w:ascii="Times New Roman" w:hAnsi="Times New Roman" w:cs="Times New Roman"/>
          <w:sz w:val="24"/>
          <w:szCs w:val="24"/>
        </w:rPr>
        <w:t>Co. – Completed Stage</w:t>
      </w:r>
    </w:p>
    <w:p w14:paraId="30CB1FB4" w14:textId="77777777" w:rsidR="007B6A6D" w:rsidRPr="00F153F6" w:rsidRDefault="007B6A6D" w:rsidP="004424B4">
      <w:pPr>
        <w:spacing w:after="160" w:line="360" w:lineRule="auto"/>
        <w:jc w:val="both"/>
        <w:rPr>
          <w:rFonts w:ascii="Times New Roman" w:hAnsi="Times New Roman" w:cs="Times New Roman"/>
        </w:rPr>
      </w:pPr>
    </w:p>
    <w:p w14:paraId="5474C97E" w14:textId="39F53743" w:rsidR="007B6A6D" w:rsidRPr="00F153F6" w:rsidRDefault="007B6A6D" w:rsidP="004424B4">
      <w:pPr>
        <w:spacing w:after="160" w:line="360" w:lineRule="auto"/>
        <w:jc w:val="both"/>
        <w:rPr>
          <w:rFonts w:ascii="Times New Roman" w:hAnsi="Times New Roman" w:cs="Times New Roman"/>
        </w:rPr>
      </w:pPr>
    </w:p>
    <w:p w14:paraId="3BBFAD54" w14:textId="77777777" w:rsidR="007B6A6D" w:rsidRPr="00F153F6" w:rsidRDefault="007B6A6D" w:rsidP="004424B4">
      <w:pPr>
        <w:spacing w:after="160" w:line="360" w:lineRule="auto"/>
        <w:jc w:val="both"/>
        <w:rPr>
          <w:rFonts w:ascii="Times New Roman" w:hAnsi="Times New Roman" w:cs="Times New Roman"/>
        </w:rPr>
      </w:pPr>
    </w:p>
    <w:p w14:paraId="615CEFFF" w14:textId="77777777" w:rsidR="007B6A6D" w:rsidRPr="00F153F6" w:rsidRDefault="007B6A6D" w:rsidP="004424B4">
      <w:pPr>
        <w:spacing w:after="160" w:line="360" w:lineRule="auto"/>
        <w:jc w:val="both"/>
        <w:rPr>
          <w:rFonts w:ascii="Times New Roman" w:hAnsi="Times New Roman" w:cs="Times New Roman"/>
        </w:rPr>
      </w:pPr>
    </w:p>
    <w:p w14:paraId="3AC32A18" w14:textId="0D2B4932" w:rsidR="00721305" w:rsidRPr="00F153F6" w:rsidRDefault="00721305" w:rsidP="004424B4">
      <w:pPr>
        <w:spacing w:after="160" w:line="360" w:lineRule="auto"/>
        <w:jc w:val="both"/>
      </w:pPr>
      <w:r w:rsidRPr="00F153F6">
        <w:br w:type="page"/>
      </w:r>
    </w:p>
    <w:p w14:paraId="185988DF" w14:textId="2CB6E5B1" w:rsidR="0015201A" w:rsidRPr="00F153F6" w:rsidRDefault="0015201A" w:rsidP="004424B4">
      <w:pPr>
        <w:pStyle w:val="Heading1"/>
        <w:spacing w:line="360" w:lineRule="auto"/>
        <w:jc w:val="center"/>
        <w:rPr>
          <w:rFonts w:ascii="Times New Roman" w:hAnsi="Times New Roman" w:cs="Times New Roman"/>
          <w:b w:val="0"/>
          <w:bCs/>
          <w:sz w:val="40"/>
          <w:szCs w:val="40"/>
        </w:rPr>
      </w:pPr>
      <w:bookmarkStart w:id="717" w:name="_Toc133252196"/>
      <w:r w:rsidRPr="00F153F6">
        <w:rPr>
          <w:rFonts w:ascii="Times New Roman" w:hAnsi="Times New Roman" w:cs="Times New Roman"/>
          <w:b w:val="0"/>
          <w:bCs/>
          <w:sz w:val="40"/>
          <w:szCs w:val="40"/>
        </w:rPr>
        <w:lastRenderedPageBreak/>
        <w:t>REFERENCE</w:t>
      </w:r>
      <w:bookmarkEnd w:id="717"/>
    </w:p>
    <w:p w14:paraId="5E06A3DF" w14:textId="77777777" w:rsidR="007156B1" w:rsidRPr="00F153F6" w:rsidRDefault="00E9772F" w:rsidP="007156B1">
      <w:pPr>
        <w:pStyle w:val="Bibliography"/>
        <w:rPr>
          <w:rFonts w:ascii="Times New Roman" w:hAnsi="Times New Roman" w:cs="Times New Roman"/>
          <w:sz w:val="24"/>
          <w:szCs w:val="24"/>
        </w:rPr>
      </w:pPr>
      <w:r w:rsidRPr="00F153F6">
        <w:fldChar w:fldCharType="begin"/>
      </w:r>
      <w:r w:rsidR="0043432B" w:rsidRPr="00F153F6">
        <w:instrText xml:space="preserve"> ADDIN ZOTERO_BIBL {"uncited":[],"omitted":[],"custom":[]} CSL_BIBLIOGRAPHY </w:instrText>
      </w:r>
      <w:r w:rsidRPr="00F153F6">
        <w:fldChar w:fldCharType="separate"/>
      </w:r>
      <w:r w:rsidR="007156B1" w:rsidRPr="00F153F6">
        <w:rPr>
          <w:rFonts w:ascii="Times New Roman" w:hAnsi="Times New Roman" w:cs="Times New Roman"/>
          <w:sz w:val="24"/>
          <w:szCs w:val="24"/>
        </w:rPr>
        <w:t xml:space="preserve">Achterkamp, M., &amp; Vos, J. (2006). A framework for making sense of sustainable innovation through stakeholder involvement. </w:t>
      </w:r>
      <w:r w:rsidR="007156B1" w:rsidRPr="00F153F6">
        <w:rPr>
          <w:rFonts w:ascii="Times New Roman" w:hAnsi="Times New Roman" w:cs="Times New Roman"/>
          <w:i/>
          <w:iCs/>
          <w:sz w:val="24"/>
          <w:szCs w:val="24"/>
        </w:rPr>
        <w:t>International Journal of Environmental Technology and Management</w:t>
      </w:r>
      <w:r w:rsidR="007156B1" w:rsidRPr="00F153F6">
        <w:rPr>
          <w:rFonts w:ascii="Times New Roman" w:hAnsi="Times New Roman" w:cs="Times New Roman"/>
          <w:sz w:val="24"/>
          <w:szCs w:val="24"/>
        </w:rPr>
        <w:t xml:space="preserve">, </w:t>
      </w:r>
      <w:r w:rsidR="007156B1" w:rsidRPr="00F153F6">
        <w:rPr>
          <w:rFonts w:ascii="Times New Roman" w:hAnsi="Times New Roman" w:cs="Times New Roman"/>
          <w:i/>
          <w:iCs/>
          <w:sz w:val="24"/>
          <w:szCs w:val="24"/>
        </w:rPr>
        <w:t>6</w:t>
      </w:r>
      <w:r w:rsidR="007156B1" w:rsidRPr="00F153F6">
        <w:rPr>
          <w:rFonts w:ascii="Times New Roman" w:hAnsi="Times New Roman" w:cs="Times New Roman"/>
          <w:sz w:val="24"/>
          <w:szCs w:val="24"/>
        </w:rPr>
        <w:t>. https://doi.org/10.1504/IJETM.2006.011895</w:t>
      </w:r>
    </w:p>
    <w:p w14:paraId="3FC997A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Agostini, L., Nosella, A., Sarala, R., Spender, J.-C., &amp; Wegner, D. (2020). Tracing the evolution of the literature on knowledge management in inter-organizational contexts: A bibliometric analysis. </w:t>
      </w:r>
      <w:r w:rsidRPr="00F153F6">
        <w:rPr>
          <w:rFonts w:ascii="Times New Roman" w:hAnsi="Times New Roman" w:cs="Times New Roman"/>
          <w:i/>
          <w:iCs/>
          <w:sz w:val="24"/>
          <w:szCs w:val="24"/>
        </w:rPr>
        <w:t>Journal of Knowledge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24</w:t>
      </w:r>
      <w:r w:rsidRPr="00F153F6">
        <w:rPr>
          <w:rFonts w:ascii="Times New Roman" w:hAnsi="Times New Roman" w:cs="Times New Roman"/>
          <w:sz w:val="24"/>
          <w:szCs w:val="24"/>
        </w:rPr>
        <w:t>(2), 463–490. https://doi.org/10.1108/JKM-07-2019-0382</w:t>
      </w:r>
    </w:p>
    <w:p w14:paraId="33CB9BE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Ahmad, N., &amp; Daghfous, A. (2010). Knowledge sharing through inter‐organizational knowledge networks: Challenges and opportunities in the United Arab Emirates. </w:t>
      </w:r>
      <w:r w:rsidRPr="00F153F6">
        <w:rPr>
          <w:rFonts w:ascii="Times New Roman" w:hAnsi="Times New Roman" w:cs="Times New Roman"/>
          <w:i/>
          <w:iCs/>
          <w:sz w:val="24"/>
          <w:szCs w:val="24"/>
        </w:rPr>
        <w:t>European Business Review</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22</w:t>
      </w:r>
      <w:r w:rsidRPr="00F153F6">
        <w:rPr>
          <w:rFonts w:ascii="Times New Roman" w:hAnsi="Times New Roman" w:cs="Times New Roman"/>
          <w:sz w:val="24"/>
          <w:szCs w:val="24"/>
        </w:rPr>
        <w:t>(2), 153–174. https://doi.org/10.1108/09555341011023506</w:t>
      </w:r>
    </w:p>
    <w:p w14:paraId="2528327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Ahuja, G., Soda, G., &amp; Zaheer, A. (2012). The Genesis and Dynamics of Organizational Networks. </w:t>
      </w:r>
      <w:r w:rsidRPr="00F153F6">
        <w:rPr>
          <w:rFonts w:ascii="Times New Roman" w:hAnsi="Times New Roman" w:cs="Times New Roman"/>
          <w:i/>
          <w:iCs/>
          <w:sz w:val="24"/>
          <w:szCs w:val="24"/>
        </w:rPr>
        <w:t>Organization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23</w:t>
      </w:r>
      <w:r w:rsidRPr="00F153F6">
        <w:rPr>
          <w:rFonts w:ascii="Times New Roman" w:hAnsi="Times New Roman" w:cs="Times New Roman"/>
          <w:sz w:val="24"/>
          <w:szCs w:val="24"/>
        </w:rPr>
        <w:t>(2), 434–448. https://doi.org/10.1287/orsc.1110.0695</w:t>
      </w:r>
    </w:p>
    <w:p w14:paraId="1225321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Al‐Adaileh, Raid. M., &amp; Al‐Atawi, M. S. (2011). Organizational culture impact on knowledge exchange: Saudi Telecom context. </w:t>
      </w:r>
      <w:r w:rsidRPr="00F153F6">
        <w:rPr>
          <w:rFonts w:ascii="Times New Roman" w:hAnsi="Times New Roman" w:cs="Times New Roman"/>
          <w:i/>
          <w:iCs/>
          <w:sz w:val="24"/>
          <w:szCs w:val="24"/>
        </w:rPr>
        <w:t>Journal of Knowledge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15</w:t>
      </w:r>
      <w:r w:rsidRPr="00F153F6">
        <w:rPr>
          <w:rFonts w:ascii="Times New Roman" w:hAnsi="Times New Roman" w:cs="Times New Roman"/>
          <w:sz w:val="24"/>
          <w:szCs w:val="24"/>
        </w:rPr>
        <w:t>(2), 212–230. https://doi.org/10.1108/13673271111119664</w:t>
      </w:r>
    </w:p>
    <w:p w14:paraId="37FF3F9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Alavi, M., Kayworth, T. R., &amp; Leidner, D. E. (2005). An Empirical Examination of the Influence of Organizational Culture on Knowledge Management Practices. </w:t>
      </w:r>
      <w:r w:rsidRPr="00F153F6">
        <w:rPr>
          <w:rFonts w:ascii="Times New Roman" w:hAnsi="Times New Roman" w:cs="Times New Roman"/>
          <w:i/>
          <w:iCs/>
          <w:sz w:val="24"/>
          <w:szCs w:val="24"/>
        </w:rPr>
        <w:t>Journal of Management Information Systems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22</w:t>
      </w:r>
      <w:r w:rsidRPr="00F153F6">
        <w:rPr>
          <w:rFonts w:ascii="Times New Roman" w:hAnsi="Times New Roman" w:cs="Times New Roman"/>
          <w:sz w:val="24"/>
          <w:szCs w:val="24"/>
        </w:rPr>
        <w:t>(3), 191–224. https://doi.org/10.2753/MIS0742-1222220307</w:t>
      </w:r>
    </w:p>
    <w:p w14:paraId="5636AC1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Alavi, M., &amp; Leidner, D. E. (2001). Review: Knowledge Management and Knowledge Management Systems: Conceptual Foundations and Research Issues. </w:t>
      </w:r>
      <w:r w:rsidRPr="00F153F6">
        <w:rPr>
          <w:rFonts w:ascii="Times New Roman" w:hAnsi="Times New Roman" w:cs="Times New Roman"/>
          <w:i/>
          <w:iCs/>
          <w:sz w:val="24"/>
          <w:szCs w:val="24"/>
        </w:rPr>
        <w:t>MIS Quarterly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25</w:t>
      </w:r>
      <w:r w:rsidRPr="00F153F6">
        <w:rPr>
          <w:rFonts w:ascii="Times New Roman" w:hAnsi="Times New Roman" w:cs="Times New Roman"/>
          <w:sz w:val="24"/>
          <w:szCs w:val="24"/>
        </w:rPr>
        <w:t>(1), 107–136. JSTOR. https://doi.org/10.2307/3250961</w:t>
      </w:r>
    </w:p>
    <w:p w14:paraId="0A75B9D8" w14:textId="5A0EA85C"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lastRenderedPageBreak/>
        <w:t xml:space="preserve">Al-Busaidi, K. A., &amp; Olfman, L. (2017). Knowledge sharing through inter-organizational knowledge sharing systems. </w:t>
      </w:r>
      <w:r w:rsidRPr="00F153F6">
        <w:rPr>
          <w:rFonts w:ascii="Times New Roman" w:hAnsi="Times New Roman" w:cs="Times New Roman"/>
          <w:i/>
          <w:iCs/>
          <w:sz w:val="24"/>
          <w:szCs w:val="24"/>
        </w:rPr>
        <w:t>VINE Journal of Information and Knowledge Management Systems; Bingley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47</w:t>
      </w:r>
      <w:r w:rsidRPr="00F153F6">
        <w:rPr>
          <w:rFonts w:ascii="Times New Roman" w:hAnsi="Times New Roman" w:cs="Times New Roman"/>
          <w:sz w:val="24"/>
          <w:szCs w:val="24"/>
        </w:rPr>
        <w:t>(1), 110–136.</w:t>
      </w:r>
    </w:p>
    <w:p w14:paraId="4FAC9F8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Alexiev, A. S., Volberda, H. W., &amp; Van den Bosch, F. A. J. (2016). Interorganizational collaboration and firm innovativeness: Unpacking the role of the organizational environment. </w:t>
      </w:r>
      <w:r w:rsidRPr="00F153F6">
        <w:rPr>
          <w:rFonts w:ascii="Times New Roman" w:hAnsi="Times New Roman" w:cs="Times New Roman"/>
          <w:i/>
          <w:iCs/>
          <w:sz w:val="24"/>
          <w:szCs w:val="24"/>
        </w:rPr>
        <w:t>Journal of Business Research</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69</w:t>
      </w:r>
      <w:r w:rsidRPr="00F153F6">
        <w:rPr>
          <w:rFonts w:ascii="Times New Roman" w:hAnsi="Times New Roman" w:cs="Times New Roman"/>
          <w:sz w:val="24"/>
          <w:szCs w:val="24"/>
        </w:rPr>
        <w:t>(2), 974–984. https://doi.org/10.1016/j.jbusres.2015.09.002</w:t>
      </w:r>
    </w:p>
    <w:p w14:paraId="2C70928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Algeo, C. (2014). </w:t>
      </w:r>
      <w:r w:rsidRPr="00F153F6">
        <w:rPr>
          <w:rFonts w:ascii="Times New Roman" w:hAnsi="Times New Roman" w:cs="Times New Roman"/>
          <w:i/>
          <w:iCs/>
          <w:sz w:val="24"/>
          <w:szCs w:val="24"/>
        </w:rPr>
        <w:t>How do project managers acquire and exchange knowledge? An action research study of project managers in Australia</w:t>
      </w:r>
      <w:r w:rsidRPr="00F153F6">
        <w:rPr>
          <w:rFonts w:ascii="Times New Roman" w:hAnsi="Times New Roman" w:cs="Times New Roman"/>
          <w:sz w:val="24"/>
          <w:szCs w:val="24"/>
        </w:rPr>
        <w:t>.</w:t>
      </w:r>
    </w:p>
    <w:p w14:paraId="75B1028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Almirall, E., &amp; Wareham, J. (2008). </w:t>
      </w:r>
      <w:r w:rsidRPr="00F153F6">
        <w:rPr>
          <w:rFonts w:ascii="Times New Roman" w:hAnsi="Times New Roman" w:cs="Times New Roman"/>
          <w:i/>
          <w:iCs/>
          <w:sz w:val="24"/>
          <w:szCs w:val="24"/>
        </w:rPr>
        <w:t>Living Labs and Open Innovation: Roles and Applicability</w:t>
      </w:r>
      <w:r w:rsidRPr="00F153F6">
        <w:rPr>
          <w:rFonts w:ascii="Times New Roman" w:hAnsi="Times New Roman" w:cs="Times New Roman"/>
          <w:sz w:val="24"/>
          <w:szCs w:val="24"/>
        </w:rPr>
        <w:t>. ResearchGate. https://www.researchgate.net/publication/272566792_Living_Labs_and_Open_Innovation_Roles_and_Applicability</w:t>
      </w:r>
    </w:p>
    <w:p w14:paraId="22BAE09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Almirall, E., &amp; Wareham, J. (2011). Living Labs: Arbiters of mid- and ground-level innovation. </w:t>
      </w:r>
      <w:r w:rsidRPr="00F153F6">
        <w:rPr>
          <w:rFonts w:ascii="Times New Roman" w:hAnsi="Times New Roman" w:cs="Times New Roman"/>
          <w:i/>
          <w:iCs/>
          <w:sz w:val="24"/>
          <w:szCs w:val="24"/>
        </w:rPr>
        <w:t>Technology Analysis &amp; Strategic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23</w:t>
      </w:r>
      <w:r w:rsidRPr="00F153F6">
        <w:rPr>
          <w:rFonts w:ascii="Times New Roman" w:hAnsi="Times New Roman" w:cs="Times New Roman"/>
          <w:sz w:val="24"/>
          <w:szCs w:val="24"/>
        </w:rPr>
        <w:t>(1), 87–102. https://doi.org/10.1080/09537325.2011.537110</w:t>
      </w:r>
    </w:p>
    <w:p w14:paraId="7645E75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Anderson, R. (2019). An Assessment of the Impacts of Workflow Management Systems on Knowledge Management Process Activities. </w:t>
      </w:r>
      <w:r w:rsidRPr="00F153F6">
        <w:rPr>
          <w:rFonts w:ascii="Times New Roman" w:hAnsi="Times New Roman" w:cs="Times New Roman"/>
          <w:i/>
          <w:iCs/>
          <w:sz w:val="24"/>
          <w:szCs w:val="24"/>
        </w:rPr>
        <w:t>2019 IEEE 5th International Conference on Collaboration and Internet Computing (CIC)</w:t>
      </w:r>
      <w:r w:rsidRPr="00F153F6">
        <w:rPr>
          <w:rFonts w:ascii="Times New Roman" w:hAnsi="Times New Roman" w:cs="Times New Roman"/>
          <w:sz w:val="24"/>
          <w:szCs w:val="24"/>
        </w:rPr>
        <w:t>, 151–157. https://doi.org/10.1109/CIC48465.2019.00027</w:t>
      </w:r>
    </w:p>
    <w:p w14:paraId="72C8546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Andriessen, D., &amp; Boom, M. van den. (2007). </w:t>
      </w:r>
      <w:r w:rsidRPr="00F153F6">
        <w:rPr>
          <w:rFonts w:ascii="Times New Roman" w:hAnsi="Times New Roman" w:cs="Times New Roman"/>
          <w:i/>
          <w:iCs/>
          <w:sz w:val="24"/>
          <w:szCs w:val="24"/>
        </w:rPr>
        <w:t>Asian and Western Intellectual Capital in Encounter; a Discussion Paper About our Different Views on Knowledge</w:t>
      </w:r>
      <w:r w:rsidRPr="00F153F6">
        <w:rPr>
          <w:rFonts w:ascii="Times New Roman" w:hAnsi="Times New Roman" w:cs="Times New Roman"/>
          <w:sz w:val="24"/>
          <w:szCs w:val="24"/>
        </w:rPr>
        <w:t>. INHolland. https://surfsharekit.nl/publiek/inholland/6d025bd6-ceea-4e8a-9041-681594862ab1</w:t>
      </w:r>
    </w:p>
    <w:p w14:paraId="0A5A2FE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Asher, D., &amp; Popper, M. (2019). Tacit knowledge as a multilayer phenomenon: The “onion” model. </w:t>
      </w:r>
      <w:r w:rsidRPr="00F153F6">
        <w:rPr>
          <w:rFonts w:ascii="Times New Roman" w:hAnsi="Times New Roman" w:cs="Times New Roman"/>
          <w:i/>
          <w:iCs/>
          <w:sz w:val="24"/>
          <w:szCs w:val="24"/>
        </w:rPr>
        <w:t>The Learning Organization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26</w:t>
      </w:r>
      <w:r w:rsidRPr="00F153F6">
        <w:rPr>
          <w:rFonts w:ascii="Times New Roman" w:hAnsi="Times New Roman" w:cs="Times New Roman"/>
          <w:sz w:val="24"/>
          <w:szCs w:val="24"/>
        </w:rPr>
        <w:t>(3), 264–275. https://doi.org/10.1108/TLO-06-</w:t>
      </w:r>
      <w:r w:rsidRPr="00F153F6">
        <w:rPr>
          <w:rFonts w:ascii="Times New Roman" w:hAnsi="Times New Roman" w:cs="Times New Roman"/>
          <w:sz w:val="24"/>
          <w:szCs w:val="24"/>
        </w:rPr>
        <w:lastRenderedPageBreak/>
        <w:t>2018-0105</w:t>
      </w:r>
    </w:p>
    <w:p w14:paraId="40ECBE4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Atkinson, P., Coffey, A., Delamont, S., Lofland, J., &amp; Lofland, L. (2001). </w:t>
      </w:r>
      <w:r w:rsidRPr="00F153F6">
        <w:rPr>
          <w:rFonts w:ascii="Times New Roman" w:hAnsi="Times New Roman" w:cs="Times New Roman"/>
          <w:i/>
          <w:iCs/>
          <w:sz w:val="24"/>
          <w:szCs w:val="24"/>
        </w:rPr>
        <w:t>Handbook of Ethnography</w:t>
      </w:r>
      <w:r w:rsidRPr="00F153F6">
        <w:rPr>
          <w:rFonts w:ascii="Times New Roman" w:hAnsi="Times New Roman" w:cs="Times New Roman"/>
          <w:sz w:val="24"/>
          <w:szCs w:val="24"/>
        </w:rPr>
        <w:t>. SAGE.</w:t>
      </w:r>
    </w:p>
    <w:p w14:paraId="554DAD2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Avadikyan, A., Llerena, P., Matt, M., Rozan, A., &amp; Wolff, S. (2001). Organisational rules, codification and knowledge creation in inter-organisation cooperative agreements. </w:t>
      </w:r>
      <w:r w:rsidRPr="00F153F6">
        <w:rPr>
          <w:rFonts w:ascii="Times New Roman" w:hAnsi="Times New Roman" w:cs="Times New Roman"/>
          <w:i/>
          <w:iCs/>
          <w:sz w:val="24"/>
          <w:szCs w:val="24"/>
        </w:rPr>
        <w:t>Research Policy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30</w:t>
      </w:r>
      <w:r w:rsidRPr="00F153F6">
        <w:rPr>
          <w:rFonts w:ascii="Times New Roman" w:hAnsi="Times New Roman" w:cs="Times New Roman"/>
          <w:sz w:val="24"/>
          <w:szCs w:val="24"/>
        </w:rPr>
        <w:t>(9), 1443–1458. https://doi.org/10.1016/S0048-7333(01)00161-5</w:t>
      </w:r>
    </w:p>
    <w:p w14:paraId="1FF94DF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Aversano, P. (2016, December 14). </w:t>
      </w:r>
      <w:r w:rsidRPr="00F153F6">
        <w:rPr>
          <w:rFonts w:ascii="Times New Roman" w:hAnsi="Times New Roman" w:cs="Times New Roman"/>
          <w:i/>
          <w:iCs/>
          <w:sz w:val="24"/>
          <w:szCs w:val="24"/>
        </w:rPr>
        <w:t>The European Network of Living Labs (ENoLL) explained</w:t>
      </w:r>
      <w:r w:rsidRPr="00F153F6">
        <w:rPr>
          <w:rFonts w:ascii="Times New Roman" w:hAnsi="Times New Roman" w:cs="Times New Roman"/>
          <w:sz w:val="24"/>
          <w:szCs w:val="24"/>
        </w:rPr>
        <w:t xml:space="preserve"> [Text]. Shaping Europe’s Digital Future - European Commission. https://ec.europa.eu/digital-single-market/en/news/european-network-living-labs-enoll-explained</w:t>
      </w:r>
    </w:p>
    <w:p w14:paraId="3A310CE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Ayoko, O. B., &amp; Ashkanasy, N. M. (2019). </w:t>
      </w:r>
      <w:r w:rsidRPr="00F153F6">
        <w:rPr>
          <w:rFonts w:ascii="Times New Roman" w:hAnsi="Times New Roman" w:cs="Times New Roman"/>
          <w:i/>
          <w:iCs/>
          <w:sz w:val="24"/>
          <w:szCs w:val="24"/>
        </w:rPr>
        <w:t>Organizational Behaviour and the Physical Environment</w:t>
      </w:r>
      <w:r w:rsidRPr="00F153F6">
        <w:rPr>
          <w:rFonts w:ascii="Times New Roman" w:hAnsi="Times New Roman" w:cs="Times New Roman"/>
          <w:sz w:val="24"/>
          <w:szCs w:val="24"/>
        </w:rPr>
        <w:t>. Routledge.</w:t>
      </w:r>
    </w:p>
    <w:p w14:paraId="06C872F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Bagheri, S., Kusters, R. J., &amp; Trienekens, J. J. M. (2016). An Integrated Framework of Knowledge Transfer and ICT Issues in Co-creation Value Networks. </w:t>
      </w:r>
      <w:r w:rsidRPr="00F153F6">
        <w:rPr>
          <w:rFonts w:ascii="Times New Roman" w:hAnsi="Times New Roman" w:cs="Times New Roman"/>
          <w:i/>
          <w:iCs/>
          <w:sz w:val="24"/>
          <w:szCs w:val="24"/>
        </w:rPr>
        <w:t>Procedia Computer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100</w:t>
      </w:r>
      <w:r w:rsidRPr="00F153F6">
        <w:rPr>
          <w:rFonts w:ascii="Times New Roman" w:hAnsi="Times New Roman" w:cs="Times New Roman"/>
          <w:sz w:val="24"/>
          <w:szCs w:val="24"/>
        </w:rPr>
        <w:t>, 677–685. https://doi.org/10.1016/j.procs.2016.09.211</w:t>
      </w:r>
    </w:p>
    <w:p w14:paraId="52EEB23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Bailey, K. D. (1994). </w:t>
      </w:r>
      <w:r w:rsidRPr="00F153F6">
        <w:rPr>
          <w:rFonts w:ascii="Times New Roman" w:hAnsi="Times New Roman" w:cs="Times New Roman"/>
          <w:i/>
          <w:iCs/>
          <w:sz w:val="24"/>
          <w:szCs w:val="24"/>
        </w:rPr>
        <w:t>Methods of Social Research</w:t>
      </w:r>
      <w:r w:rsidRPr="00F153F6">
        <w:rPr>
          <w:rFonts w:ascii="Times New Roman" w:hAnsi="Times New Roman" w:cs="Times New Roman"/>
          <w:sz w:val="24"/>
          <w:szCs w:val="24"/>
        </w:rPr>
        <w:t>. Simon and Schuster.</w:t>
      </w:r>
    </w:p>
    <w:p w14:paraId="2A389F7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Bakker, R. M., DeFillippi, R. J., Schwab, A., &amp; Sydow, J. (2016). Temporary Organizing: Promises, Processes, Problems. </w:t>
      </w:r>
      <w:r w:rsidRPr="00F153F6">
        <w:rPr>
          <w:rFonts w:ascii="Times New Roman" w:hAnsi="Times New Roman" w:cs="Times New Roman"/>
          <w:i/>
          <w:iCs/>
          <w:sz w:val="24"/>
          <w:szCs w:val="24"/>
        </w:rPr>
        <w:t>Organization Studies</w:t>
      </w:r>
      <w:r w:rsidRPr="00F153F6">
        <w:rPr>
          <w:rFonts w:ascii="Times New Roman" w:hAnsi="Times New Roman" w:cs="Times New Roman"/>
          <w:sz w:val="24"/>
          <w:szCs w:val="24"/>
        </w:rPr>
        <w:t>.</w:t>
      </w:r>
    </w:p>
    <w:p w14:paraId="594A286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Ballon, P., Schuurman, D., &amp; Blackman, C. (2015). </w:t>
      </w:r>
      <w:r w:rsidRPr="00F153F6">
        <w:rPr>
          <w:rFonts w:ascii="Times New Roman" w:hAnsi="Times New Roman" w:cs="Times New Roman"/>
          <w:i/>
          <w:iCs/>
          <w:sz w:val="24"/>
          <w:szCs w:val="24"/>
        </w:rPr>
        <w:t>Living Labs: Concepts, Tools and Cases</w:t>
      </w:r>
      <w:r w:rsidRPr="00F153F6">
        <w:rPr>
          <w:rFonts w:ascii="Times New Roman" w:hAnsi="Times New Roman" w:cs="Times New Roman"/>
          <w:sz w:val="24"/>
          <w:szCs w:val="24"/>
        </w:rPr>
        <w:t>. Emerald Publishing Limited. http://ebookcentral.proquest.com/lib/sheffield/detail.action?docID=2093108</w:t>
      </w:r>
    </w:p>
    <w:p w14:paraId="0CFD4D5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Ballon, P., Van Hoed, M., &amp; Schuurman, D. (2018). The effectiveness of involving users in digital innovation: Measuring the impact of living labs. </w:t>
      </w:r>
      <w:r w:rsidRPr="00F153F6">
        <w:rPr>
          <w:rFonts w:ascii="Times New Roman" w:hAnsi="Times New Roman" w:cs="Times New Roman"/>
          <w:i/>
          <w:iCs/>
          <w:sz w:val="24"/>
          <w:szCs w:val="24"/>
        </w:rPr>
        <w:t>Telematics and Informatics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35</w:t>
      </w:r>
      <w:r w:rsidRPr="00F153F6">
        <w:rPr>
          <w:rFonts w:ascii="Times New Roman" w:hAnsi="Times New Roman" w:cs="Times New Roman"/>
          <w:sz w:val="24"/>
          <w:szCs w:val="24"/>
        </w:rPr>
        <w:t>(5), 1201–1214. https://doi.org/10.1016/j.tele.2018.02.003</w:t>
      </w:r>
    </w:p>
    <w:p w14:paraId="6C8CCC7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Barad, K. (2007). </w:t>
      </w:r>
      <w:r w:rsidRPr="00F153F6">
        <w:rPr>
          <w:rFonts w:ascii="Times New Roman" w:hAnsi="Times New Roman" w:cs="Times New Roman"/>
          <w:i/>
          <w:iCs/>
          <w:sz w:val="24"/>
          <w:szCs w:val="24"/>
        </w:rPr>
        <w:t xml:space="preserve">Meeting the Universe Halfway: Quantum Physics and the Entanglement of </w:t>
      </w:r>
      <w:r w:rsidRPr="00F153F6">
        <w:rPr>
          <w:rFonts w:ascii="Times New Roman" w:hAnsi="Times New Roman" w:cs="Times New Roman"/>
          <w:i/>
          <w:iCs/>
          <w:sz w:val="24"/>
          <w:szCs w:val="24"/>
        </w:rPr>
        <w:lastRenderedPageBreak/>
        <w:t>Matter and Meaning</w:t>
      </w:r>
      <w:r w:rsidRPr="00F153F6">
        <w:rPr>
          <w:rFonts w:ascii="Times New Roman" w:hAnsi="Times New Roman" w:cs="Times New Roman"/>
          <w:sz w:val="24"/>
          <w:szCs w:val="24"/>
        </w:rPr>
        <w:t>. Duke University Press.</w:t>
      </w:r>
    </w:p>
    <w:p w14:paraId="708D8EA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Barua, A., Ravindran, S., &amp; Whinston, A. B. (2007). Enabling information sharing within organizations. </w:t>
      </w:r>
      <w:r w:rsidRPr="00F153F6">
        <w:rPr>
          <w:rFonts w:ascii="Times New Roman" w:hAnsi="Times New Roman" w:cs="Times New Roman"/>
          <w:i/>
          <w:iCs/>
          <w:sz w:val="24"/>
          <w:szCs w:val="24"/>
        </w:rPr>
        <w:t>Information Technology and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8</w:t>
      </w:r>
      <w:r w:rsidRPr="00F153F6">
        <w:rPr>
          <w:rFonts w:ascii="Times New Roman" w:hAnsi="Times New Roman" w:cs="Times New Roman"/>
          <w:sz w:val="24"/>
          <w:szCs w:val="24"/>
        </w:rPr>
        <w:t>(1), 31–45. https://doi.org/10.1007/s10799-006-0001-7</w:t>
      </w:r>
    </w:p>
    <w:p w14:paraId="01A5B1C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Basit, T. (2003). Manual or electronic? The role of coding in qualitative data analysis. </w:t>
      </w:r>
      <w:r w:rsidRPr="00F153F6">
        <w:rPr>
          <w:rFonts w:ascii="Times New Roman" w:hAnsi="Times New Roman" w:cs="Times New Roman"/>
          <w:i/>
          <w:iCs/>
          <w:sz w:val="24"/>
          <w:szCs w:val="24"/>
        </w:rPr>
        <w:t>Educational Research</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45</w:t>
      </w:r>
      <w:r w:rsidRPr="00F153F6">
        <w:rPr>
          <w:rFonts w:ascii="Times New Roman" w:hAnsi="Times New Roman" w:cs="Times New Roman"/>
          <w:sz w:val="24"/>
          <w:szCs w:val="24"/>
        </w:rPr>
        <w:t>(2), 143–154. https://doi.org/10.1080/0013188032000133548</w:t>
      </w:r>
    </w:p>
    <w:p w14:paraId="4CA0BE9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Battistella, C., De Toni, A. F., &amp; Pillon, R. (2016). Inter-organisational technology/knowledge transfer: A framework from critical literature review. </w:t>
      </w:r>
      <w:r w:rsidRPr="00F153F6">
        <w:rPr>
          <w:rFonts w:ascii="Times New Roman" w:hAnsi="Times New Roman" w:cs="Times New Roman"/>
          <w:i/>
          <w:iCs/>
          <w:sz w:val="24"/>
          <w:szCs w:val="24"/>
        </w:rPr>
        <w:t>The Journal of Technology Transfer</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41</w:t>
      </w:r>
      <w:r w:rsidRPr="00F153F6">
        <w:rPr>
          <w:rFonts w:ascii="Times New Roman" w:hAnsi="Times New Roman" w:cs="Times New Roman"/>
          <w:sz w:val="24"/>
          <w:szCs w:val="24"/>
        </w:rPr>
        <w:t>(5), 1195–1234. https://doi.org/10.1007/s10961-015-9418-7</w:t>
      </w:r>
    </w:p>
    <w:p w14:paraId="4DBC3DE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Bautista, S., Mazaj, J., &amp; Cardenas, M. (2018). Developing RRI Practices: The Role of the ICT in Stakeholders’ Knowledge Exchange and Co-creation Processes. In </w:t>
      </w:r>
      <w:r w:rsidRPr="00F153F6">
        <w:rPr>
          <w:rFonts w:ascii="Times New Roman" w:hAnsi="Times New Roman" w:cs="Times New Roman"/>
          <w:i/>
          <w:iCs/>
          <w:sz w:val="24"/>
          <w:szCs w:val="24"/>
        </w:rPr>
        <w:t>Responsible Research and Innovation Actions in Science Education, Gender and Ethics: Cases and Experiences</w:t>
      </w:r>
      <w:r w:rsidRPr="00F153F6">
        <w:rPr>
          <w:rFonts w:ascii="Times New Roman" w:hAnsi="Times New Roman" w:cs="Times New Roman"/>
          <w:sz w:val="24"/>
          <w:szCs w:val="24"/>
        </w:rPr>
        <w:t xml:space="preserve"> (pp. 21–26). Springer International Publishing Ag.</w:t>
      </w:r>
    </w:p>
    <w:p w14:paraId="49A0DD0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Bayer, F., &amp; Maier, R. (2022). </w:t>
      </w:r>
      <w:r w:rsidRPr="00F153F6">
        <w:rPr>
          <w:rFonts w:ascii="Times New Roman" w:hAnsi="Times New Roman" w:cs="Times New Roman"/>
          <w:i/>
          <w:iCs/>
          <w:sz w:val="24"/>
          <w:szCs w:val="24"/>
        </w:rPr>
        <w:t>Knowledge Risks in Inter-Organizational Knowledge Transfer</w:t>
      </w:r>
      <w:r w:rsidRPr="00F153F6">
        <w:rPr>
          <w:rFonts w:ascii="Times New Roman" w:hAnsi="Times New Roman" w:cs="Times New Roman"/>
          <w:sz w:val="24"/>
          <w:szCs w:val="24"/>
        </w:rPr>
        <w:t>.</w:t>
      </w:r>
    </w:p>
    <w:p w14:paraId="3B4C424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Bayus, B. L. (2013). Crowdsourcing New Product Ideas over Time: An Analysis of the Dell IdeaStorm Community. </w:t>
      </w:r>
      <w:r w:rsidRPr="00F153F6">
        <w:rPr>
          <w:rFonts w:ascii="Times New Roman" w:hAnsi="Times New Roman" w:cs="Times New Roman"/>
          <w:i/>
          <w:iCs/>
          <w:sz w:val="24"/>
          <w:szCs w:val="24"/>
        </w:rPr>
        <w:t>Management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59</w:t>
      </w:r>
      <w:r w:rsidRPr="00F153F6">
        <w:rPr>
          <w:rFonts w:ascii="Times New Roman" w:hAnsi="Times New Roman" w:cs="Times New Roman"/>
          <w:sz w:val="24"/>
          <w:szCs w:val="24"/>
        </w:rPr>
        <w:t>(1), 226–244. https://doi.org/10.1287/mnsc.1120.1599</w:t>
      </w:r>
    </w:p>
    <w:p w14:paraId="7796F3A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Bdeir, F., Hossain, L., &amp; Crawford, J. (2013). Emerging coordination and knowledge transfer process during disease outbreak. </w:t>
      </w:r>
      <w:r w:rsidRPr="00F153F6">
        <w:rPr>
          <w:rFonts w:ascii="Times New Roman" w:hAnsi="Times New Roman" w:cs="Times New Roman"/>
          <w:i/>
          <w:iCs/>
          <w:sz w:val="24"/>
          <w:szCs w:val="24"/>
        </w:rPr>
        <w:t>Knowledge Management Research &amp; Practice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11</w:t>
      </w:r>
      <w:r w:rsidRPr="00F153F6">
        <w:rPr>
          <w:rFonts w:ascii="Times New Roman" w:hAnsi="Times New Roman" w:cs="Times New Roman"/>
          <w:sz w:val="24"/>
          <w:szCs w:val="24"/>
        </w:rPr>
        <w:t>(3), 241–254. https://doi.org/10.1057/kmrp.2012.1</w:t>
      </w:r>
    </w:p>
    <w:p w14:paraId="750F574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Beach, D., Bagley, C., &amp; Silva, S. M. da. (2018). </w:t>
      </w:r>
      <w:r w:rsidRPr="00F153F6">
        <w:rPr>
          <w:rFonts w:ascii="Times New Roman" w:hAnsi="Times New Roman" w:cs="Times New Roman"/>
          <w:i/>
          <w:iCs/>
          <w:sz w:val="24"/>
          <w:szCs w:val="24"/>
        </w:rPr>
        <w:t>The Wiley Handbook of Ethnography of Education | Wiley</w:t>
      </w:r>
      <w:r w:rsidRPr="00F153F6">
        <w:rPr>
          <w:rFonts w:ascii="Times New Roman" w:hAnsi="Times New Roman" w:cs="Times New Roman"/>
          <w:sz w:val="24"/>
          <w:szCs w:val="24"/>
        </w:rPr>
        <w:t>. Wiley.Com. https://www.wiley.com/en-gb/The+Wiley+Handbook+of+Ethnography+of+Education-p-9781118933725</w:t>
      </w:r>
    </w:p>
    <w:p w14:paraId="6893ABA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Becerra-Fernandez, I., &amp; Sabherwal, R. (2014). </w:t>
      </w:r>
      <w:r w:rsidRPr="00F153F6">
        <w:rPr>
          <w:rFonts w:ascii="Times New Roman" w:hAnsi="Times New Roman" w:cs="Times New Roman"/>
          <w:i/>
          <w:iCs/>
          <w:sz w:val="24"/>
          <w:szCs w:val="24"/>
        </w:rPr>
        <w:t xml:space="preserve">Knowledge Management: Systems and </w:t>
      </w:r>
      <w:r w:rsidRPr="00F153F6">
        <w:rPr>
          <w:rFonts w:ascii="Times New Roman" w:hAnsi="Times New Roman" w:cs="Times New Roman"/>
          <w:i/>
          <w:iCs/>
          <w:sz w:val="24"/>
          <w:szCs w:val="24"/>
        </w:rPr>
        <w:lastRenderedPageBreak/>
        <w:t>Processes</w:t>
      </w:r>
      <w:r w:rsidRPr="00F153F6">
        <w:rPr>
          <w:rFonts w:ascii="Times New Roman" w:hAnsi="Times New Roman" w:cs="Times New Roman"/>
          <w:sz w:val="24"/>
          <w:szCs w:val="24"/>
        </w:rPr>
        <w:t>. Routledge.</w:t>
      </w:r>
    </w:p>
    <w:p w14:paraId="042E4CA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Beesley, L. G. A., &amp; Cooper, C. (2008). Defining knowledge management (KM) activities: Towards consensus. </w:t>
      </w:r>
      <w:r w:rsidRPr="00F153F6">
        <w:rPr>
          <w:rFonts w:ascii="Times New Roman" w:hAnsi="Times New Roman" w:cs="Times New Roman"/>
          <w:i/>
          <w:iCs/>
          <w:sz w:val="24"/>
          <w:szCs w:val="24"/>
        </w:rPr>
        <w:t>J. Knowledge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12</w:t>
      </w:r>
      <w:r w:rsidRPr="00F153F6">
        <w:rPr>
          <w:rFonts w:ascii="Times New Roman" w:hAnsi="Times New Roman" w:cs="Times New Roman"/>
          <w:sz w:val="24"/>
          <w:szCs w:val="24"/>
        </w:rPr>
        <w:t>, 48–62. https://doi.org/10.1108/13673270810875859</w:t>
      </w:r>
    </w:p>
    <w:p w14:paraId="7F3EF0E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Beiryaei, H. S., &amp; Vaghef, S. E. A. (2010). Implementing knowledge life cycle in the body of project life cycle by using knowledge management system (KLC in PLC). </w:t>
      </w:r>
      <w:r w:rsidRPr="00F153F6">
        <w:rPr>
          <w:rFonts w:ascii="Times New Roman" w:hAnsi="Times New Roman" w:cs="Times New Roman"/>
          <w:i/>
          <w:iCs/>
          <w:sz w:val="24"/>
          <w:szCs w:val="24"/>
        </w:rPr>
        <w:t>2010 3rd International Conference on Computer Science and Information Technology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9</w:t>
      </w:r>
      <w:r w:rsidRPr="00F153F6">
        <w:rPr>
          <w:rFonts w:ascii="Times New Roman" w:hAnsi="Times New Roman" w:cs="Times New Roman"/>
          <w:sz w:val="24"/>
          <w:szCs w:val="24"/>
        </w:rPr>
        <w:t>, 643–647. https://doi.org/10.1109/ICCSIT.2010.5564540</w:t>
      </w:r>
    </w:p>
    <w:p w14:paraId="2CAD29D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Benard, R., &amp; Dulle, F. (2017). Application of ICT tools in communicating information and knowledge to artisanal fishermen communities in Zanzibar. </w:t>
      </w:r>
      <w:r w:rsidRPr="00F153F6">
        <w:rPr>
          <w:rFonts w:ascii="Times New Roman" w:hAnsi="Times New Roman" w:cs="Times New Roman"/>
          <w:i/>
          <w:iCs/>
          <w:sz w:val="24"/>
          <w:szCs w:val="24"/>
        </w:rPr>
        <w:t>Knowledge Management and E-Learning</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9</w:t>
      </w:r>
      <w:r w:rsidRPr="00F153F6">
        <w:rPr>
          <w:rFonts w:ascii="Times New Roman" w:hAnsi="Times New Roman" w:cs="Times New Roman"/>
          <w:sz w:val="24"/>
          <w:szCs w:val="24"/>
        </w:rPr>
        <w:t>(2), 239–253. Scopus.</w:t>
      </w:r>
    </w:p>
    <w:p w14:paraId="0A2AAEB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Bendix, R., Bizer, K., &amp; Noyes, D. (2017). </w:t>
      </w:r>
      <w:r w:rsidRPr="00F153F6">
        <w:rPr>
          <w:rFonts w:ascii="Times New Roman" w:hAnsi="Times New Roman" w:cs="Times New Roman"/>
          <w:i/>
          <w:iCs/>
          <w:sz w:val="24"/>
          <w:szCs w:val="24"/>
        </w:rPr>
        <w:t>Sustaining Interdisciplinary Collaboration: A Guide for the Academy</w:t>
      </w:r>
      <w:r w:rsidRPr="00F153F6">
        <w:rPr>
          <w:rFonts w:ascii="Times New Roman" w:hAnsi="Times New Roman" w:cs="Times New Roman"/>
          <w:sz w:val="24"/>
          <w:szCs w:val="24"/>
        </w:rPr>
        <w:t>. University of Illinois Press.</w:t>
      </w:r>
    </w:p>
    <w:p w14:paraId="227D704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Berce, J., Lanfranco, S., &amp; Vehovar, V. (2007). </w:t>
      </w:r>
      <w:r w:rsidRPr="00F153F6">
        <w:rPr>
          <w:rFonts w:ascii="Times New Roman" w:hAnsi="Times New Roman" w:cs="Times New Roman"/>
          <w:i/>
          <w:iCs/>
          <w:sz w:val="24"/>
          <w:szCs w:val="24"/>
        </w:rPr>
        <w:t>eGovernance: Information and Communication Technology, Knowledge Management and Learning Organisation Culture</w:t>
      </w:r>
      <w:r w:rsidRPr="00F153F6">
        <w:rPr>
          <w:rFonts w:ascii="Times New Roman" w:hAnsi="Times New Roman" w:cs="Times New Roman"/>
          <w:sz w:val="24"/>
          <w:szCs w:val="24"/>
        </w:rPr>
        <w:t>. 18.</w:t>
      </w:r>
    </w:p>
    <w:p w14:paraId="41485C48" w14:textId="61D30B02"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Berente, N., Baxter, R., &amp; Lyytinen, K. (2010). Dynamics of inter-organizational knowledge creation and information technology use across object worlds: The case of an innovative construction project. </w:t>
      </w:r>
      <w:r w:rsidRPr="00F153F6">
        <w:rPr>
          <w:rFonts w:ascii="Times New Roman" w:hAnsi="Times New Roman" w:cs="Times New Roman"/>
          <w:i/>
          <w:iCs/>
          <w:sz w:val="24"/>
          <w:szCs w:val="24"/>
        </w:rPr>
        <w:t>Construction Management and Economics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28</w:t>
      </w:r>
      <w:r w:rsidRPr="00F153F6">
        <w:rPr>
          <w:rFonts w:ascii="Times New Roman" w:hAnsi="Times New Roman" w:cs="Times New Roman"/>
          <w:sz w:val="24"/>
          <w:szCs w:val="24"/>
        </w:rPr>
        <w:t>(6), 569–588. Scopus. https://doi.org/10.1080/01446193.2010.489926</w:t>
      </w:r>
    </w:p>
    <w:p w14:paraId="4858488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Berg, B. L., &amp; Lune, H. (2012). </w:t>
      </w:r>
      <w:r w:rsidRPr="00F153F6">
        <w:rPr>
          <w:rFonts w:ascii="Times New Roman" w:hAnsi="Times New Roman" w:cs="Times New Roman"/>
          <w:i/>
          <w:iCs/>
          <w:sz w:val="24"/>
          <w:szCs w:val="24"/>
        </w:rPr>
        <w:t>Qualitative Research Methods for the Social Sciences</w:t>
      </w:r>
      <w:r w:rsidRPr="00F153F6">
        <w:rPr>
          <w:rFonts w:ascii="Times New Roman" w:hAnsi="Times New Roman" w:cs="Times New Roman"/>
          <w:sz w:val="24"/>
          <w:szCs w:val="24"/>
        </w:rPr>
        <w:t>. Pearson.</w:t>
      </w:r>
    </w:p>
    <w:p w14:paraId="7DE4593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Bergvall-Kåreborn, B., Eriksson, C. I., Ståhlbröst, A., &amp; Svensson, J. (2010). </w:t>
      </w:r>
      <w:r w:rsidRPr="00F153F6">
        <w:rPr>
          <w:rFonts w:ascii="Times New Roman" w:hAnsi="Times New Roman" w:cs="Times New Roman"/>
          <w:i/>
          <w:iCs/>
          <w:sz w:val="24"/>
          <w:szCs w:val="24"/>
        </w:rPr>
        <w:t>A Milieu for Innovation – Defining Living Labs</w:t>
      </w:r>
      <w:r w:rsidRPr="00F153F6">
        <w:rPr>
          <w:rFonts w:ascii="Times New Roman" w:hAnsi="Times New Roman" w:cs="Times New Roman"/>
          <w:sz w:val="24"/>
          <w:szCs w:val="24"/>
        </w:rPr>
        <w:t>. 13.</w:t>
      </w:r>
    </w:p>
    <w:p w14:paraId="3C4030F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Bertels, S., Howard-Grenville, J., &amp; Pek, S. (2016). Cultural Molding, Shielding, and Shoring at Oilco: The Role of Culture in the Integration of Routines. </w:t>
      </w:r>
      <w:r w:rsidRPr="00F153F6">
        <w:rPr>
          <w:rFonts w:ascii="Times New Roman" w:hAnsi="Times New Roman" w:cs="Times New Roman"/>
          <w:i/>
          <w:iCs/>
          <w:sz w:val="24"/>
          <w:szCs w:val="24"/>
        </w:rPr>
        <w:t>Organization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lastRenderedPageBreak/>
        <w:t>27</w:t>
      </w:r>
      <w:r w:rsidRPr="00F153F6">
        <w:rPr>
          <w:rFonts w:ascii="Times New Roman" w:hAnsi="Times New Roman" w:cs="Times New Roman"/>
          <w:sz w:val="24"/>
          <w:szCs w:val="24"/>
        </w:rPr>
        <w:t>(3), 573–593. https://doi.org/10.1287/orsc.2016.1052</w:t>
      </w:r>
    </w:p>
    <w:p w14:paraId="05A3F37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Blecker, T., &amp; Neumann, R. (2000). </w:t>
      </w:r>
      <w:r w:rsidRPr="00F153F6">
        <w:rPr>
          <w:rFonts w:ascii="Times New Roman" w:hAnsi="Times New Roman" w:cs="Times New Roman"/>
          <w:i/>
          <w:iCs/>
          <w:sz w:val="24"/>
          <w:szCs w:val="24"/>
        </w:rPr>
        <w:t>Interorganizational Knowledge Management: Some Perspectives for Knowledge Oriented Strategic Management in Virtual Organizations</w:t>
      </w:r>
      <w:r w:rsidRPr="00F153F6">
        <w:rPr>
          <w:rFonts w:ascii="Times New Roman" w:hAnsi="Times New Roman" w:cs="Times New Roman"/>
          <w:sz w:val="24"/>
          <w:szCs w:val="24"/>
        </w:rPr>
        <w:t>. https://doi.org/10.4018/978-1-930708-65-5.ch004</w:t>
      </w:r>
    </w:p>
    <w:p w14:paraId="7DBFCD6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Bloomfield, B. P., Latham, Y., &amp; Vurdubakis, T. (2010). Bodies, Technologies and Action Possibilities: When is an Affordance? </w:t>
      </w:r>
      <w:r w:rsidRPr="00F153F6">
        <w:rPr>
          <w:rFonts w:ascii="Times New Roman" w:hAnsi="Times New Roman" w:cs="Times New Roman"/>
          <w:i/>
          <w:iCs/>
          <w:sz w:val="24"/>
          <w:szCs w:val="24"/>
        </w:rPr>
        <w:t>Sociology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44</w:t>
      </w:r>
      <w:r w:rsidRPr="00F153F6">
        <w:rPr>
          <w:rFonts w:ascii="Times New Roman" w:hAnsi="Times New Roman" w:cs="Times New Roman"/>
          <w:sz w:val="24"/>
          <w:szCs w:val="24"/>
        </w:rPr>
        <w:t>(3), 415–433. https://doi.org/10.1177/0038038510362469</w:t>
      </w:r>
    </w:p>
    <w:p w14:paraId="4237086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Bock, G.-W., Zmud, R. W., Kim, Y.-G., &amp; Lee, J.-N. (2005). Behavioral Intention Formation in Knowledge Sharing: Examining the Roles of Extrinsic Motivators, Social-Psychological Forces, and Organizational Climate. </w:t>
      </w:r>
      <w:r w:rsidRPr="00F153F6">
        <w:rPr>
          <w:rFonts w:ascii="Times New Roman" w:hAnsi="Times New Roman" w:cs="Times New Roman"/>
          <w:i/>
          <w:iCs/>
          <w:sz w:val="24"/>
          <w:szCs w:val="24"/>
        </w:rPr>
        <w:t>MIS Quarterly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29</w:t>
      </w:r>
      <w:r w:rsidRPr="00F153F6">
        <w:rPr>
          <w:rFonts w:ascii="Times New Roman" w:hAnsi="Times New Roman" w:cs="Times New Roman"/>
          <w:sz w:val="24"/>
          <w:szCs w:val="24"/>
        </w:rPr>
        <w:t>(1), 87–111. JSTOR. https://doi.org/10.2307/25148669</w:t>
      </w:r>
    </w:p>
    <w:p w14:paraId="544B707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Bogers, M., Afuah, A., &amp; Bastian, B. (2010). Users as Innovators: A Review, Critique, and Future Research Directions. </w:t>
      </w:r>
      <w:r w:rsidRPr="00F153F6">
        <w:rPr>
          <w:rFonts w:ascii="Times New Roman" w:hAnsi="Times New Roman" w:cs="Times New Roman"/>
          <w:i/>
          <w:iCs/>
          <w:sz w:val="24"/>
          <w:szCs w:val="24"/>
        </w:rPr>
        <w:t>Journal of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36</w:t>
      </w:r>
      <w:r w:rsidRPr="00F153F6">
        <w:rPr>
          <w:rFonts w:ascii="Times New Roman" w:hAnsi="Times New Roman" w:cs="Times New Roman"/>
          <w:sz w:val="24"/>
          <w:szCs w:val="24"/>
        </w:rPr>
        <w:t>(4), 857–875. https://doi.org/10.1177/0149206309353944</w:t>
      </w:r>
    </w:p>
    <w:p w14:paraId="6D25DBB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Bolisani, E., &amp; Bratianu, C. (2018). The Elusive Definition of Knowledge. In E. Bolisani &amp; C. Bratianu, </w:t>
      </w:r>
      <w:r w:rsidRPr="00F153F6">
        <w:rPr>
          <w:rFonts w:ascii="Times New Roman" w:hAnsi="Times New Roman" w:cs="Times New Roman"/>
          <w:i/>
          <w:iCs/>
          <w:sz w:val="24"/>
          <w:szCs w:val="24"/>
        </w:rPr>
        <w:t>Emergent Knowledge Strategies</w:t>
      </w:r>
      <w:r w:rsidRPr="00F153F6">
        <w:rPr>
          <w:rFonts w:ascii="Times New Roman" w:hAnsi="Times New Roman" w:cs="Times New Roman"/>
          <w:sz w:val="24"/>
          <w:szCs w:val="24"/>
        </w:rPr>
        <w:t xml:space="preserve"> (Vol. 4, pp. 1–22). Springer International Publishing. https://doi.org/10.1007/978-3-319-60657-6_1</w:t>
      </w:r>
    </w:p>
    <w:p w14:paraId="606B09E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Bolisani, E., &amp; Scarso, E. (2016). Factors affecting the use of wiki to manage knowledge in a small company. </w:t>
      </w:r>
      <w:r w:rsidRPr="00F153F6">
        <w:rPr>
          <w:rFonts w:ascii="Times New Roman" w:hAnsi="Times New Roman" w:cs="Times New Roman"/>
          <w:i/>
          <w:iCs/>
          <w:sz w:val="24"/>
          <w:szCs w:val="24"/>
        </w:rPr>
        <w:t>Journal of Knowledge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20</w:t>
      </w:r>
      <w:r w:rsidRPr="00F153F6">
        <w:rPr>
          <w:rFonts w:ascii="Times New Roman" w:hAnsi="Times New Roman" w:cs="Times New Roman"/>
          <w:sz w:val="24"/>
          <w:szCs w:val="24"/>
        </w:rPr>
        <w:t>(3), 423–443. https://doi.org/10.1108/JKM-05-2015-0205</w:t>
      </w:r>
    </w:p>
    <w:p w14:paraId="056861C1" w14:textId="73771163"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Bordeianu, O. M. (2015). </w:t>
      </w:r>
      <w:r w:rsidR="00694E1E" w:rsidRPr="00F153F6">
        <w:rPr>
          <w:rFonts w:ascii="Times New Roman" w:hAnsi="Times New Roman" w:cs="Times New Roman"/>
          <w:sz w:val="24"/>
          <w:szCs w:val="24"/>
        </w:rPr>
        <w:t>The role of knowledge management and knowledge management strategies within learning organizations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Ecoforum Journal</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w:t>
      </w:r>
      <w:r w:rsidRPr="00F153F6">
        <w:rPr>
          <w:rFonts w:ascii="Times New Roman" w:hAnsi="Times New Roman" w:cs="Times New Roman"/>
          <w:sz w:val="24"/>
          <w:szCs w:val="24"/>
        </w:rPr>
        <w:t>(1), 21.</w:t>
      </w:r>
    </w:p>
    <w:p w14:paraId="107AD36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Borgo, S., &amp; Pozza, G. (2012). Knowledge objects: A formal construct for material, information and role dependences. </w:t>
      </w:r>
      <w:r w:rsidRPr="00F153F6">
        <w:rPr>
          <w:rFonts w:ascii="Times New Roman" w:hAnsi="Times New Roman" w:cs="Times New Roman"/>
          <w:i/>
          <w:iCs/>
          <w:sz w:val="24"/>
          <w:szCs w:val="24"/>
        </w:rPr>
        <w:t>Knowledge Management Research &amp; Practice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10</w:t>
      </w:r>
      <w:r w:rsidRPr="00F153F6">
        <w:rPr>
          <w:rFonts w:ascii="Times New Roman" w:hAnsi="Times New Roman" w:cs="Times New Roman"/>
          <w:sz w:val="24"/>
          <w:szCs w:val="24"/>
        </w:rPr>
        <w:t>(3), 227–236. https://doi.org/10.1057/kmrp.2012.17</w:t>
      </w:r>
    </w:p>
    <w:p w14:paraId="530BCE6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lastRenderedPageBreak/>
        <w:t xml:space="preserve">Bosua, R., &amp; Scheepers, R. (2007). Towards a model to explain knowledge sharing in complex organizational environments. </w:t>
      </w:r>
      <w:r w:rsidRPr="00F153F6">
        <w:rPr>
          <w:rFonts w:ascii="Times New Roman" w:hAnsi="Times New Roman" w:cs="Times New Roman"/>
          <w:i/>
          <w:iCs/>
          <w:sz w:val="24"/>
          <w:szCs w:val="24"/>
        </w:rPr>
        <w:t>Knowledge Management Research &amp; Practice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5</w:t>
      </w:r>
      <w:r w:rsidRPr="00F153F6">
        <w:rPr>
          <w:rFonts w:ascii="Times New Roman" w:hAnsi="Times New Roman" w:cs="Times New Roman"/>
          <w:sz w:val="24"/>
          <w:szCs w:val="24"/>
        </w:rPr>
        <w:t>(2), 93–109. https://doi.org/10.1057/palgrave.kmrp.8500131</w:t>
      </w:r>
    </w:p>
    <w:p w14:paraId="06FB59E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Bouncken, R., &amp; Aslam, M. M. (2019). Understanding knowledge exchange processes among diverse users of coworking-spaces. </w:t>
      </w:r>
      <w:r w:rsidRPr="00F153F6">
        <w:rPr>
          <w:rFonts w:ascii="Times New Roman" w:hAnsi="Times New Roman" w:cs="Times New Roman"/>
          <w:i/>
          <w:iCs/>
          <w:sz w:val="24"/>
          <w:szCs w:val="24"/>
        </w:rPr>
        <w:t>Journal of Knowledge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23</w:t>
      </w:r>
      <w:r w:rsidRPr="00F153F6">
        <w:rPr>
          <w:rFonts w:ascii="Times New Roman" w:hAnsi="Times New Roman" w:cs="Times New Roman"/>
          <w:sz w:val="24"/>
          <w:szCs w:val="24"/>
        </w:rPr>
        <w:t>(10), 2067–2085. https://doi.org/10.1108/JKM-05-2018-0316</w:t>
      </w:r>
    </w:p>
    <w:p w14:paraId="73B3F99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Brabham, D. C. (2013). </w:t>
      </w:r>
      <w:r w:rsidRPr="00F153F6">
        <w:rPr>
          <w:rFonts w:ascii="Times New Roman" w:hAnsi="Times New Roman" w:cs="Times New Roman"/>
          <w:i/>
          <w:iCs/>
          <w:sz w:val="24"/>
          <w:szCs w:val="24"/>
        </w:rPr>
        <w:t>Crowdsourcing</w:t>
      </w:r>
      <w:r w:rsidRPr="00F153F6">
        <w:rPr>
          <w:rFonts w:ascii="Times New Roman" w:hAnsi="Times New Roman" w:cs="Times New Roman"/>
          <w:sz w:val="24"/>
          <w:szCs w:val="24"/>
        </w:rPr>
        <w:t>. MIT Press.</w:t>
      </w:r>
    </w:p>
    <w:p w14:paraId="5A7BAC9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Brainin, E., &amp; Arazy, O. (2016). When Wiki Technology Meets Corporate Knowledge Management Routines: A Sociomateriality Perspective. </w:t>
      </w:r>
      <w:r w:rsidRPr="00F153F6">
        <w:rPr>
          <w:rFonts w:ascii="Times New Roman" w:hAnsi="Times New Roman" w:cs="Times New Roman"/>
          <w:i/>
          <w:iCs/>
          <w:sz w:val="24"/>
          <w:szCs w:val="24"/>
        </w:rPr>
        <w:t>Informatics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w:t>
      </w:r>
      <w:r w:rsidRPr="00F153F6">
        <w:rPr>
          <w:rFonts w:ascii="Times New Roman" w:hAnsi="Times New Roman" w:cs="Times New Roman"/>
          <w:sz w:val="24"/>
          <w:szCs w:val="24"/>
        </w:rPr>
        <w:t>(3), 12. https://doi.org/10.3390/informatics3030012</w:t>
      </w:r>
    </w:p>
    <w:p w14:paraId="5598EB4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Brewerton, P. M., &amp; Millward, L. J. (2001). </w:t>
      </w:r>
      <w:r w:rsidRPr="00F153F6">
        <w:rPr>
          <w:rFonts w:ascii="Times New Roman" w:hAnsi="Times New Roman" w:cs="Times New Roman"/>
          <w:i/>
          <w:iCs/>
          <w:sz w:val="24"/>
          <w:szCs w:val="24"/>
        </w:rPr>
        <w:t>Organizational Research Methods: A Guide for Students and Researchers</w:t>
      </w:r>
      <w:r w:rsidRPr="00F153F6">
        <w:rPr>
          <w:rFonts w:ascii="Times New Roman" w:hAnsi="Times New Roman" w:cs="Times New Roman"/>
          <w:sz w:val="24"/>
          <w:szCs w:val="24"/>
        </w:rPr>
        <w:t>. SAGE.</w:t>
      </w:r>
    </w:p>
    <w:p w14:paraId="6687EFF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Bryman, A. (2012). </w:t>
      </w:r>
      <w:r w:rsidRPr="00F153F6">
        <w:rPr>
          <w:rFonts w:ascii="Times New Roman" w:hAnsi="Times New Roman" w:cs="Times New Roman"/>
          <w:i/>
          <w:iCs/>
          <w:sz w:val="24"/>
          <w:szCs w:val="24"/>
        </w:rPr>
        <w:t>Social research methods</w:t>
      </w:r>
      <w:r w:rsidRPr="00F153F6">
        <w:rPr>
          <w:rFonts w:ascii="Times New Roman" w:hAnsi="Times New Roman" w:cs="Times New Roman"/>
          <w:sz w:val="24"/>
          <w:szCs w:val="24"/>
        </w:rPr>
        <w:t xml:space="preserve"> (4th ed). Oxford University Press.</w:t>
      </w:r>
    </w:p>
    <w:p w14:paraId="080EC94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Bryson, J. M., Crosby, B. C., &amp; Stone, M. M. (2006). The Design and Implementation of Cross-Sector Collaborations: Propositions from the Literature. </w:t>
      </w:r>
      <w:r w:rsidRPr="00F153F6">
        <w:rPr>
          <w:rFonts w:ascii="Times New Roman" w:hAnsi="Times New Roman" w:cs="Times New Roman"/>
          <w:i/>
          <w:iCs/>
          <w:sz w:val="24"/>
          <w:szCs w:val="24"/>
        </w:rPr>
        <w:t>Public Administration Review</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66</w:t>
      </w:r>
      <w:r w:rsidRPr="00F153F6">
        <w:rPr>
          <w:rFonts w:ascii="Times New Roman" w:hAnsi="Times New Roman" w:cs="Times New Roman"/>
          <w:sz w:val="24"/>
          <w:szCs w:val="24"/>
        </w:rPr>
        <w:t>(s1), 44–55. https://doi.org/10.1111/j.1540-6210.2006.00665.x</w:t>
      </w:r>
    </w:p>
    <w:p w14:paraId="3A4B7E4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Buhl, J., Geibler, J. von, Echternacht, L., &amp; Linder, M. (2017). Rebound effects in Living Labs: Opportunities for monitoring and mitigating re-spending and time use effects in user integrated innovation design. </w:t>
      </w:r>
      <w:r w:rsidRPr="00F153F6">
        <w:rPr>
          <w:rFonts w:ascii="Times New Roman" w:hAnsi="Times New Roman" w:cs="Times New Roman"/>
          <w:i/>
          <w:iCs/>
          <w:sz w:val="24"/>
          <w:szCs w:val="24"/>
        </w:rPr>
        <w:t>Journal of Cleaner Production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151</w:t>
      </w:r>
      <w:r w:rsidRPr="00F153F6">
        <w:rPr>
          <w:rFonts w:ascii="Times New Roman" w:hAnsi="Times New Roman" w:cs="Times New Roman"/>
          <w:sz w:val="24"/>
          <w:szCs w:val="24"/>
        </w:rPr>
        <w:t>, 592–602. https://doi.org/10.1016/j.jclepro.2017.03.001</w:t>
      </w:r>
    </w:p>
    <w:p w14:paraId="7D3773E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Bui, T. (2009). </w:t>
      </w:r>
      <w:r w:rsidRPr="00F153F6">
        <w:rPr>
          <w:rFonts w:ascii="Times New Roman" w:hAnsi="Times New Roman" w:cs="Times New Roman"/>
          <w:i/>
          <w:iCs/>
          <w:sz w:val="24"/>
          <w:szCs w:val="24"/>
        </w:rPr>
        <w:t>Concept Design with a Living Lab Approach</w:t>
      </w:r>
      <w:r w:rsidRPr="00F153F6">
        <w:rPr>
          <w:rFonts w:ascii="Times New Roman" w:hAnsi="Times New Roman" w:cs="Times New Roman"/>
          <w:sz w:val="24"/>
          <w:szCs w:val="24"/>
        </w:rPr>
        <w:t>. Hawaii International Conference on System Sciences.</w:t>
      </w:r>
    </w:p>
    <w:p w14:paraId="5367560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Bunge, M. (2004). How Does It Work?: The Search for Explanatory Mechanisms. </w:t>
      </w:r>
      <w:r w:rsidRPr="00F153F6">
        <w:rPr>
          <w:rFonts w:ascii="Times New Roman" w:hAnsi="Times New Roman" w:cs="Times New Roman"/>
          <w:i/>
          <w:iCs/>
          <w:sz w:val="24"/>
          <w:szCs w:val="24"/>
        </w:rPr>
        <w:t>Philosophy of the Social Sciences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34</w:t>
      </w:r>
      <w:r w:rsidRPr="00F153F6">
        <w:rPr>
          <w:rFonts w:ascii="Times New Roman" w:hAnsi="Times New Roman" w:cs="Times New Roman"/>
          <w:sz w:val="24"/>
          <w:szCs w:val="24"/>
        </w:rPr>
        <w:t>(2), 182–210. https://doi.org/10.1177/0048393103262550</w:t>
      </w:r>
    </w:p>
    <w:p w14:paraId="3E5BA84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Burrell, G., &amp; Morgan, G. (2011). </w:t>
      </w:r>
      <w:r w:rsidRPr="00F153F6">
        <w:rPr>
          <w:rFonts w:ascii="Times New Roman" w:hAnsi="Times New Roman" w:cs="Times New Roman"/>
          <w:i/>
          <w:iCs/>
          <w:sz w:val="24"/>
          <w:szCs w:val="24"/>
        </w:rPr>
        <w:t xml:space="preserve">Sociological paradigms and organisational analysis: </w:t>
      </w:r>
      <w:r w:rsidRPr="00F153F6">
        <w:rPr>
          <w:rFonts w:ascii="Times New Roman" w:hAnsi="Times New Roman" w:cs="Times New Roman"/>
          <w:i/>
          <w:iCs/>
          <w:sz w:val="24"/>
          <w:szCs w:val="24"/>
        </w:rPr>
        <w:lastRenderedPageBreak/>
        <w:t>Elements of the sociology of corporate life</w:t>
      </w:r>
      <w:r w:rsidRPr="00F153F6">
        <w:rPr>
          <w:rFonts w:ascii="Times New Roman" w:hAnsi="Times New Roman" w:cs="Times New Roman"/>
          <w:sz w:val="24"/>
          <w:szCs w:val="24"/>
        </w:rPr>
        <w:t xml:space="preserve"> (Reprinted). Ashgate.</w:t>
      </w:r>
    </w:p>
    <w:p w14:paraId="5D546B7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Calamel, L., Defélix, C., Picq, T., &amp; Retour, D. (2012). Inter-organisational projects in French innovation clusters: The construction of collaboration. </w:t>
      </w:r>
      <w:r w:rsidRPr="00F153F6">
        <w:rPr>
          <w:rFonts w:ascii="Times New Roman" w:hAnsi="Times New Roman" w:cs="Times New Roman"/>
          <w:i/>
          <w:iCs/>
          <w:sz w:val="24"/>
          <w:szCs w:val="24"/>
        </w:rPr>
        <w:t>International Journal of Project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30</w:t>
      </w:r>
      <w:r w:rsidRPr="00F153F6">
        <w:rPr>
          <w:rFonts w:ascii="Times New Roman" w:hAnsi="Times New Roman" w:cs="Times New Roman"/>
          <w:sz w:val="24"/>
          <w:szCs w:val="24"/>
        </w:rPr>
        <w:t>(1), 48–59. https://doi.org/10.1016/j.ijproman.2011.03.001</w:t>
      </w:r>
    </w:p>
    <w:p w14:paraId="0AAA7CE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Camarinha-Matos, L. M. (2013). </w:t>
      </w:r>
      <w:r w:rsidRPr="00F153F6">
        <w:rPr>
          <w:rFonts w:ascii="Times New Roman" w:hAnsi="Times New Roman" w:cs="Times New Roman"/>
          <w:i/>
          <w:iCs/>
          <w:sz w:val="24"/>
          <w:szCs w:val="24"/>
        </w:rPr>
        <w:t>Collaborative Business Ecosystems and Virtual Enterprises: IFIP TC5 / WG5.5 Third Working Conference on Infrastructures for Virtual Enterprises (PRO-VE’02) May 1–3, 2002, Sesimbra, Portugal</w:t>
      </w:r>
      <w:r w:rsidRPr="00F153F6">
        <w:rPr>
          <w:rFonts w:ascii="Times New Roman" w:hAnsi="Times New Roman" w:cs="Times New Roman"/>
          <w:sz w:val="24"/>
          <w:szCs w:val="24"/>
        </w:rPr>
        <w:t>. Springer.</w:t>
      </w:r>
    </w:p>
    <w:p w14:paraId="4985B1B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Cannatelli, B., Smith, B., Giudici, A., Jones, J., &amp; Conger, M. (2017). An Expanded Model of Distributed Leadership in Organizational Knowledge Creation. </w:t>
      </w:r>
      <w:r w:rsidRPr="00F153F6">
        <w:rPr>
          <w:rFonts w:ascii="Times New Roman" w:hAnsi="Times New Roman" w:cs="Times New Roman"/>
          <w:i/>
          <w:iCs/>
          <w:sz w:val="24"/>
          <w:szCs w:val="24"/>
        </w:rPr>
        <w:t>Long Range Planning</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50</w:t>
      </w:r>
      <w:r w:rsidRPr="00F153F6">
        <w:rPr>
          <w:rFonts w:ascii="Times New Roman" w:hAnsi="Times New Roman" w:cs="Times New Roman"/>
          <w:sz w:val="24"/>
          <w:szCs w:val="24"/>
        </w:rPr>
        <w:t>(5), 582–602. https://doi.org/10.1016/j.lrp.2016.10.002</w:t>
      </w:r>
    </w:p>
    <w:p w14:paraId="290045A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Carlile, P. R. (2002). A Pragmatic View of Knowledge and Boundaries: Boundary Objects in New Product Development. </w:t>
      </w:r>
      <w:r w:rsidRPr="00F153F6">
        <w:rPr>
          <w:rFonts w:ascii="Times New Roman" w:hAnsi="Times New Roman" w:cs="Times New Roman"/>
          <w:i/>
          <w:iCs/>
          <w:sz w:val="24"/>
          <w:szCs w:val="24"/>
        </w:rPr>
        <w:t>Organization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13</w:t>
      </w:r>
      <w:r w:rsidRPr="00F153F6">
        <w:rPr>
          <w:rFonts w:ascii="Times New Roman" w:hAnsi="Times New Roman" w:cs="Times New Roman"/>
          <w:sz w:val="24"/>
          <w:szCs w:val="24"/>
        </w:rPr>
        <w:t>(4), 442–455. https://doi.org/10.1287/orsc.13.4.442.2953</w:t>
      </w:r>
    </w:p>
    <w:p w14:paraId="0A7CCEA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Carlsen, A., Rudningen, G., &amp; Mortensen, T. F. (2014). Playing the Cards: Using Collaborative Artifacts With Thin Categories to Make Research Co-Generative. </w:t>
      </w:r>
      <w:r w:rsidRPr="00F153F6">
        <w:rPr>
          <w:rFonts w:ascii="Times New Roman" w:hAnsi="Times New Roman" w:cs="Times New Roman"/>
          <w:i/>
          <w:iCs/>
          <w:sz w:val="24"/>
          <w:szCs w:val="24"/>
        </w:rPr>
        <w:t>Journal of Management Inquiry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23</w:t>
      </w:r>
      <w:r w:rsidRPr="00F153F6">
        <w:rPr>
          <w:rFonts w:ascii="Times New Roman" w:hAnsi="Times New Roman" w:cs="Times New Roman"/>
          <w:sz w:val="24"/>
          <w:szCs w:val="24"/>
        </w:rPr>
        <w:t>(3), 294–313. https://doi.org/10.1177/1056492613511152</w:t>
      </w:r>
    </w:p>
    <w:p w14:paraId="7111360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Cassell, C., &amp; Symon, G. (2004). </w:t>
      </w:r>
      <w:r w:rsidRPr="00F153F6">
        <w:rPr>
          <w:rFonts w:ascii="Times New Roman" w:hAnsi="Times New Roman" w:cs="Times New Roman"/>
          <w:i/>
          <w:iCs/>
          <w:sz w:val="24"/>
          <w:szCs w:val="24"/>
        </w:rPr>
        <w:t>Essential Guide to Qualitative Methods in Organizational Research</w:t>
      </w:r>
      <w:r w:rsidRPr="00F153F6">
        <w:rPr>
          <w:rFonts w:ascii="Times New Roman" w:hAnsi="Times New Roman" w:cs="Times New Roman"/>
          <w:sz w:val="24"/>
          <w:szCs w:val="24"/>
        </w:rPr>
        <w:t>. SAGE.</w:t>
      </w:r>
    </w:p>
    <w:p w14:paraId="54B2CBA5" w14:textId="03AC7442" w:rsidR="00926863" w:rsidRPr="00F153F6" w:rsidRDefault="00926863" w:rsidP="00926863">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Chappin, M., Faber, J., &amp; Meeus, M. (2019). Learning patterns in early stage R&amp;D projects: Empirical evidence from the fibre raw material technology project in the Netherlands. </w:t>
      </w:r>
      <w:r w:rsidRPr="00F153F6">
        <w:rPr>
          <w:rFonts w:ascii="Times New Roman" w:hAnsi="Times New Roman" w:cs="Times New Roman"/>
          <w:i/>
          <w:iCs/>
          <w:sz w:val="24"/>
          <w:szCs w:val="24"/>
        </w:rPr>
        <w:t>R&amp;D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49</w:t>
      </w:r>
      <w:r w:rsidRPr="00F153F6">
        <w:rPr>
          <w:rFonts w:ascii="Times New Roman" w:hAnsi="Times New Roman" w:cs="Times New Roman"/>
          <w:sz w:val="24"/>
          <w:szCs w:val="24"/>
        </w:rPr>
        <w:t>(4), 684–695. https://doi.org/10.1111/radm.12358</w:t>
      </w:r>
    </w:p>
    <w:p w14:paraId="3C52CEC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Charmaz, K. (2008). Constructionism and the Grounded Theory Method. In </w:t>
      </w:r>
      <w:r w:rsidRPr="00F153F6">
        <w:rPr>
          <w:rFonts w:ascii="Times New Roman" w:hAnsi="Times New Roman" w:cs="Times New Roman"/>
          <w:i/>
          <w:iCs/>
          <w:sz w:val="24"/>
          <w:szCs w:val="24"/>
        </w:rPr>
        <w:t>Handbook of Constructionist Research</w:t>
      </w:r>
      <w:r w:rsidRPr="00F153F6">
        <w:rPr>
          <w:rFonts w:ascii="Times New Roman" w:hAnsi="Times New Roman" w:cs="Times New Roman"/>
          <w:sz w:val="24"/>
          <w:szCs w:val="24"/>
        </w:rPr>
        <w:t xml:space="preserve"> (pp. 397–412). Guilford Press.</w:t>
      </w:r>
    </w:p>
    <w:p w14:paraId="05B8B702" w14:textId="40A2F83E" w:rsidR="00926863" w:rsidRPr="00F153F6" w:rsidRDefault="007156B1" w:rsidP="00926863">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Charmaz, K. (2014). </w:t>
      </w:r>
      <w:r w:rsidRPr="00F153F6">
        <w:rPr>
          <w:rFonts w:ascii="Times New Roman" w:hAnsi="Times New Roman" w:cs="Times New Roman"/>
          <w:i/>
          <w:iCs/>
          <w:sz w:val="24"/>
          <w:szCs w:val="24"/>
        </w:rPr>
        <w:t>Constructing Grounded Theory</w:t>
      </w:r>
      <w:r w:rsidRPr="00F153F6">
        <w:rPr>
          <w:rFonts w:ascii="Times New Roman" w:hAnsi="Times New Roman" w:cs="Times New Roman"/>
          <w:sz w:val="24"/>
          <w:szCs w:val="24"/>
        </w:rPr>
        <w:t>. SAGE.</w:t>
      </w:r>
    </w:p>
    <w:p w14:paraId="0C99954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Chayabunjonglerd, P., &amp; Torkabadi, S. (2015). </w:t>
      </w:r>
      <w:r w:rsidRPr="00F153F6">
        <w:rPr>
          <w:rFonts w:ascii="Times New Roman" w:hAnsi="Times New Roman" w:cs="Times New Roman"/>
          <w:i/>
          <w:iCs/>
          <w:sz w:val="24"/>
          <w:szCs w:val="24"/>
        </w:rPr>
        <w:t xml:space="preserve">Interorganizational collaboration in a living </w:t>
      </w:r>
      <w:r w:rsidRPr="00F153F6">
        <w:rPr>
          <w:rFonts w:ascii="Times New Roman" w:hAnsi="Times New Roman" w:cs="Times New Roman"/>
          <w:i/>
          <w:iCs/>
          <w:sz w:val="24"/>
          <w:szCs w:val="24"/>
        </w:rPr>
        <w:lastRenderedPageBreak/>
        <w:t>lab HSB Living Lab as a case study</w:t>
      </w:r>
      <w:r w:rsidRPr="00F153F6">
        <w:rPr>
          <w:rFonts w:ascii="Times New Roman" w:hAnsi="Times New Roman" w:cs="Times New Roman"/>
          <w:sz w:val="24"/>
          <w:szCs w:val="24"/>
        </w:rPr>
        <w:t>.</w:t>
      </w:r>
    </w:p>
    <w:p w14:paraId="7AFF7AD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Chesbrough, H., &amp; Bogers, M. (2014). Explicating Open Innovation. In H. Chesbrough, W. Vanhaverbeke, &amp; J. West (Eds.), </w:t>
      </w:r>
      <w:r w:rsidRPr="00F153F6">
        <w:rPr>
          <w:rFonts w:ascii="Times New Roman" w:hAnsi="Times New Roman" w:cs="Times New Roman"/>
          <w:i/>
          <w:iCs/>
          <w:sz w:val="24"/>
          <w:szCs w:val="24"/>
        </w:rPr>
        <w:t>New Frontiers in Open Innovation</w:t>
      </w:r>
      <w:r w:rsidRPr="00F153F6">
        <w:rPr>
          <w:rFonts w:ascii="Times New Roman" w:hAnsi="Times New Roman" w:cs="Times New Roman"/>
          <w:sz w:val="24"/>
          <w:szCs w:val="24"/>
        </w:rPr>
        <w:t xml:space="preserve"> (pp. 3–28). Oxford University Press. https://doi.org/10.1093/acprof:oso/9780199682461.003.0001</w:t>
      </w:r>
    </w:p>
    <w:p w14:paraId="3619361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Chesbrough, H. W., &amp; Appleyard, M. M. (2007). Open Innovation and Strategy. </w:t>
      </w:r>
      <w:r w:rsidRPr="00F153F6">
        <w:rPr>
          <w:rFonts w:ascii="Times New Roman" w:hAnsi="Times New Roman" w:cs="Times New Roman"/>
          <w:i/>
          <w:iCs/>
          <w:sz w:val="24"/>
          <w:szCs w:val="24"/>
        </w:rPr>
        <w:t>California Management Review</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50</w:t>
      </w:r>
      <w:r w:rsidRPr="00F153F6">
        <w:rPr>
          <w:rFonts w:ascii="Times New Roman" w:hAnsi="Times New Roman" w:cs="Times New Roman"/>
          <w:sz w:val="24"/>
          <w:szCs w:val="24"/>
        </w:rPr>
        <w:t>(1), 57–76. https://doi.org/10.2307/41166416</w:t>
      </w:r>
    </w:p>
    <w:p w14:paraId="003E01D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Chetty, S. K., &amp; Wilson, H. I. M. (2003). Collaborating with competitors to acquire resources. </w:t>
      </w:r>
      <w:r w:rsidRPr="00F153F6">
        <w:rPr>
          <w:rFonts w:ascii="Times New Roman" w:hAnsi="Times New Roman" w:cs="Times New Roman"/>
          <w:i/>
          <w:iCs/>
          <w:sz w:val="24"/>
          <w:szCs w:val="24"/>
        </w:rPr>
        <w:t>International Business Review</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12</w:t>
      </w:r>
      <w:r w:rsidRPr="00F153F6">
        <w:rPr>
          <w:rFonts w:ascii="Times New Roman" w:hAnsi="Times New Roman" w:cs="Times New Roman"/>
          <w:sz w:val="24"/>
          <w:szCs w:val="24"/>
        </w:rPr>
        <w:t>(1), 61–81. https://doi.org/10.1016/S0969-5931(02)00088-4</w:t>
      </w:r>
    </w:p>
    <w:p w14:paraId="65D8EF3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Cheung, C. F., Li, M. L., Shek, W. Y., Lee, W. B., &amp; Tsang, T. S. (2007). A systematic approach for knowledge auditing: A case study in transportation sector. </w:t>
      </w:r>
      <w:r w:rsidRPr="00F153F6">
        <w:rPr>
          <w:rFonts w:ascii="Times New Roman" w:hAnsi="Times New Roman" w:cs="Times New Roman"/>
          <w:i/>
          <w:iCs/>
          <w:sz w:val="24"/>
          <w:szCs w:val="24"/>
        </w:rPr>
        <w:t>Journal of Knowledge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11</w:t>
      </w:r>
      <w:r w:rsidRPr="00F153F6">
        <w:rPr>
          <w:rFonts w:ascii="Times New Roman" w:hAnsi="Times New Roman" w:cs="Times New Roman"/>
          <w:sz w:val="24"/>
          <w:szCs w:val="24"/>
        </w:rPr>
        <w:t>(4), 140–158. https://doi.org/10.1108/13673270710762774</w:t>
      </w:r>
    </w:p>
    <w:p w14:paraId="4E5D081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Chilisa, B. (2012). </w:t>
      </w:r>
      <w:r w:rsidRPr="00F153F6">
        <w:rPr>
          <w:rFonts w:ascii="Times New Roman" w:hAnsi="Times New Roman" w:cs="Times New Roman"/>
          <w:i/>
          <w:iCs/>
          <w:sz w:val="24"/>
          <w:szCs w:val="24"/>
        </w:rPr>
        <w:t>Indigenous Research Methodologies</w:t>
      </w:r>
      <w:r w:rsidRPr="00F153F6">
        <w:rPr>
          <w:rFonts w:ascii="Times New Roman" w:hAnsi="Times New Roman" w:cs="Times New Roman"/>
          <w:sz w:val="24"/>
          <w:szCs w:val="24"/>
        </w:rPr>
        <w:t>. SAGE.</w:t>
      </w:r>
    </w:p>
    <w:p w14:paraId="620C21A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Choi, S. Y., Lee, H., &amp; Yoo, Y. (2010). The Impact of Information Technology and Transactive Memory Systems on Knowledge Sharing, Application, and Team Performance: A Field Study. </w:t>
      </w:r>
      <w:r w:rsidRPr="00F153F6">
        <w:rPr>
          <w:rFonts w:ascii="Times New Roman" w:hAnsi="Times New Roman" w:cs="Times New Roman"/>
          <w:i/>
          <w:iCs/>
          <w:sz w:val="24"/>
          <w:szCs w:val="24"/>
        </w:rPr>
        <w:t>MIS Quarterly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34</w:t>
      </w:r>
      <w:r w:rsidRPr="00F153F6">
        <w:rPr>
          <w:rFonts w:ascii="Times New Roman" w:hAnsi="Times New Roman" w:cs="Times New Roman"/>
          <w:sz w:val="24"/>
          <w:szCs w:val="24"/>
        </w:rPr>
        <w:t>(4), 855–870. JSTOR. https://doi.org/10.2307/25750708</w:t>
      </w:r>
    </w:p>
    <w:p w14:paraId="7479499B" w14:textId="71A0A677" w:rsidR="007C6057" w:rsidRPr="00F153F6" w:rsidRDefault="007C6057" w:rsidP="007C6057">
      <w:pPr>
        <w:spacing w:after="0" w:line="480" w:lineRule="auto"/>
        <w:ind w:left="720" w:hanging="720"/>
        <w:rPr>
          <w:rFonts w:ascii="Times New Roman" w:hAnsi="Times New Roman" w:cs="Times New Roman"/>
          <w:sz w:val="28"/>
          <w:szCs w:val="28"/>
          <w:lang w:eastAsia="zh-CN"/>
        </w:rPr>
      </w:pPr>
      <w:r w:rsidRPr="00F153F6">
        <w:rPr>
          <w:rFonts w:ascii="Times New Roman" w:hAnsi="Times New Roman" w:cs="Times New Roman"/>
          <w:color w:val="222222"/>
          <w:sz w:val="24"/>
          <w:szCs w:val="24"/>
          <w:shd w:val="clear" w:color="auto" w:fill="FFFFFF"/>
        </w:rPr>
        <w:t>Choi, S. Y., Kang, Y. S., &amp; Lee, H. (2008). The effects of socio-technical enablers on knowledge sharing: an exploratory examination. </w:t>
      </w:r>
      <w:r w:rsidRPr="00F153F6">
        <w:rPr>
          <w:rFonts w:ascii="Times New Roman" w:hAnsi="Times New Roman" w:cs="Times New Roman"/>
          <w:i/>
          <w:iCs/>
          <w:color w:val="222222"/>
          <w:sz w:val="24"/>
          <w:szCs w:val="24"/>
          <w:shd w:val="clear" w:color="auto" w:fill="FFFFFF"/>
        </w:rPr>
        <w:t>Journal of information science</w:t>
      </w:r>
      <w:r w:rsidRPr="00F153F6">
        <w:rPr>
          <w:rFonts w:ascii="Times New Roman" w:hAnsi="Times New Roman" w:cs="Times New Roman"/>
          <w:color w:val="222222"/>
          <w:sz w:val="24"/>
          <w:szCs w:val="24"/>
          <w:shd w:val="clear" w:color="auto" w:fill="FFFFFF"/>
        </w:rPr>
        <w:t>, </w:t>
      </w:r>
      <w:r w:rsidRPr="00F153F6">
        <w:rPr>
          <w:rFonts w:ascii="Times New Roman" w:hAnsi="Times New Roman" w:cs="Times New Roman"/>
          <w:i/>
          <w:iCs/>
          <w:color w:val="222222"/>
          <w:sz w:val="24"/>
          <w:szCs w:val="24"/>
          <w:shd w:val="clear" w:color="auto" w:fill="FFFFFF"/>
        </w:rPr>
        <w:t>34</w:t>
      </w:r>
      <w:r w:rsidRPr="00F153F6">
        <w:rPr>
          <w:rFonts w:ascii="Times New Roman" w:hAnsi="Times New Roman" w:cs="Times New Roman"/>
          <w:color w:val="222222"/>
          <w:sz w:val="24"/>
          <w:szCs w:val="24"/>
          <w:shd w:val="clear" w:color="auto" w:fill="FFFFFF"/>
        </w:rPr>
        <w:t>(5), 742-754.</w:t>
      </w:r>
    </w:p>
    <w:p w14:paraId="067533C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Chun Tie, Y., Birks, M., &amp; Francis, K. (2019). Grounded theory research: A design framework for novice researchers. </w:t>
      </w:r>
      <w:r w:rsidRPr="00F153F6">
        <w:rPr>
          <w:rFonts w:ascii="Times New Roman" w:hAnsi="Times New Roman" w:cs="Times New Roman"/>
          <w:i/>
          <w:iCs/>
          <w:sz w:val="24"/>
          <w:szCs w:val="24"/>
        </w:rPr>
        <w:t>SAGE Open Medicine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7</w:t>
      </w:r>
      <w:r w:rsidRPr="00F153F6">
        <w:rPr>
          <w:rFonts w:ascii="Times New Roman" w:hAnsi="Times New Roman" w:cs="Times New Roman"/>
          <w:sz w:val="24"/>
          <w:szCs w:val="24"/>
        </w:rPr>
        <w:t>. https://doi.org/10.1177/2050312118822927</w:t>
      </w:r>
    </w:p>
    <w:p w14:paraId="5950472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Clegg, S., Josserand, E., Mehra, A., &amp; Pitsis, T. S. (2016). The Transformative Power of Network Dynamics: A Research Agenda. </w:t>
      </w:r>
      <w:r w:rsidRPr="00F153F6">
        <w:rPr>
          <w:rFonts w:ascii="Times New Roman" w:hAnsi="Times New Roman" w:cs="Times New Roman"/>
          <w:i/>
          <w:iCs/>
          <w:sz w:val="24"/>
          <w:szCs w:val="24"/>
        </w:rPr>
        <w:t>Organization Studies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37</w:t>
      </w:r>
      <w:r w:rsidRPr="00F153F6">
        <w:rPr>
          <w:rFonts w:ascii="Times New Roman" w:hAnsi="Times New Roman" w:cs="Times New Roman"/>
          <w:sz w:val="24"/>
          <w:szCs w:val="24"/>
        </w:rPr>
        <w:t xml:space="preserve">(3), 277–291. </w:t>
      </w:r>
      <w:r w:rsidRPr="00F153F6">
        <w:rPr>
          <w:rFonts w:ascii="Times New Roman" w:hAnsi="Times New Roman" w:cs="Times New Roman"/>
          <w:sz w:val="24"/>
          <w:szCs w:val="24"/>
        </w:rPr>
        <w:lastRenderedPageBreak/>
        <w:t>https://doi.org/10.1177/0170840616629047</w:t>
      </w:r>
    </w:p>
    <w:p w14:paraId="77C5EE7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Coghlan, D. (2019). </w:t>
      </w:r>
      <w:r w:rsidRPr="00F153F6">
        <w:rPr>
          <w:rFonts w:ascii="Times New Roman" w:hAnsi="Times New Roman" w:cs="Times New Roman"/>
          <w:i/>
          <w:iCs/>
          <w:sz w:val="24"/>
          <w:szCs w:val="24"/>
        </w:rPr>
        <w:t>Doing Action Research in Your Own Organization</w:t>
      </w:r>
      <w:r w:rsidRPr="00F153F6">
        <w:rPr>
          <w:rFonts w:ascii="Times New Roman" w:hAnsi="Times New Roman" w:cs="Times New Roman"/>
          <w:sz w:val="24"/>
          <w:szCs w:val="24"/>
        </w:rPr>
        <w:t>. SAGE.</w:t>
      </w:r>
    </w:p>
    <w:p w14:paraId="7F5B3D5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Cohen, D. (2008). </w:t>
      </w:r>
      <w:r w:rsidRPr="00F153F6">
        <w:rPr>
          <w:rFonts w:ascii="Times New Roman" w:hAnsi="Times New Roman" w:cs="Times New Roman"/>
          <w:i/>
          <w:iCs/>
          <w:sz w:val="24"/>
          <w:szCs w:val="24"/>
        </w:rPr>
        <w:t>Qualitative Research Guidelines Project</w:t>
      </w:r>
      <w:r w:rsidRPr="00F153F6">
        <w:rPr>
          <w:rFonts w:ascii="Times New Roman" w:hAnsi="Times New Roman" w:cs="Times New Roman"/>
          <w:sz w:val="24"/>
          <w:szCs w:val="24"/>
        </w:rPr>
        <w:t>.</w:t>
      </w:r>
    </w:p>
    <w:p w14:paraId="6A4E716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Cohendet, P. S., &amp; Simon, L. O. (2016). Always Playable: Recombining Routines for Creative Efficiency at Ubisoft Montreal’s Video Game Studio. </w:t>
      </w:r>
      <w:r w:rsidRPr="00F153F6">
        <w:rPr>
          <w:rFonts w:ascii="Times New Roman" w:hAnsi="Times New Roman" w:cs="Times New Roman"/>
          <w:i/>
          <w:iCs/>
          <w:sz w:val="24"/>
          <w:szCs w:val="24"/>
        </w:rPr>
        <w:t>Organization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27</w:t>
      </w:r>
      <w:r w:rsidRPr="00F153F6">
        <w:rPr>
          <w:rFonts w:ascii="Times New Roman" w:hAnsi="Times New Roman" w:cs="Times New Roman"/>
          <w:sz w:val="24"/>
          <w:szCs w:val="24"/>
        </w:rPr>
        <w:t>(3), 614–632. https://doi.org/10.1287/orsc.2016.1062</w:t>
      </w:r>
    </w:p>
    <w:p w14:paraId="5E615B0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Colombo, G., Dell’Era, C., &amp; Frattini, F. (2015). Exploring the contribution of innovation intermediaries to the new product development (NPD) process: A typology and an empirical study. </w:t>
      </w:r>
      <w:r w:rsidRPr="00F153F6">
        <w:rPr>
          <w:rFonts w:ascii="Times New Roman" w:hAnsi="Times New Roman" w:cs="Times New Roman"/>
          <w:i/>
          <w:iCs/>
          <w:sz w:val="24"/>
          <w:szCs w:val="24"/>
        </w:rPr>
        <w:t>R&amp;D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45</w:t>
      </w:r>
      <w:r w:rsidRPr="00F153F6">
        <w:rPr>
          <w:rFonts w:ascii="Times New Roman" w:hAnsi="Times New Roman" w:cs="Times New Roman"/>
          <w:sz w:val="24"/>
          <w:szCs w:val="24"/>
        </w:rPr>
        <w:t>(2), 126–146. https://doi.org/10.1111/radm.12056</w:t>
      </w:r>
    </w:p>
    <w:p w14:paraId="57EEEB5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Cook, S. D. N., &amp; Brown, J. S. (1999). Bridging Epistemologies: The Generative Dance Between Organizational Knowledge and Organizational Knowing. </w:t>
      </w:r>
      <w:r w:rsidRPr="00F153F6">
        <w:rPr>
          <w:rFonts w:ascii="Times New Roman" w:hAnsi="Times New Roman" w:cs="Times New Roman"/>
          <w:i/>
          <w:iCs/>
          <w:sz w:val="24"/>
          <w:szCs w:val="24"/>
        </w:rPr>
        <w:t>Organization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10</w:t>
      </w:r>
      <w:r w:rsidRPr="00F153F6">
        <w:rPr>
          <w:rFonts w:ascii="Times New Roman" w:hAnsi="Times New Roman" w:cs="Times New Roman"/>
          <w:sz w:val="24"/>
          <w:szCs w:val="24"/>
        </w:rPr>
        <w:t>(4), 381–400. https://doi.org/10.1287/orsc.10.4.381</w:t>
      </w:r>
    </w:p>
    <w:p w14:paraId="03C879B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Corbin, J., &amp; Morse, J. M. (2003). </w:t>
      </w:r>
      <w:r w:rsidRPr="00F153F6">
        <w:rPr>
          <w:rFonts w:ascii="Times New Roman" w:hAnsi="Times New Roman" w:cs="Times New Roman"/>
          <w:i/>
          <w:iCs/>
          <w:sz w:val="24"/>
          <w:szCs w:val="24"/>
        </w:rPr>
        <w:t>ARTICLE10.1177/1077800403251757QUALITATIVE INQUIRY / June 2003Corbin, Morse / DEALING WITH SENSITIVE TOPICS The Unstructured Interactive Interview: Issues of Reciprocity and Risks When Dealing With Sensitive Topics</w:t>
      </w:r>
      <w:r w:rsidRPr="00F153F6">
        <w:rPr>
          <w:rFonts w:ascii="Times New Roman" w:hAnsi="Times New Roman" w:cs="Times New Roman"/>
          <w:sz w:val="24"/>
          <w:szCs w:val="24"/>
        </w:rPr>
        <w:t>.</w:t>
      </w:r>
    </w:p>
    <w:p w14:paraId="3CF187D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Corbin, J., &amp; Strauss, A. (1990). Grounded Theory Research: Procedures, Canons and Evaluative Criteria. </w:t>
      </w:r>
      <w:r w:rsidRPr="00F153F6">
        <w:rPr>
          <w:rFonts w:ascii="Times New Roman" w:hAnsi="Times New Roman" w:cs="Times New Roman"/>
          <w:i/>
          <w:iCs/>
          <w:sz w:val="24"/>
          <w:szCs w:val="24"/>
        </w:rPr>
        <w:t>Zeitschrift Für Soziologie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19</w:t>
      </w:r>
      <w:r w:rsidRPr="00F153F6">
        <w:rPr>
          <w:rFonts w:ascii="Times New Roman" w:hAnsi="Times New Roman" w:cs="Times New Roman"/>
          <w:sz w:val="24"/>
          <w:szCs w:val="24"/>
        </w:rPr>
        <w:t>(6). https://doi.org/10.1515/zfsoz-1990-0602</w:t>
      </w:r>
    </w:p>
    <w:p w14:paraId="18F6203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Corradi, G., Gherardi, S., &amp; Verzelloni, L. (2010). Through the practice lens: Where is the bandwagon of practice-based studies heading? </w:t>
      </w:r>
      <w:r w:rsidRPr="00F153F6">
        <w:rPr>
          <w:rFonts w:ascii="Times New Roman" w:hAnsi="Times New Roman" w:cs="Times New Roman"/>
          <w:i/>
          <w:iCs/>
          <w:sz w:val="24"/>
          <w:szCs w:val="24"/>
        </w:rPr>
        <w:t>Management Learning</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41</w:t>
      </w:r>
      <w:r w:rsidRPr="00F153F6">
        <w:rPr>
          <w:rFonts w:ascii="Times New Roman" w:hAnsi="Times New Roman" w:cs="Times New Roman"/>
          <w:sz w:val="24"/>
          <w:szCs w:val="24"/>
        </w:rPr>
        <w:t>(3), 265–283. https://doi.org/10.1177/1350507609356938</w:t>
      </w:r>
    </w:p>
    <w:p w14:paraId="353E021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Cramton, C. D. (2001). The Mutual Knowledge Problem and Its Consequences for Dispersed Collaboration. </w:t>
      </w:r>
      <w:r w:rsidRPr="00F153F6">
        <w:rPr>
          <w:rFonts w:ascii="Times New Roman" w:hAnsi="Times New Roman" w:cs="Times New Roman"/>
          <w:i/>
          <w:iCs/>
          <w:sz w:val="24"/>
          <w:szCs w:val="24"/>
        </w:rPr>
        <w:t>Organization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12</w:t>
      </w:r>
      <w:r w:rsidRPr="00F153F6">
        <w:rPr>
          <w:rFonts w:ascii="Times New Roman" w:hAnsi="Times New Roman" w:cs="Times New Roman"/>
          <w:sz w:val="24"/>
          <w:szCs w:val="24"/>
        </w:rPr>
        <w:t xml:space="preserve">(3), 346–371. </w:t>
      </w:r>
      <w:r w:rsidRPr="00F153F6">
        <w:rPr>
          <w:rFonts w:ascii="Times New Roman" w:hAnsi="Times New Roman" w:cs="Times New Roman"/>
          <w:sz w:val="24"/>
          <w:szCs w:val="24"/>
        </w:rPr>
        <w:lastRenderedPageBreak/>
        <w:t>https://doi.org/10.1287/orsc.12.3.346.10098</w:t>
      </w:r>
    </w:p>
    <w:p w14:paraId="26E41E9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Creswell, J. W. (2015). Qualitative Inquiry and Research Design: Choosing Among Five Approaches. </w:t>
      </w:r>
      <w:r w:rsidRPr="00F153F6">
        <w:rPr>
          <w:rFonts w:ascii="Times New Roman" w:hAnsi="Times New Roman" w:cs="Times New Roman"/>
          <w:i/>
          <w:iCs/>
          <w:sz w:val="24"/>
          <w:szCs w:val="24"/>
        </w:rPr>
        <w:t>Health Promotion Practice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16</w:t>
      </w:r>
      <w:r w:rsidRPr="00F153F6">
        <w:rPr>
          <w:rFonts w:ascii="Times New Roman" w:hAnsi="Times New Roman" w:cs="Times New Roman"/>
          <w:sz w:val="24"/>
          <w:szCs w:val="24"/>
        </w:rPr>
        <w:t>(4), 473–475. https://doi.org/10.1177/1524839915580941</w:t>
      </w:r>
    </w:p>
    <w:p w14:paraId="1875D9E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Cronemberger, F. A., Sayogo, D. S., &amp; Gil-Garcia, J. R. (2017). Examining Boundary Objects in Inter-Organizational Information Sharing (IIS) Success. </w:t>
      </w:r>
      <w:r w:rsidRPr="00F153F6">
        <w:rPr>
          <w:rFonts w:ascii="Times New Roman" w:hAnsi="Times New Roman" w:cs="Times New Roman"/>
          <w:i/>
          <w:iCs/>
          <w:sz w:val="24"/>
          <w:szCs w:val="24"/>
        </w:rPr>
        <w:t>Proceedings of the 18th Annual International Conference on Digital Government Research</w:t>
      </w:r>
      <w:r w:rsidRPr="00F153F6">
        <w:rPr>
          <w:rFonts w:ascii="Times New Roman" w:hAnsi="Times New Roman" w:cs="Times New Roman"/>
          <w:sz w:val="24"/>
          <w:szCs w:val="24"/>
        </w:rPr>
        <w:t>, 167–176. https://doi.org/10.1145/3085228.3085238</w:t>
      </w:r>
    </w:p>
    <w:p w14:paraId="7C3526F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Cronin, M. A., &amp; Weingart, L. R. (2007). Representational gaps, information processing, and conflict in functionally diverse teams. </w:t>
      </w:r>
      <w:r w:rsidRPr="00F153F6">
        <w:rPr>
          <w:rFonts w:ascii="Times New Roman" w:hAnsi="Times New Roman" w:cs="Times New Roman"/>
          <w:i/>
          <w:iCs/>
          <w:sz w:val="24"/>
          <w:szCs w:val="24"/>
        </w:rPr>
        <w:t>Academy of Management Review</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32</w:t>
      </w:r>
      <w:r w:rsidRPr="00F153F6">
        <w:rPr>
          <w:rFonts w:ascii="Times New Roman" w:hAnsi="Times New Roman" w:cs="Times New Roman"/>
          <w:sz w:val="24"/>
          <w:szCs w:val="24"/>
        </w:rPr>
        <w:t>(3), 761–773. https://doi.org/10.5465/amr.2007.25275511</w:t>
      </w:r>
    </w:p>
    <w:p w14:paraId="1E25C15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Cropper, S., Ebers, M., Huxham, C., &amp; Ring, P. S. (2008). </w:t>
      </w:r>
      <w:r w:rsidRPr="00F153F6">
        <w:rPr>
          <w:rFonts w:ascii="Times New Roman" w:hAnsi="Times New Roman" w:cs="Times New Roman"/>
          <w:i/>
          <w:iCs/>
          <w:sz w:val="24"/>
          <w:szCs w:val="24"/>
        </w:rPr>
        <w:t>Introducing Inter‐organizational Relations</w:t>
      </w:r>
      <w:r w:rsidRPr="00F153F6">
        <w:rPr>
          <w:rFonts w:ascii="Times New Roman" w:hAnsi="Times New Roman" w:cs="Times New Roman"/>
          <w:sz w:val="24"/>
          <w:szCs w:val="24"/>
        </w:rPr>
        <w:t>. Oxford University Press. https://doi.org/10.1093/oxfordhb/9780199282944.003.0001</w:t>
      </w:r>
    </w:p>
    <w:p w14:paraId="2976927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Cui, C., Liu, Y., Hope, A., &amp; Wang, J. (2018). Review of studies on the public–private partnerships (PPP) for infrastructure projects. </w:t>
      </w:r>
      <w:r w:rsidRPr="00F153F6">
        <w:rPr>
          <w:rFonts w:ascii="Times New Roman" w:hAnsi="Times New Roman" w:cs="Times New Roman"/>
          <w:i/>
          <w:iCs/>
          <w:sz w:val="24"/>
          <w:szCs w:val="24"/>
        </w:rPr>
        <w:t>International Journal of Project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36</w:t>
      </w:r>
      <w:r w:rsidRPr="00F153F6">
        <w:rPr>
          <w:rFonts w:ascii="Times New Roman" w:hAnsi="Times New Roman" w:cs="Times New Roman"/>
          <w:sz w:val="24"/>
          <w:szCs w:val="24"/>
        </w:rPr>
        <w:t>(5), 773–794. https://doi.org/10.1016/j.ijproman.2018.03.004</w:t>
      </w:r>
    </w:p>
    <w:p w14:paraId="44DD24F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Cunliffe, A. L., &amp; Scaratti, G. (2017). Embedding Impact in Engaged Research: Developing Socially Useful Knowledge through Dialogical Sensemaking. </w:t>
      </w:r>
      <w:r w:rsidRPr="00F153F6">
        <w:rPr>
          <w:rFonts w:ascii="Times New Roman" w:hAnsi="Times New Roman" w:cs="Times New Roman"/>
          <w:i/>
          <w:iCs/>
          <w:sz w:val="24"/>
          <w:szCs w:val="24"/>
        </w:rPr>
        <w:t>British Journal of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28</w:t>
      </w:r>
      <w:r w:rsidRPr="00F153F6">
        <w:rPr>
          <w:rFonts w:ascii="Times New Roman" w:hAnsi="Times New Roman" w:cs="Times New Roman"/>
          <w:sz w:val="24"/>
          <w:szCs w:val="24"/>
        </w:rPr>
        <w:t>(1), 29–44. https://doi.org/10.1111/1467-8551.12204</w:t>
      </w:r>
    </w:p>
    <w:p w14:paraId="72DED8E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Curado, C. (2006). </w:t>
      </w:r>
      <w:r w:rsidRPr="00F153F6">
        <w:rPr>
          <w:rFonts w:ascii="Times New Roman" w:hAnsi="Times New Roman" w:cs="Times New Roman"/>
          <w:i/>
          <w:iCs/>
          <w:sz w:val="24"/>
          <w:szCs w:val="24"/>
        </w:rPr>
        <w:t>ORGANIZATIONAL LEARNING AND ORGANIZATIONAL DESIGN</w:t>
      </w:r>
      <w:r w:rsidRPr="00F153F6">
        <w:rPr>
          <w:rFonts w:ascii="Times New Roman" w:hAnsi="Times New Roman" w:cs="Times New Roman"/>
          <w:sz w:val="24"/>
          <w:szCs w:val="24"/>
        </w:rPr>
        <w:t>. 22.</w:t>
      </w:r>
    </w:p>
    <w:p w14:paraId="6A33642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Darke, P., Shanks, G., &amp; Broadbent, M. (1998). Successfully completing case study research: Combining rigour, relevance and pragmatism. </w:t>
      </w:r>
      <w:r w:rsidRPr="00F153F6">
        <w:rPr>
          <w:rFonts w:ascii="Times New Roman" w:hAnsi="Times New Roman" w:cs="Times New Roman"/>
          <w:i/>
          <w:iCs/>
          <w:sz w:val="24"/>
          <w:szCs w:val="24"/>
        </w:rPr>
        <w:t>Information Systems Journal</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8</w:t>
      </w:r>
      <w:r w:rsidRPr="00F153F6">
        <w:rPr>
          <w:rFonts w:ascii="Times New Roman" w:hAnsi="Times New Roman" w:cs="Times New Roman"/>
          <w:sz w:val="24"/>
          <w:szCs w:val="24"/>
        </w:rPr>
        <w:t>(4), 273–289. https://doi.org/10.1046/j.1365-2575.1998.00040.x</w:t>
      </w:r>
    </w:p>
    <w:p w14:paraId="5096881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Darsø, A. L. (2003). </w:t>
      </w:r>
      <w:r w:rsidRPr="00F153F6">
        <w:rPr>
          <w:rFonts w:ascii="Times New Roman" w:hAnsi="Times New Roman" w:cs="Times New Roman"/>
          <w:i/>
          <w:iCs/>
          <w:sz w:val="24"/>
          <w:szCs w:val="24"/>
        </w:rPr>
        <w:t>Findes der en formel for innovation?</w:t>
      </w:r>
      <w:r w:rsidRPr="00F153F6">
        <w:rPr>
          <w:rFonts w:ascii="Times New Roman" w:hAnsi="Times New Roman" w:cs="Times New Roman"/>
          <w:sz w:val="24"/>
          <w:szCs w:val="24"/>
        </w:rPr>
        <w:t xml:space="preserve"> 12.</w:t>
      </w:r>
    </w:p>
    <w:p w14:paraId="39EF6BE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lastRenderedPageBreak/>
        <w:t xml:space="preserve">Davenport, J. J. (2018). </w:t>
      </w:r>
      <w:r w:rsidRPr="00F153F6">
        <w:rPr>
          <w:rFonts w:ascii="Times New Roman" w:hAnsi="Times New Roman" w:cs="Times New Roman"/>
          <w:i/>
          <w:iCs/>
          <w:sz w:val="24"/>
          <w:szCs w:val="24"/>
        </w:rPr>
        <w:t>Exploring the Theory and Practice of Knowledge Exchange: Intention, context and characteristics</w:t>
      </w:r>
      <w:r w:rsidRPr="00F153F6">
        <w:rPr>
          <w:rFonts w:ascii="Times New Roman" w:hAnsi="Times New Roman" w:cs="Times New Roman"/>
          <w:sz w:val="24"/>
          <w:szCs w:val="24"/>
        </w:rPr>
        <w:t>. 427.</w:t>
      </w:r>
    </w:p>
    <w:p w14:paraId="310AD0A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Davenport, T. H., Prusak, L., &amp; Webber, A. (2000). Working Knowledge: How Organizations Manage What They Know. </w:t>
      </w:r>
      <w:r w:rsidRPr="00F153F6">
        <w:rPr>
          <w:rFonts w:ascii="Times New Roman" w:hAnsi="Times New Roman" w:cs="Times New Roman"/>
          <w:i/>
          <w:iCs/>
          <w:sz w:val="24"/>
          <w:szCs w:val="24"/>
        </w:rPr>
        <w:t>Working Knowledge</w:t>
      </w:r>
      <w:r w:rsidRPr="00F153F6">
        <w:rPr>
          <w:rFonts w:ascii="Times New Roman" w:hAnsi="Times New Roman" w:cs="Times New Roman"/>
          <w:sz w:val="24"/>
          <w:szCs w:val="24"/>
        </w:rPr>
        <w:t>, 15.</w:t>
      </w:r>
    </w:p>
    <w:p w14:paraId="06F2C9A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Davern, M., Shaft, T., &amp; Te’eni, D. (2012). Cognition Matters: Enduring Questions in Cognitive IS Research. </w:t>
      </w:r>
      <w:r w:rsidRPr="00F153F6">
        <w:rPr>
          <w:rFonts w:ascii="Times New Roman" w:hAnsi="Times New Roman" w:cs="Times New Roman"/>
          <w:i/>
          <w:iCs/>
          <w:sz w:val="24"/>
          <w:szCs w:val="24"/>
        </w:rPr>
        <w:t>Journal of the Association for Information Systems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13</w:t>
      </w:r>
      <w:r w:rsidRPr="00F153F6">
        <w:rPr>
          <w:rFonts w:ascii="Times New Roman" w:hAnsi="Times New Roman" w:cs="Times New Roman"/>
          <w:sz w:val="24"/>
          <w:szCs w:val="24"/>
        </w:rPr>
        <w:t>(4), 273–314.</w:t>
      </w:r>
    </w:p>
    <w:p w14:paraId="2B2E7CE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Davison, R. M., Ou, C. X. J., &amp; Martinsons, M. G. (2018). Interpersonal knowledge exchange in China: The impact of guanxi and social media. </w:t>
      </w:r>
      <w:r w:rsidRPr="00F153F6">
        <w:rPr>
          <w:rFonts w:ascii="Times New Roman" w:hAnsi="Times New Roman" w:cs="Times New Roman"/>
          <w:i/>
          <w:iCs/>
          <w:sz w:val="24"/>
          <w:szCs w:val="24"/>
        </w:rPr>
        <w:t>Information &amp;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55</w:t>
      </w:r>
      <w:r w:rsidRPr="00F153F6">
        <w:rPr>
          <w:rFonts w:ascii="Times New Roman" w:hAnsi="Times New Roman" w:cs="Times New Roman"/>
          <w:sz w:val="24"/>
          <w:szCs w:val="24"/>
        </w:rPr>
        <w:t>(2), 224–234. https://doi.org/10.1016/j.im.2017.05.008</w:t>
      </w:r>
    </w:p>
    <w:p w14:paraId="317AB27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Dayan, R., Heisig, P., &amp; Matos, F. (2017). Knowledge management as a factor for the formulation and implementation of organization strategy. </w:t>
      </w:r>
      <w:r w:rsidRPr="00F153F6">
        <w:rPr>
          <w:rFonts w:ascii="Times New Roman" w:hAnsi="Times New Roman" w:cs="Times New Roman"/>
          <w:i/>
          <w:iCs/>
          <w:sz w:val="24"/>
          <w:szCs w:val="24"/>
        </w:rPr>
        <w:t>Journal of Knowledge Management</w:t>
      </w:r>
      <w:r w:rsidRPr="00F153F6">
        <w:rPr>
          <w:rFonts w:ascii="Times New Roman" w:hAnsi="Times New Roman" w:cs="Times New Roman"/>
          <w:sz w:val="24"/>
          <w:szCs w:val="24"/>
        </w:rPr>
        <w:t>. https://doi.org/10.1108/JKM-02-2016-0068</w:t>
      </w:r>
    </w:p>
    <w:p w14:paraId="4B1C4A9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Dell’Era, C., &amp; Landoni, P. (2014). Living Lab: A Methodology between User-Centred Design and Participatory Design. </w:t>
      </w:r>
      <w:r w:rsidRPr="00F153F6">
        <w:rPr>
          <w:rFonts w:ascii="Times New Roman" w:hAnsi="Times New Roman" w:cs="Times New Roman"/>
          <w:i/>
          <w:iCs/>
          <w:sz w:val="24"/>
          <w:szCs w:val="24"/>
        </w:rPr>
        <w:t>Creativity and Innovation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23</w:t>
      </w:r>
      <w:r w:rsidRPr="00F153F6">
        <w:rPr>
          <w:rFonts w:ascii="Times New Roman" w:hAnsi="Times New Roman" w:cs="Times New Roman"/>
          <w:sz w:val="24"/>
          <w:szCs w:val="24"/>
        </w:rPr>
        <w:t>(2), 137–154. https://doi.org/10.1111/caim.12061</w:t>
      </w:r>
    </w:p>
    <w:p w14:paraId="1765EC1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Denzin, N. K., &amp; Lincoln, Y. S. (2011). </w:t>
      </w:r>
      <w:r w:rsidRPr="00F153F6">
        <w:rPr>
          <w:rFonts w:ascii="Times New Roman" w:hAnsi="Times New Roman" w:cs="Times New Roman"/>
          <w:i/>
          <w:iCs/>
          <w:sz w:val="24"/>
          <w:szCs w:val="24"/>
        </w:rPr>
        <w:t>The SAGE Handbook of Qualitative Research</w:t>
      </w:r>
      <w:r w:rsidRPr="00F153F6">
        <w:rPr>
          <w:rFonts w:ascii="Times New Roman" w:hAnsi="Times New Roman" w:cs="Times New Roman"/>
          <w:sz w:val="24"/>
          <w:szCs w:val="24"/>
        </w:rPr>
        <w:t>. SAGE.</w:t>
      </w:r>
    </w:p>
    <w:p w14:paraId="3C1E8CB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DeSanctis, G., &amp; Poole, M. S. (1994). Capturing the Complexity in Advanced Technology Use: Adaptive Structuration Theory. </w:t>
      </w:r>
      <w:r w:rsidRPr="00F153F6">
        <w:rPr>
          <w:rFonts w:ascii="Times New Roman" w:hAnsi="Times New Roman" w:cs="Times New Roman"/>
          <w:i/>
          <w:iCs/>
          <w:sz w:val="24"/>
          <w:szCs w:val="24"/>
        </w:rPr>
        <w:t>Organization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5</w:t>
      </w:r>
      <w:r w:rsidRPr="00F153F6">
        <w:rPr>
          <w:rFonts w:ascii="Times New Roman" w:hAnsi="Times New Roman" w:cs="Times New Roman"/>
          <w:sz w:val="24"/>
          <w:szCs w:val="24"/>
        </w:rPr>
        <w:t>(2), 121–147. JSTOR.</w:t>
      </w:r>
    </w:p>
    <w:p w14:paraId="7B090CF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Desouza, K. C. (2003). Facilitating tacit knowledge exchange. </w:t>
      </w:r>
      <w:r w:rsidRPr="00F153F6">
        <w:rPr>
          <w:rFonts w:ascii="Times New Roman" w:hAnsi="Times New Roman" w:cs="Times New Roman"/>
          <w:i/>
          <w:iCs/>
          <w:sz w:val="24"/>
          <w:szCs w:val="24"/>
        </w:rPr>
        <w:t>Communications of the ACM</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46</w:t>
      </w:r>
      <w:r w:rsidRPr="00F153F6">
        <w:rPr>
          <w:rFonts w:ascii="Times New Roman" w:hAnsi="Times New Roman" w:cs="Times New Roman"/>
          <w:sz w:val="24"/>
          <w:szCs w:val="24"/>
        </w:rPr>
        <w:t>(6), 85–88. https://doi.org/10.1145/777313.777317</w:t>
      </w:r>
    </w:p>
    <w:p w14:paraId="25433A5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Dillenbourg, P., Baker, M. J., Blaye, A., &amp; O’Malley, C. (1996). </w:t>
      </w:r>
      <w:r w:rsidRPr="00F153F6">
        <w:rPr>
          <w:rFonts w:ascii="Times New Roman" w:hAnsi="Times New Roman" w:cs="Times New Roman"/>
          <w:i/>
          <w:iCs/>
          <w:sz w:val="24"/>
          <w:szCs w:val="24"/>
        </w:rPr>
        <w:t>The evolution of research on collaborative learning</w:t>
      </w:r>
      <w:r w:rsidRPr="00F153F6">
        <w:rPr>
          <w:rFonts w:ascii="Times New Roman" w:hAnsi="Times New Roman" w:cs="Times New Roman"/>
          <w:sz w:val="24"/>
          <w:szCs w:val="24"/>
        </w:rPr>
        <w:t>. 28.</w:t>
      </w:r>
    </w:p>
    <w:p w14:paraId="1F21267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Dooley, L., &amp; Gubbins, C. (2019). Inter-organisational knowledge networks: Synthesising dialectic tensions of university-industry knowledge discovery. </w:t>
      </w:r>
      <w:r w:rsidRPr="00F153F6">
        <w:rPr>
          <w:rFonts w:ascii="Times New Roman" w:hAnsi="Times New Roman" w:cs="Times New Roman"/>
          <w:i/>
          <w:iCs/>
          <w:sz w:val="24"/>
          <w:szCs w:val="24"/>
        </w:rPr>
        <w:t xml:space="preserve">Journal of Knowledge </w:t>
      </w:r>
      <w:r w:rsidRPr="00F153F6">
        <w:rPr>
          <w:rFonts w:ascii="Times New Roman" w:hAnsi="Times New Roman" w:cs="Times New Roman"/>
          <w:i/>
          <w:iCs/>
          <w:sz w:val="24"/>
          <w:szCs w:val="24"/>
        </w:rPr>
        <w:lastRenderedPageBreak/>
        <w:t>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23</w:t>
      </w:r>
      <w:r w:rsidRPr="00F153F6">
        <w:rPr>
          <w:rFonts w:ascii="Times New Roman" w:hAnsi="Times New Roman" w:cs="Times New Roman"/>
          <w:sz w:val="24"/>
          <w:szCs w:val="24"/>
        </w:rPr>
        <w:t>(10), 2113–2134. https://doi.org/10.1108/JKM-06-2018-0343</w:t>
      </w:r>
    </w:p>
    <w:p w14:paraId="55CE8D4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Dubois, A., &amp; Gadde, L.-E. (2002). Systematic combining: An abductive approach to case research. </w:t>
      </w:r>
      <w:r w:rsidRPr="00F153F6">
        <w:rPr>
          <w:rFonts w:ascii="Times New Roman" w:hAnsi="Times New Roman" w:cs="Times New Roman"/>
          <w:i/>
          <w:iCs/>
          <w:sz w:val="24"/>
          <w:szCs w:val="24"/>
        </w:rPr>
        <w:t>Journal of Business Research</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55</w:t>
      </w:r>
      <w:r w:rsidRPr="00F153F6">
        <w:rPr>
          <w:rFonts w:ascii="Times New Roman" w:hAnsi="Times New Roman" w:cs="Times New Roman"/>
          <w:sz w:val="24"/>
          <w:szCs w:val="24"/>
        </w:rPr>
        <w:t>(7), 553–560. https://doi.org/10.1016/S0148-2963(00)00195-8</w:t>
      </w:r>
    </w:p>
    <w:p w14:paraId="700EF75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Dudovskiy, J. (2016). </w:t>
      </w:r>
      <w:r w:rsidRPr="00F153F6">
        <w:rPr>
          <w:rFonts w:ascii="Times New Roman" w:hAnsi="Times New Roman" w:cs="Times New Roman"/>
          <w:i/>
          <w:iCs/>
          <w:sz w:val="24"/>
          <w:szCs w:val="24"/>
        </w:rPr>
        <w:t>The Ultimate Guide to Writing a Dissertation in Business Studies</w:t>
      </w:r>
      <w:r w:rsidRPr="00F153F6">
        <w:rPr>
          <w:rFonts w:ascii="Times New Roman" w:hAnsi="Times New Roman" w:cs="Times New Roman"/>
          <w:sz w:val="24"/>
          <w:szCs w:val="24"/>
        </w:rPr>
        <w:t>. https://www.goodreads.com/work/best_book/56441500-the-ultimate-guide-to-writing-a-dissertation-in-business-studies-a-step</w:t>
      </w:r>
    </w:p>
    <w:p w14:paraId="0934C6C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Dutilleul, B., Birrer, F. A. J., &amp; Mensink, W. (2010). </w:t>
      </w:r>
      <w:r w:rsidRPr="00F153F6">
        <w:rPr>
          <w:rFonts w:ascii="Times New Roman" w:hAnsi="Times New Roman" w:cs="Times New Roman"/>
          <w:i/>
          <w:iCs/>
          <w:sz w:val="24"/>
          <w:szCs w:val="24"/>
        </w:rPr>
        <w:t>Unpacking European Living Labs: Analysing Innovation’s Social Dimensions</w:t>
      </w:r>
      <w:r w:rsidRPr="00F153F6">
        <w:rPr>
          <w:rFonts w:ascii="Times New Roman" w:hAnsi="Times New Roman" w:cs="Times New Roman"/>
          <w:sz w:val="24"/>
          <w:szCs w:val="24"/>
        </w:rPr>
        <w:t>.</w:t>
      </w:r>
    </w:p>
    <w:p w14:paraId="48BAEDC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Dzhengiz, T. (2020). A Literature Review of Inter-Organizational Sustainability Learning. </w:t>
      </w:r>
      <w:r w:rsidRPr="00F153F6">
        <w:rPr>
          <w:rFonts w:ascii="Times New Roman" w:hAnsi="Times New Roman" w:cs="Times New Roman"/>
          <w:i/>
          <w:iCs/>
          <w:sz w:val="24"/>
          <w:szCs w:val="24"/>
        </w:rPr>
        <w:t>Sustainability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12</w:t>
      </w:r>
      <w:r w:rsidRPr="00F153F6">
        <w:rPr>
          <w:rFonts w:ascii="Times New Roman" w:hAnsi="Times New Roman" w:cs="Times New Roman"/>
          <w:sz w:val="24"/>
          <w:szCs w:val="24"/>
        </w:rPr>
        <w:t>(12), 4876. https://doi.org/10.3390/su12124876</w:t>
      </w:r>
    </w:p>
    <w:p w14:paraId="463FCBB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Easterby‐Smith, M., Lyles, M. A., &amp; Tsang, E. W. K. (2008). Inter-Organizational Knowledge Transfer: Current Themes and Future Prospects. </w:t>
      </w:r>
      <w:r w:rsidRPr="00F153F6">
        <w:rPr>
          <w:rFonts w:ascii="Times New Roman" w:hAnsi="Times New Roman" w:cs="Times New Roman"/>
          <w:i/>
          <w:iCs/>
          <w:sz w:val="24"/>
          <w:szCs w:val="24"/>
        </w:rPr>
        <w:t>Journal of Management Studies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45</w:t>
      </w:r>
      <w:r w:rsidRPr="00F153F6">
        <w:rPr>
          <w:rFonts w:ascii="Times New Roman" w:hAnsi="Times New Roman" w:cs="Times New Roman"/>
          <w:sz w:val="24"/>
          <w:szCs w:val="24"/>
        </w:rPr>
        <w:t>(4), 677–690. https://doi.org/10.1111/j.1467-6486.2008.00773.x</w:t>
      </w:r>
    </w:p>
    <w:p w14:paraId="1876498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Ebers, M. (2015). </w:t>
      </w:r>
      <w:r w:rsidRPr="00F153F6">
        <w:rPr>
          <w:rFonts w:ascii="Times New Roman" w:hAnsi="Times New Roman" w:cs="Times New Roman"/>
          <w:i/>
          <w:iCs/>
          <w:sz w:val="24"/>
          <w:szCs w:val="24"/>
        </w:rPr>
        <w:t>Interorganizational Relationships and Networks—ScienceDirect</w:t>
      </w:r>
      <w:r w:rsidRPr="00F153F6">
        <w:rPr>
          <w:rFonts w:ascii="Times New Roman" w:hAnsi="Times New Roman" w:cs="Times New Roman"/>
          <w:sz w:val="24"/>
          <w:szCs w:val="24"/>
        </w:rPr>
        <w:t>. https://www.sciencedirect.com/science/article/pii/B9780080970868731254</w:t>
      </w:r>
    </w:p>
    <w:p w14:paraId="0CF0708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Edwards, R., &amp; Holland, J. (2013). </w:t>
      </w:r>
      <w:r w:rsidRPr="00F153F6">
        <w:rPr>
          <w:rFonts w:ascii="Times New Roman" w:hAnsi="Times New Roman" w:cs="Times New Roman"/>
          <w:i/>
          <w:iCs/>
          <w:sz w:val="24"/>
          <w:szCs w:val="24"/>
        </w:rPr>
        <w:t>What is Qualitative Interviewing?</w:t>
      </w:r>
      <w:r w:rsidRPr="00F153F6">
        <w:rPr>
          <w:rFonts w:ascii="Times New Roman" w:hAnsi="Times New Roman" w:cs="Times New Roman"/>
          <w:sz w:val="24"/>
          <w:szCs w:val="24"/>
        </w:rPr>
        <w:t xml:space="preserve"> A&amp;C Black.</w:t>
      </w:r>
    </w:p>
    <w:p w14:paraId="7F1AB24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Edwards‐Schachter, M. E., Matti, C. E., &amp; Alcántara, E. (2012). Fostering Quality of Life through Social Innovation: A Living Lab Methodology Study Case. </w:t>
      </w:r>
      <w:r w:rsidRPr="00F153F6">
        <w:rPr>
          <w:rFonts w:ascii="Times New Roman" w:hAnsi="Times New Roman" w:cs="Times New Roman"/>
          <w:i/>
          <w:iCs/>
          <w:sz w:val="24"/>
          <w:szCs w:val="24"/>
        </w:rPr>
        <w:t>Review of Policy Research</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29</w:t>
      </w:r>
      <w:r w:rsidRPr="00F153F6">
        <w:rPr>
          <w:rFonts w:ascii="Times New Roman" w:hAnsi="Times New Roman" w:cs="Times New Roman"/>
          <w:sz w:val="24"/>
          <w:szCs w:val="24"/>
        </w:rPr>
        <w:t>(6), 672–692. https://doi.org/10.1111/j.1541-1338.2012.00588.x</w:t>
      </w:r>
    </w:p>
    <w:p w14:paraId="3E354A1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Eisenhardt, K. M., &amp; Graebner, M. E. (2007). Theory Building from Cases: Opportunities and Challenges. </w:t>
      </w:r>
      <w:r w:rsidRPr="00F153F6">
        <w:rPr>
          <w:rFonts w:ascii="Times New Roman" w:hAnsi="Times New Roman" w:cs="Times New Roman"/>
          <w:i/>
          <w:iCs/>
          <w:sz w:val="24"/>
          <w:szCs w:val="24"/>
        </w:rPr>
        <w:t>The Academy of Management Journal</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50</w:t>
      </w:r>
      <w:r w:rsidRPr="00F153F6">
        <w:rPr>
          <w:rFonts w:ascii="Times New Roman" w:hAnsi="Times New Roman" w:cs="Times New Roman"/>
          <w:sz w:val="24"/>
          <w:szCs w:val="24"/>
        </w:rPr>
        <w:t>(1), 25–32. JSTOR. https://doi.org/10.2307/20159839</w:t>
      </w:r>
    </w:p>
    <w:p w14:paraId="1D67621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Elmquist, M., Ollila, S., &amp; Yström, A. (2016). Beyond intermediation: The open innovation arena as an actor enabling joint knowledge creation. </w:t>
      </w:r>
      <w:r w:rsidRPr="00F153F6">
        <w:rPr>
          <w:rFonts w:ascii="Times New Roman" w:hAnsi="Times New Roman" w:cs="Times New Roman"/>
          <w:i/>
          <w:iCs/>
          <w:sz w:val="24"/>
          <w:szCs w:val="24"/>
        </w:rPr>
        <w:t xml:space="preserve">International Journal of </w:t>
      </w:r>
      <w:r w:rsidRPr="00F153F6">
        <w:rPr>
          <w:rFonts w:ascii="Times New Roman" w:hAnsi="Times New Roman" w:cs="Times New Roman"/>
          <w:i/>
          <w:iCs/>
          <w:sz w:val="24"/>
          <w:szCs w:val="24"/>
        </w:rPr>
        <w:lastRenderedPageBreak/>
        <w:t>Technology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72</w:t>
      </w:r>
      <w:r w:rsidRPr="00F153F6">
        <w:rPr>
          <w:rFonts w:ascii="Times New Roman" w:hAnsi="Times New Roman" w:cs="Times New Roman"/>
          <w:sz w:val="24"/>
          <w:szCs w:val="24"/>
        </w:rPr>
        <w:t>(4), 273–295. Scopus. https://doi.org/10.1504/IJTM.2016.081573</w:t>
      </w:r>
    </w:p>
    <w:p w14:paraId="222AE61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Emiliano de Souza, D., Favoretto, C., &amp; Carvalho, M. M. (2022). Knowledge Management, Absorptive and Dynamic Capacities and Project Success: A Review and Framework. </w:t>
      </w:r>
      <w:r w:rsidRPr="00F153F6">
        <w:rPr>
          <w:rFonts w:ascii="Times New Roman" w:hAnsi="Times New Roman" w:cs="Times New Roman"/>
          <w:i/>
          <w:iCs/>
          <w:sz w:val="24"/>
          <w:szCs w:val="24"/>
        </w:rPr>
        <w:t>Engineering Management Journal</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34</w:t>
      </w:r>
      <w:r w:rsidRPr="00F153F6">
        <w:rPr>
          <w:rFonts w:ascii="Times New Roman" w:hAnsi="Times New Roman" w:cs="Times New Roman"/>
          <w:sz w:val="24"/>
          <w:szCs w:val="24"/>
        </w:rPr>
        <w:t>(1), 50–69. https://doi.org/10.1080/10429247.2020.1840876</w:t>
      </w:r>
    </w:p>
    <w:p w14:paraId="62CAFDF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Engeström, Y., Miettinen, R., &amp; Punamäki, R.-L. (1999). </w:t>
      </w:r>
      <w:r w:rsidRPr="00F153F6">
        <w:rPr>
          <w:rFonts w:ascii="Times New Roman" w:hAnsi="Times New Roman" w:cs="Times New Roman"/>
          <w:i/>
          <w:iCs/>
          <w:sz w:val="24"/>
          <w:szCs w:val="24"/>
        </w:rPr>
        <w:t>Perspectives on Activity Theory</w:t>
      </w:r>
      <w:r w:rsidRPr="00F153F6">
        <w:rPr>
          <w:rFonts w:ascii="Times New Roman" w:hAnsi="Times New Roman" w:cs="Times New Roman"/>
          <w:sz w:val="24"/>
          <w:szCs w:val="24"/>
        </w:rPr>
        <w:t>. Cambridge University Press.</w:t>
      </w:r>
    </w:p>
    <w:p w14:paraId="207DCA3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ENoLL. (2016). </w:t>
      </w:r>
      <w:r w:rsidRPr="00F153F6">
        <w:rPr>
          <w:rFonts w:ascii="Times New Roman" w:hAnsi="Times New Roman" w:cs="Times New Roman"/>
          <w:i/>
          <w:iCs/>
          <w:sz w:val="24"/>
          <w:szCs w:val="24"/>
        </w:rPr>
        <w:t>Introducing ENoLL and its Living Lab community</w:t>
      </w:r>
      <w:r w:rsidRPr="00F153F6">
        <w:rPr>
          <w:rFonts w:ascii="Times New Roman" w:hAnsi="Times New Roman" w:cs="Times New Roman"/>
          <w:sz w:val="24"/>
          <w:szCs w:val="24"/>
        </w:rPr>
        <w:t>. https://issuu.com/enoll/docs/enoll-print</w:t>
      </w:r>
    </w:p>
    <w:p w14:paraId="14C47A6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ENoLL. (2022). </w:t>
      </w:r>
      <w:r w:rsidRPr="00F153F6">
        <w:rPr>
          <w:rFonts w:ascii="Times New Roman" w:hAnsi="Times New Roman" w:cs="Times New Roman"/>
          <w:i/>
          <w:iCs/>
          <w:sz w:val="24"/>
          <w:szCs w:val="24"/>
        </w:rPr>
        <w:t>ENoLL Membership Application Guidelines</w:t>
      </w:r>
      <w:r w:rsidRPr="00F153F6">
        <w:rPr>
          <w:rFonts w:ascii="Times New Roman" w:hAnsi="Times New Roman" w:cs="Times New Roman"/>
          <w:sz w:val="24"/>
          <w:szCs w:val="24"/>
        </w:rPr>
        <w:t>. European Network of Living Labs. https://enoll.org/wp-content/uploads/2021/12/application-guidelines-wave-2022.pdf</w:t>
      </w:r>
    </w:p>
    <w:p w14:paraId="5097842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ENoLL, En. (2019). </w:t>
      </w:r>
      <w:r w:rsidRPr="00F153F6">
        <w:rPr>
          <w:rFonts w:ascii="Times New Roman" w:hAnsi="Times New Roman" w:cs="Times New Roman"/>
          <w:i/>
          <w:iCs/>
          <w:sz w:val="24"/>
          <w:szCs w:val="24"/>
        </w:rPr>
        <w:t>What are Living Labs</w:t>
      </w:r>
      <w:r w:rsidRPr="00F153F6">
        <w:rPr>
          <w:rFonts w:ascii="Times New Roman" w:hAnsi="Times New Roman" w:cs="Times New Roman"/>
          <w:sz w:val="24"/>
          <w:szCs w:val="24"/>
        </w:rPr>
        <w:t>. European Network of Living Labs. https://enoll.org/about-us/what-are-living-labs/</w:t>
      </w:r>
    </w:p>
    <w:p w14:paraId="5FB5866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Erhardt, N., Gibbs, J., Martin-Rios, C., &amp; Sherblom, J. (2016). Exploring Affordances of Email for Team Learning Over Time. </w:t>
      </w:r>
      <w:r w:rsidRPr="00F153F6">
        <w:rPr>
          <w:rFonts w:ascii="Times New Roman" w:hAnsi="Times New Roman" w:cs="Times New Roman"/>
          <w:i/>
          <w:iCs/>
          <w:sz w:val="24"/>
          <w:szCs w:val="24"/>
        </w:rPr>
        <w:t>Small Group Research</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47</w:t>
      </w:r>
      <w:r w:rsidRPr="00F153F6">
        <w:rPr>
          <w:rFonts w:ascii="Times New Roman" w:hAnsi="Times New Roman" w:cs="Times New Roman"/>
          <w:sz w:val="24"/>
          <w:szCs w:val="24"/>
        </w:rPr>
        <w:t>(3), 243–278. https://doi.org/10.1177/1046496416635823</w:t>
      </w:r>
    </w:p>
    <w:p w14:paraId="51F162F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Eriksson, M., Niitamo, V.-P., Kulkki, S., &amp; Hribernik, K. A. (2006). Living labs as a multi-contextual R D methodology. </w:t>
      </w:r>
      <w:r w:rsidRPr="00F153F6">
        <w:rPr>
          <w:rFonts w:ascii="Times New Roman" w:hAnsi="Times New Roman" w:cs="Times New Roman"/>
          <w:i/>
          <w:iCs/>
          <w:sz w:val="24"/>
          <w:szCs w:val="24"/>
        </w:rPr>
        <w:t>2006 IEEE International Technology Management Conference (ICE)</w:t>
      </w:r>
      <w:r w:rsidRPr="00F153F6">
        <w:rPr>
          <w:rFonts w:ascii="Times New Roman" w:hAnsi="Times New Roman" w:cs="Times New Roman"/>
          <w:sz w:val="24"/>
          <w:szCs w:val="24"/>
        </w:rPr>
        <w:t>, 1–8. https://doi.org/10.1109/ICE.2006.7477082</w:t>
      </w:r>
    </w:p>
    <w:p w14:paraId="346ED09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Escribano, A., Fosfuri, A., &amp; Tribó, J. A. (2009). Managing external knowledge flows: The moderating role of absorptive capacity. </w:t>
      </w:r>
      <w:r w:rsidRPr="00F153F6">
        <w:rPr>
          <w:rFonts w:ascii="Times New Roman" w:hAnsi="Times New Roman" w:cs="Times New Roman"/>
          <w:i/>
          <w:iCs/>
          <w:sz w:val="24"/>
          <w:szCs w:val="24"/>
        </w:rPr>
        <w:t>Research Policy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38</w:t>
      </w:r>
      <w:r w:rsidRPr="00F153F6">
        <w:rPr>
          <w:rFonts w:ascii="Times New Roman" w:hAnsi="Times New Roman" w:cs="Times New Roman"/>
          <w:sz w:val="24"/>
          <w:szCs w:val="24"/>
        </w:rPr>
        <w:t>(1), 96–105. https://doi.org/10.1016/j.respol.2008.10.022</w:t>
      </w:r>
    </w:p>
    <w:p w14:paraId="1A44D41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European Commission. (2015). </w:t>
      </w:r>
      <w:r w:rsidRPr="00F153F6">
        <w:rPr>
          <w:rFonts w:ascii="Times New Roman" w:hAnsi="Times New Roman" w:cs="Times New Roman"/>
          <w:i/>
          <w:iCs/>
          <w:sz w:val="24"/>
          <w:szCs w:val="24"/>
        </w:rPr>
        <w:t>HORIZON30—EU Research Framework Programmes</w:t>
      </w:r>
      <w:r w:rsidRPr="00F153F6">
        <w:rPr>
          <w:rFonts w:ascii="Times New Roman" w:hAnsi="Times New Roman" w:cs="Times New Roman"/>
          <w:sz w:val="24"/>
          <w:szCs w:val="24"/>
        </w:rPr>
        <w:t>.</w:t>
      </w:r>
    </w:p>
    <w:p w14:paraId="5D889E9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lastRenderedPageBreak/>
        <w:t xml:space="preserve">European Commission. (2017). </w:t>
      </w:r>
      <w:r w:rsidRPr="00F153F6">
        <w:rPr>
          <w:rFonts w:ascii="Times New Roman" w:hAnsi="Times New Roman" w:cs="Times New Roman"/>
          <w:i/>
          <w:iCs/>
          <w:sz w:val="24"/>
          <w:szCs w:val="24"/>
        </w:rPr>
        <w:t>Taking stock and re-examining the role of science communication | Programme | H2020</w:t>
      </w:r>
      <w:r w:rsidRPr="00F153F6">
        <w:rPr>
          <w:rFonts w:ascii="Times New Roman" w:hAnsi="Times New Roman" w:cs="Times New Roman"/>
          <w:sz w:val="24"/>
          <w:szCs w:val="24"/>
        </w:rPr>
        <w:t>. CORDIS | European Commission. https://cordis.europa.eu/programme/id/H2020_SwafS-19-2018-2019</w:t>
      </w:r>
    </w:p>
    <w:p w14:paraId="5D39D25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European Union. (2016). </w:t>
      </w:r>
      <w:r w:rsidRPr="00F153F6">
        <w:rPr>
          <w:rFonts w:ascii="Times New Roman" w:hAnsi="Times New Roman" w:cs="Times New Roman"/>
          <w:i/>
          <w:iCs/>
          <w:sz w:val="24"/>
          <w:szCs w:val="24"/>
        </w:rPr>
        <w:t>Goals of research and innovation policy</w:t>
      </w:r>
      <w:r w:rsidRPr="00F153F6">
        <w:rPr>
          <w:rFonts w:ascii="Times New Roman" w:hAnsi="Times New Roman" w:cs="Times New Roman"/>
          <w:sz w:val="24"/>
          <w:szCs w:val="24"/>
        </w:rPr>
        <w:t xml:space="preserve"> [Text]. European Commission - European Commission. https://ec.europa.eu/info/research-and-innovation/strategy/goals-research-and-innovation-policy_en</w:t>
      </w:r>
    </w:p>
    <w:p w14:paraId="0E471D4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Fagerholm, F., Sanchez Guinea, A., Borenstein, J., &amp; Münch, J. (2014). Onboarding in Open Source Projects. </w:t>
      </w:r>
      <w:r w:rsidRPr="00F153F6">
        <w:rPr>
          <w:rFonts w:ascii="Times New Roman" w:hAnsi="Times New Roman" w:cs="Times New Roman"/>
          <w:i/>
          <w:iCs/>
          <w:sz w:val="24"/>
          <w:szCs w:val="24"/>
        </w:rPr>
        <w:t>IEEE Software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31</w:t>
      </w:r>
      <w:r w:rsidRPr="00F153F6">
        <w:rPr>
          <w:rFonts w:ascii="Times New Roman" w:hAnsi="Times New Roman" w:cs="Times New Roman"/>
          <w:sz w:val="24"/>
          <w:szCs w:val="24"/>
        </w:rPr>
        <w:t>(6), 54–61. https://doi.org/10.1109/MS.2014.107</w:t>
      </w:r>
    </w:p>
    <w:p w14:paraId="593A5C0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Fang, S.-C., Chen-Wei, Y., &amp; Wen-Yen, H. (2013). Inter-organizational knowledge transfer: The perspective of knowledge governance. </w:t>
      </w:r>
      <w:r w:rsidRPr="00F153F6">
        <w:rPr>
          <w:rFonts w:ascii="Times New Roman" w:hAnsi="Times New Roman" w:cs="Times New Roman"/>
          <w:i/>
          <w:iCs/>
          <w:sz w:val="24"/>
          <w:szCs w:val="24"/>
        </w:rPr>
        <w:t>Journal of Knowledge Management; Kempston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17</w:t>
      </w:r>
      <w:r w:rsidRPr="00F153F6">
        <w:rPr>
          <w:rFonts w:ascii="Times New Roman" w:hAnsi="Times New Roman" w:cs="Times New Roman"/>
          <w:sz w:val="24"/>
          <w:szCs w:val="24"/>
        </w:rPr>
        <w:t>(6), 943–957. http://dx.doi.org.sheffield.idm.oclc.org/10.1108/JKM-04-2013-0138</w:t>
      </w:r>
    </w:p>
    <w:p w14:paraId="2EE90D0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Faraj, S., Jarvenpaa, S. L., &amp; Majchrzak, A. (2011). Knowledge Collaboration in Online Communities. </w:t>
      </w:r>
      <w:r w:rsidRPr="00F153F6">
        <w:rPr>
          <w:rFonts w:ascii="Times New Roman" w:hAnsi="Times New Roman" w:cs="Times New Roman"/>
          <w:i/>
          <w:iCs/>
          <w:sz w:val="24"/>
          <w:szCs w:val="24"/>
        </w:rPr>
        <w:t>Organization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22</w:t>
      </w:r>
      <w:r w:rsidRPr="00F153F6">
        <w:rPr>
          <w:rFonts w:ascii="Times New Roman" w:hAnsi="Times New Roman" w:cs="Times New Roman"/>
          <w:sz w:val="24"/>
          <w:szCs w:val="24"/>
        </w:rPr>
        <w:t>(5), 1224–1239. https://doi.org/10.1287/orsc.1100.0614</w:t>
      </w:r>
    </w:p>
    <w:p w14:paraId="3DA4830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Farida, I., Tjakraatmadja, J. H., Firman, A., &amp; Basuki, S. (2015). A conceptual model of Open Access Institutional Repository in Indonesia academic libraries: Viewed from knowledge management perspective. </w:t>
      </w:r>
      <w:r w:rsidRPr="00F153F6">
        <w:rPr>
          <w:rFonts w:ascii="Times New Roman" w:hAnsi="Times New Roman" w:cs="Times New Roman"/>
          <w:i/>
          <w:iCs/>
          <w:sz w:val="24"/>
          <w:szCs w:val="24"/>
        </w:rPr>
        <w:t>Library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36</w:t>
      </w:r>
      <w:r w:rsidRPr="00F153F6">
        <w:rPr>
          <w:rFonts w:ascii="Times New Roman" w:hAnsi="Times New Roman" w:cs="Times New Roman"/>
          <w:sz w:val="24"/>
          <w:szCs w:val="24"/>
        </w:rPr>
        <w:t>(1/2), 168–181. https://doi.org/10.1108/LM-03-2014-0038</w:t>
      </w:r>
    </w:p>
    <w:p w14:paraId="6B438F1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Favoretto, C., &amp; Carvalho, M. M. de. (2021). An analysis of the relationship between knowledge management and project performance: Literature review and conceptual framework. </w:t>
      </w:r>
      <w:r w:rsidRPr="00F153F6">
        <w:rPr>
          <w:rFonts w:ascii="Times New Roman" w:hAnsi="Times New Roman" w:cs="Times New Roman"/>
          <w:i/>
          <w:iCs/>
          <w:sz w:val="24"/>
          <w:szCs w:val="24"/>
        </w:rPr>
        <w:t>Gestão &amp; Produção</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28</w:t>
      </w:r>
      <w:r w:rsidRPr="00F153F6">
        <w:rPr>
          <w:rFonts w:ascii="Times New Roman" w:hAnsi="Times New Roman" w:cs="Times New Roman"/>
          <w:sz w:val="24"/>
          <w:szCs w:val="24"/>
        </w:rPr>
        <w:t>, e4888. https://doi.org/10.1590/0104-530X4888-20</w:t>
      </w:r>
    </w:p>
    <w:p w14:paraId="19D44BC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Fayard, A.-L., &amp; Weeks, J. (2014). Affordances for practice. </w:t>
      </w:r>
      <w:r w:rsidRPr="00F153F6">
        <w:rPr>
          <w:rFonts w:ascii="Times New Roman" w:hAnsi="Times New Roman" w:cs="Times New Roman"/>
          <w:i/>
          <w:iCs/>
          <w:sz w:val="24"/>
          <w:szCs w:val="24"/>
        </w:rPr>
        <w:t>Information and Organization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24</w:t>
      </w:r>
      <w:r w:rsidRPr="00F153F6">
        <w:rPr>
          <w:rFonts w:ascii="Times New Roman" w:hAnsi="Times New Roman" w:cs="Times New Roman"/>
          <w:sz w:val="24"/>
          <w:szCs w:val="24"/>
        </w:rPr>
        <w:t>(4), 236–249. https://doi.org/10.1016/j.infoandorg.2014.10.001</w:t>
      </w:r>
    </w:p>
    <w:p w14:paraId="006AF72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lastRenderedPageBreak/>
        <w:t xml:space="preserve">Fazey, I., Bunse, L., Msika, J., Pinke, M., Preedy, K., Evely, A. C., Lambert, E., Hastings, E., Morris, S., &amp; Reed, M. S. (2014). Evaluating knowledge exchange in interdisciplinary and multi-stakeholder research. </w:t>
      </w:r>
      <w:r w:rsidRPr="00F153F6">
        <w:rPr>
          <w:rFonts w:ascii="Times New Roman" w:hAnsi="Times New Roman" w:cs="Times New Roman"/>
          <w:i/>
          <w:iCs/>
          <w:sz w:val="24"/>
          <w:szCs w:val="24"/>
        </w:rPr>
        <w:t>Global Environmental Change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25</w:t>
      </w:r>
      <w:r w:rsidRPr="00F153F6">
        <w:rPr>
          <w:rFonts w:ascii="Times New Roman" w:hAnsi="Times New Roman" w:cs="Times New Roman"/>
          <w:sz w:val="24"/>
          <w:szCs w:val="24"/>
        </w:rPr>
        <w:t>, 204–220. https://doi.org/10.1016/j.gloenvcha.2013.12.012</w:t>
      </w:r>
    </w:p>
    <w:p w14:paraId="2298EE1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Fazey, I., Evely, A. C., Reed, M. S., Stringer, L. C., Kruijsen, J., White, P. C. L., Newsham, A., Jin, L., Cortazzi, M., Phillipson, J., Blackstock, K., Entwistle, N., Sheate, W., Armstrong, F., Blackmore, C., Fazey, J., Ingram, J., Gregson, J., Lowe, P., … Trevitt, C. (2013). Knowledge exchange: A review and research agenda for environmental management. </w:t>
      </w:r>
      <w:r w:rsidRPr="00F153F6">
        <w:rPr>
          <w:rFonts w:ascii="Times New Roman" w:hAnsi="Times New Roman" w:cs="Times New Roman"/>
          <w:i/>
          <w:iCs/>
          <w:sz w:val="24"/>
          <w:szCs w:val="24"/>
        </w:rPr>
        <w:t>Environmental Conservation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40</w:t>
      </w:r>
      <w:r w:rsidRPr="00F153F6">
        <w:rPr>
          <w:rFonts w:ascii="Times New Roman" w:hAnsi="Times New Roman" w:cs="Times New Roman"/>
          <w:sz w:val="24"/>
          <w:szCs w:val="24"/>
        </w:rPr>
        <w:t>(1), 19–36. https://doi.org/10.1017/S037689291200029X</w:t>
      </w:r>
    </w:p>
    <w:p w14:paraId="5FF3789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Feldman, M. S., &amp; Orlikowski, W. J. (2011). Theorizing Practice and Practicing Theory. </w:t>
      </w:r>
      <w:r w:rsidRPr="00F153F6">
        <w:rPr>
          <w:rFonts w:ascii="Times New Roman" w:hAnsi="Times New Roman" w:cs="Times New Roman"/>
          <w:i/>
          <w:iCs/>
          <w:sz w:val="24"/>
          <w:szCs w:val="24"/>
        </w:rPr>
        <w:t>Organization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22</w:t>
      </w:r>
      <w:r w:rsidRPr="00F153F6">
        <w:rPr>
          <w:rFonts w:ascii="Times New Roman" w:hAnsi="Times New Roman" w:cs="Times New Roman"/>
          <w:sz w:val="24"/>
          <w:szCs w:val="24"/>
        </w:rPr>
        <w:t>(5), 1240–1253. https://doi.org/10.1287/orsc.1100.0612</w:t>
      </w:r>
    </w:p>
    <w:p w14:paraId="1A655A9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Feldman, M. S., Pentland, B. T., D’Adderio, L., &amp; Lazaric, N. (2016). Beyond Routines as Things: Introduction to the Special Issue on Routine Dynamics. </w:t>
      </w:r>
      <w:r w:rsidRPr="00F153F6">
        <w:rPr>
          <w:rFonts w:ascii="Times New Roman" w:hAnsi="Times New Roman" w:cs="Times New Roman"/>
          <w:i/>
          <w:iCs/>
          <w:sz w:val="24"/>
          <w:szCs w:val="24"/>
        </w:rPr>
        <w:t>Organization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27</w:t>
      </w:r>
      <w:r w:rsidRPr="00F153F6">
        <w:rPr>
          <w:rFonts w:ascii="Times New Roman" w:hAnsi="Times New Roman" w:cs="Times New Roman"/>
          <w:sz w:val="24"/>
          <w:szCs w:val="24"/>
        </w:rPr>
        <w:t>(3), 505–513. https://doi.org/10.1287/orsc.2016.1070</w:t>
      </w:r>
    </w:p>
    <w:p w14:paraId="3D4FF61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Felin, T., &amp; Zenger, T. R. (2014). Closed or open innovation? Problem solving and the governance choice. </w:t>
      </w:r>
      <w:r w:rsidRPr="00F153F6">
        <w:rPr>
          <w:rFonts w:ascii="Times New Roman" w:hAnsi="Times New Roman" w:cs="Times New Roman"/>
          <w:i/>
          <w:iCs/>
          <w:sz w:val="24"/>
          <w:szCs w:val="24"/>
        </w:rPr>
        <w:t>Research Policy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43</w:t>
      </w:r>
      <w:r w:rsidRPr="00F153F6">
        <w:rPr>
          <w:rFonts w:ascii="Times New Roman" w:hAnsi="Times New Roman" w:cs="Times New Roman"/>
          <w:sz w:val="24"/>
          <w:szCs w:val="24"/>
        </w:rPr>
        <w:t>(5), 914–925. https://doi.org/10.1016/j.respol.2013.09.006</w:t>
      </w:r>
    </w:p>
    <w:p w14:paraId="3FA1B26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Fernández, W. D. (2005). </w:t>
      </w:r>
      <w:r w:rsidRPr="00F153F6">
        <w:rPr>
          <w:rFonts w:ascii="Times New Roman" w:hAnsi="Times New Roman" w:cs="Times New Roman"/>
          <w:i/>
          <w:iCs/>
          <w:sz w:val="24"/>
          <w:szCs w:val="24"/>
        </w:rPr>
        <w:t>The Grounded Theory Method and Case Study Data in IS Research: Issues and Design</w:t>
      </w:r>
      <w:r w:rsidRPr="00F153F6">
        <w:rPr>
          <w:rFonts w:ascii="Times New Roman" w:hAnsi="Times New Roman" w:cs="Times New Roman"/>
          <w:sz w:val="24"/>
          <w:szCs w:val="24"/>
        </w:rPr>
        <w:t>.</w:t>
      </w:r>
    </w:p>
    <w:p w14:paraId="394589D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Ferreira, J., Mueller, J., &amp; Papa, A. (2018). Strategic knowledge management: Theory, practice and future challenges. </w:t>
      </w:r>
      <w:r w:rsidRPr="00F153F6">
        <w:rPr>
          <w:rFonts w:ascii="Times New Roman" w:hAnsi="Times New Roman" w:cs="Times New Roman"/>
          <w:i/>
          <w:iCs/>
          <w:sz w:val="24"/>
          <w:szCs w:val="24"/>
        </w:rPr>
        <w:t>Journal of Knowledge Management</w:t>
      </w:r>
      <w:r w:rsidRPr="00F153F6">
        <w:rPr>
          <w:rFonts w:ascii="Times New Roman" w:hAnsi="Times New Roman" w:cs="Times New Roman"/>
          <w:sz w:val="24"/>
          <w:szCs w:val="24"/>
        </w:rPr>
        <w:t>. https://doi.org/10.1108/JKM-07-2018-0461</w:t>
      </w:r>
    </w:p>
    <w:p w14:paraId="3BC5929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Følstad, A. (2008). LIVING LABS FOR INNOVATION AND DEVELOPMENT OF INFORMATION AND COMMUNICATION TECHNOLOGY: A LITERATURE </w:t>
      </w:r>
      <w:r w:rsidRPr="00F153F6">
        <w:rPr>
          <w:rFonts w:ascii="Times New Roman" w:hAnsi="Times New Roman" w:cs="Times New Roman"/>
          <w:sz w:val="24"/>
          <w:szCs w:val="24"/>
        </w:rPr>
        <w:lastRenderedPageBreak/>
        <w:t xml:space="preserve">REVIEW. </w:t>
      </w:r>
      <w:r w:rsidRPr="00F153F6">
        <w:rPr>
          <w:rFonts w:ascii="Times New Roman" w:hAnsi="Times New Roman" w:cs="Times New Roman"/>
          <w:i/>
          <w:iCs/>
          <w:sz w:val="24"/>
          <w:szCs w:val="24"/>
        </w:rPr>
        <w:t>Living Labs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10</w:t>
      </w:r>
      <w:r w:rsidRPr="00F153F6">
        <w:rPr>
          <w:rFonts w:ascii="Times New Roman" w:hAnsi="Times New Roman" w:cs="Times New Roman"/>
          <w:sz w:val="24"/>
          <w:szCs w:val="24"/>
        </w:rPr>
        <w:t>, 33.</w:t>
      </w:r>
    </w:p>
    <w:p w14:paraId="3F330B11" w14:textId="7DB9D686" w:rsidR="007C6057" w:rsidRPr="00F153F6" w:rsidRDefault="007C6057" w:rsidP="007C6057">
      <w:pPr>
        <w:spacing w:after="0" w:line="480" w:lineRule="auto"/>
        <w:ind w:left="720" w:hanging="720"/>
        <w:rPr>
          <w:rFonts w:ascii="Times New Roman" w:hAnsi="Times New Roman" w:cs="Times New Roman"/>
          <w:sz w:val="24"/>
          <w:szCs w:val="24"/>
          <w:lang w:eastAsia="zh-CN"/>
        </w:rPr>
      </w:pPr>
      <w:r w:rsidRPr="00F153F6">
        <w:rPr>
          <w:rFonts w:ascii="Times New Roman" w:hAnsi="Times New Roman" w:cs="Times New Roman"/>
          <w:sz w:val="24"/>
          <w:szCs w:val="24"/>
          <w:lang w:eastAsia="zh-CN"/>
        </w:rPr>
        <w:t>Francisco, R., &amp; Klein, A. (2018). Knowledge Workers on the move: Understanding how they use Mobile ICT to create and share Knowledge. In Academy of Management Proceedings (Vol. 2018, No. 1, p. 14966). Briarcliff Manor, NY 10510: Academy of Management.</w:t>
      </w:r>
    </w:p>
    <w:p w14:paraId="2596498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Frankfort-Nachmias, C., &amp; Nachmias, D. (2008). </w:t>
      </w:r>
      <w:r w:rsidRPr="00F153F6">
        <w:rPr>
          <w:rFonts w:ascii="Times New Roman" w:hAnsi="Times New Roman" w:cs="Times New Roman"/>
          <w:i/>
          <w:iCs/>
          <w:sz w:val="24"/>
          <w:szCs w:val="24"/>
        </w:rPr>
        <w:t>Research methods in the social sciences</w:t>
      </w:r>
      <w:r w:rsidRPr="00F153F6">
        <w:rPr>
          <w:rFonts w:ascii="Times New Roman" w:hAnsi="Times New Roman" w:cs="Times New Roman"/>
          <w:sz w:val="24"/>
          <w:szCs w:val="24"/>
        </w:rPr>
        <w:t>. Worth Publishers.</w:t>
      </w:r>
    </w:p>
    <w:p w14:paraId="118FBE9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Franz, Y. (2015). Designing social living labs in urban research. </w:t>
      </w:r>
      <w:r w:rsidRPr="00F153F6">
        <w:rPr>
          <w:rFonts w:ascii="Times New Roman" w:hAnsi="Times New Roman" w:cs="Times New Roman"/>
          <w:i/>
          <w:iCs/>
          <w:sz w:val="24"/>
          <w:szCs w:val="24"/>
        </w:rPr>
        <w:t>Info</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17</w:t>
      </w:r>
      <w:r w:rsidRPr="00F153F6">
        <w:rPr>
          <w:rFonts w:ascii="Times New Roman" w:hAnsi="Times New Roman" w:cs="Times New Roman"/>
          <w:sz w:val="24"/>
          <w:szCs w:val="24"/>
        </w:rPr>
        <w:t>(4), 53–66. https://doi.org/10.1108/info-01-2015-0008</w:t>
      </w:r>
    </w:p>
    <w:p w14:paraId="528FC56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Fu, J. S., Cooper, K. R., &amp; Shumate, M. (2019). Use and Affordances of ICTs in Interorganizational Collaboration: An Exploratory Study of ICTs in Nonprofit Partnerships. </w:t>
      </w:r>
      <w:r w:rsidRPr="00F153F6">
        <w:rPr>
          <w:rFonts w:ascii="Times New Roman" w:hAnsi="Times New Roman" w:cs="Times New Roman"/>
          <w:i/>
          <w:iCs/>
          <w:sz w:val="24"/>
          <w:szCs w:val="24"/>
        </w:rPr>
        <w:t>Management Communication Quarterly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33</w:t>
      </w:r>
      <w:r w:rsidRPr="00F153F6">
        <w:rPr>
          <w:rFonts w:ascii="Times New Roman" w:hAnsi="Times New Roman" w:cs="Times New Roman"/>
          <w:sz w:val="24"/>
          <w:szCs w:val="24"/>
        </w:rPr>
        <w:t>(2), 219–237. https://doi.org/10.1177/0893318918824041</w:t>
      </w:r>
    </w:p>
    <w:p w14:paraId="7094E7B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Fuenfschilling, L., &amp; Truffer, B. (2016). The interplay of institutions, actors and technologies in socio-technical systems—An analysis of transformations in the Australian urban water sector. </w:t>
      </w:r>
      <w:r w:rsidRPr="00F153F6">
        <w:rPr>
          <w:rFonts w:ascii="Times New Roman" w:hAnsi="Times New Roman" w:cs="Times New Roman"/>
          <w:i/>
          <w:iCs/>
          <w:sz w:val="24"/>
          <w:szCs w:val="24"/>
        </w:rPr>
        <w:t>Technological Forecasting and Social Change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103</w:t>
      </w:r>
      <w:r w:rsidRPr="00F153F6">
        <w:rPr>
          <w:rFonts w:ascii="Times New Roman" w:hAnsi="Times New Roman" w:cs="Times New Roman"/>
          <w:sz w:val="24"/>
          <w:szCs w:val="24"/>
        </w:rPr>
        <w:t>, 298–312. https://doi.org/10.1016/j.techfore.2015.11.023</w:t>
      </w:r>
    </w:p>
    <w:p w14:paraId="1B8B505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Fulk, J., &amp; Steinfield, C. W. (1990). </w:t>
      </w:r>
      <w:r w:rsidRPr="00F153F6">
        <w:rPr>
          <w:rFonts w:ascii="Times New Roman" w:hAnsi="Times New Roman" w:cs="Times New Roman"/>
          <w:i/>
          <w:iCs/>
          <w:sz w:val="24"/>
          <w:szCs w:val="24"/>
        </w:rPr>
        <w:t>Organizations and Communication Technology</w:t>
      </w:r>
      <w:r w:rsidRPr="00F153F6">
        <w:rPr>
          <w:rFonts w:ascii="Times New Roman" w:hAnsi="Times New Roman" w:cs="Times New Roman"/>
          <w:sz w:val="24"/>
          <w:szCs w:val="24"/>
        </w:rPr>
        <w:t>. SAGE Publications.</w:t>
      </w:r>
    </w:p>
    <w:p w14:paraId="4A97192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Fullwood, R., &amp; Rowley, J. (2017). An investigation of factors affecting knowledge sharing amongst UK academics. </w:t>
      </w:r>
      <w:r w:rsidRPr="00F153F6">
        <w:rPr>
          <w:rFonts w:ascii="Times New Roman" w:hAnsi="Times New Roman" w:cs="Times New Roman"/>
          <w:i/>
          <w:iCs/>
          <w:sz w:val="24"/>
          <w:szCs w:val="24"/>
        </w:rPr>
        <w:t>Journal of Knowledge Management</w:t>
      </w:r>
      <w:r w:rsidRPr="00F153F6">
        <w:rPr>
          <w:rFonts w:ascii="Times New Roman" w:hAnsi="Times New Roman" w:cs="Times New Roman"/>
          <w:sz w:val="24"/>
          <w:szCs w:val="24"/>
        </w:rPr>
        <w:t>, 00–00. https://doi.org/10.1108/JKM-07-2016-0274</w:t>
      </w:r>
    </w:p>
    <w:p w14:paraId="21AD332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Gammelgaard, J. (2010). Knowledge retrieval through virtual communities of practice. </w:t>
      </w:r>
      <w:r w:rsidRPr="00F153F6">
        <w:rPr>
          <w:rFonts w:ascii="Times New Roman" w:hAnsi="Times New Roman" w:cs="Times New Roman"/>
          <w:i/>
          <w:iCs/>
          <w:sz w:val="24"/>
          <w:szCs w:val="24"/>
        </w:rPr>
        <w:t>Behaviour &amp; Information Technology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29</w:t>
      </w:r>
      <w:r w:rsidRPr="00F153F6">
        <w:rPr>
          <w:rFonts w:ascii="Times New Roman" w:hAnsi="Times New Roman" w:cs="Times New Roman"/>
          <w:sz w:val="24"/>
          <w:szCs w:val="24"/>
        </w:rPr>
        <w:t>(4), 349–362. https://doi.org/10.1080/01449290903548406</w:t>
      </w:r>
    </w:p>
    <w:p w14:paraId="0C8F4EC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lastRenderedPageBreak/>
        <w:t xml:space="preserve">Gao, P. (2007). Using structuration theory to analyze knowledge and process management in a consortium: A case study. </w:t>
      </w:r>
      <w:r w:rsidRPr="00F153F6">
        <w:rPr>
          <w:rFonts w:ascii="Times New Roman" w:hAnsi="Times New Roman" w:cs="Times New Roman"/>
          <w:i/>
          <w:iCs/>
          <w:sz w:val="24"/>
          <w:szCs w:val="24"/>
        </w:rPr>
        <w:t>Knowledge and Process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14</w:t>
      </w:r>
      <w:r w:rsidRPr="00F153F6">
        <w:rPr>
          <w:rFonts w:ascii="Times New Roman" w:hAnsi="Times New Roman" w:cs="Times New Roman"/>
          <w:sz w:val="24"/>
          <w:szCs w:val="24"/>
        </w:rPr>
        <w:t>(2), 104–116. https://doi.org/10.1002/kpm.273</w:t>
      </w:r>
    </w:p>
    <w:p w14:paraId="70CE27A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García Sánchez, E., García Morales, V. J., &amp; Martín-Rojas, R. (2017). Do social networks and technological capabilities help knowledge management? </w:t>
      </w:r>
      <w:r w:rsidRPr="00F153F6">
        <w:rPr>
          <w:rFonts w:ascii="Times New Roman" w:hAnsi="Times New Roman" w:cs="Times New Roman"/>
          <w:i/>
          <w:iCs/>
          <w:sz w:val="24"/>
          <w:szCs w:val="24"/>
        </w:rPr>
        <w:t>Journal of Technology Management &amp;amp; Innovation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12</w:t>
      </w:r>
      <w:r w:rsidRPr="00F153F6">
        <w:rPr>
          <w:rFonts w:ascii="Times New Roman" w:hAnsi="Times New Roman" w:cs="Times New Roman"/>
          <w:sz w:val="24"/>
          <w:szCs w:val="24"/>
        </w:rPr>
        <w:t>(4), 65–69. https://doi.org/10.4067/S0718-27242017000400007</w:t>
      </w:r>
    </w:p>
    <w:p w14:paraId="2FD4C33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Gascó, M. (2017). Living labs: Implementing open innovation in the public sector. </w:t>
      </w:r>
      <w:r w:rsidRPr="00F153F6">
        <w:rPr>
          <w:rFonts w:ascii="Times New Roman" w:hAnsi="Times New Roman" w:cs="Times New Roman"/>
          <w:i/>
          <w:iCs/>
          <w:sz w:val="24"/>
          <w:szCs w:val="24"/>
        </w:rPr>
        <w:t>Government Information Quarterly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34</w:t>
      </w:r>
      <w:r w:rsidRPr="00F153F6">
        <w:rPr>
          <w:rFonts w:ascii="Times New Roman" w:hAnsi="Times New Roman" w:cs="Times New Roman"/>
          <w:sz w:val="24"/>
          <w:szCs w:val="24"/>
        </w:rPr>
        <w:t>(1), 90–98. https://doi.org/10.1016/j.giq.2016.09.003</w:t>
      </w:r>
    </w:p>
    <w:p w14:paraId="10528ED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Gasik, S. (2011). A model of project knowledge management. </w:t>
      </w:r>
      <w:r w:rsidRPr="00F153F6">
        <w:rPr>
          <w:rFonts w:ascii="Times New Roman" w:hAnsi="Times New Roman" w:cs="Times New Roman"/>
          <w:i/>
          <w:iCs/>
          <w:sz w:val="24"/>
          <w:szCs w:val="24"/>
        </w:rPr>
        <w:t>Project Management Journal</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42</w:t>
      </w:r>
      <w:r w:rsidRPr="00F153F6">
        <w:rPr>
          <w:rFonts w:ascii="Times New Roman" w:hAnsi="Times New Roman" w:cs="Times New Roman"/>
          <w:sz w:val="24"/>
          <w:szCs w:val="24"/>
        </w:rPr>
        <w:t>(3), 23–44. https://doi.org/10.1002/pmj.20239</w:t>
      </w:r>
    </w:p>
    <w:p w14:paraId="4A3FABB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Gherardi, S., &amp; Miele, F. (2018). Knowledge Management from a Social Perspective: The Contribution of Practice-Based Studies. In J. Syed, P. A. Murray, D. Hislop, &amp; Y. Mouzughi (Eds.), </w:t>
      </w:r>
      <w:r w:rsidRPr="00F153F6">
        <w:rPr>
          <w:rFonts w:ascii="Times New Roman" w:hAnsi="Times New Roman" w:cs="Times New Roman"/>
          <w:i/>
          <w:iCs/>
          <w:sz w:val="24"/>
          <w:szCs w:val="24"/>
        </w:rPr>
        <w:t>The Palgrave Handbook of Knowledge Management</w:t>
      </w:r>
      <w:r w:rsidRPr="00F153F6">
        <w:rPr>
          <w:rFonts w:ascii="Times New Roman" w:hAnsi="Times New Roman" w:cs="Times New Roman"/>
          <w:sz w:val="24"/>
          <w:szCs w:val="24"/>
        </w:rPr>
        <w:t xml:space="preserve"> (pp. 151–176). Springer International Publishing. https://doi.org/10.1007/978-3-319-71434-9_7</w:t>
      </w:r>
    </w:p>
    <w:p w14:paraId="07ABA03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Gherardi, S., &amp; Rodeschini, G. (2016). Caring as a collective knowledgeable doing: About concern and being concerned. </w:t>
      </w:r>
      <w:r w:rsidRPr="00F153F6">
        <w:rPr>
          <w:rFonts w:ascii="Times New Roman" w:hAnsi="Times New Roman" w:cs="Times New Roman"/>
          <w:i/>
          <w:iCs/>
          <w:sz w:val="24"/>
          <w:szCs w:val="24"/>
        </w:rPr>
        <w:t>Management Learning</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47</w:t>
      </w:r>
      <w:r w:rsidRPr="00F153F6">
        <w:rPr>
          <w:rFonts w:ascii="Times New Roman" w:hAnsi="Times New Roman" w:cs="Times New Roman"/>
          <w:sz w:val="24"/>
          <w:szCs w:val="24"/>
        </w:rPr>
        <w:t>(3), 266–284. https://doi.org/10.1177/1350507615610030</w:t>
      </w:r>
    </w:p>
    <w:p w14:paraId="5E2E26C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Ghezzi, A., Gabelloni, D., Martini, A., &amp; Natalicchio, A. (2018). Crowdsourcing: A Review and Suggestions for Future Research. </w:t>
      </w:r>
      <w:r w:rsidRPr="00F153F6">
        <w:rPr>
          <w:rFonts w:ascii="Times New Roman" w:hAnsi="Times New Roman" w:cs="Times New Roman"/>
          <w:i/>
          <w:iCs/>
          <w:sz w:val="24"/>
          <w:szCs w:val="24"/>
        </w:rPr>
        <w:t>International Journal of Management Reviews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20</w:t>
      </w:r>
      <w:r w:rsidRPr="00F153F6">
        <w:rPr>
          <w:rFonts w:ascii="Times New Roman" w:hAnsi="Times New Roman" w:cs="Times New Roman"/>
          <w:sz w:val="24"/>
          <w:szCs w:val="24"/>
        </w:rPr>
        <w:t>(2), 343–363. https://doi.org/10.1111/ijmr.12135</w:t>
      </w:r>
    </w:p>
    <w:p w14:paraId="2B93C25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Ghosh, A., &amp; Fedorowicz, J. (2008). Governance Mechanisms for E-Collaboration. </w:t>
      </w:r>
      <w:r w:rsidRPr="00F153F6">
        <w:rPr>
          <w:rFonts w:ascii="Times New Roman" w:hAnsi="Times New Roman" w:cs="Times New Roman"/>
          <w:i/>
          <w:iCs/>
          <w:sz w:val="24"/>
          <w:szCs w:val="24"/>
        </w:rPr>
        <w:t>Encyclopedia of E-Collaboration</w:t>
      </w:r>
      <w:r w:rsidRPr="00F153F6">
        <w:rPr>
          <w:rFonts w:ascii="Times New Roman" w:hAnsi="Times New Roman" w:cs="Times New Roman"/>
          <w:sz w:val="24"/>
          <w:szCs w:val="24"/>
        </w:rPr>
        <w:t>, 319–323. https://doi.org/10.4018/978-1-59904-000-4.ch049</w:t>
      </w:r>
    </w:p>
    <w:p w14:paraId="5E92859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Gibson, C. B., Dunlop, P. D., Majchrzak, A., &amp; Chia, T. (2021). Sustaining Effectiveness in </w:t>
      </w:r>
      <w:r w:rsidRPr="00F153F6">
        <w:rPr>
          <w:rFonts w:ascii="Times New Roman" w:hAnsi="Times New Roman" w:cs="Times New Roman"/>
          <w:sz w:val="24"/>
          <w:szCs w:val="24"/>
        </w:rPr>
        <w:lastRenderedPageBreak/>
        <w:t xml:space="preserve">Global Teams: The Coevolution of Knowledge Management Activities and Technology Affordances. </w:t>
      </w:r>
      <w:r w:rsidRPr="00F153F6">
        <w:rPr>
          <w:rFonts w:ascii="Times New Roman" w:hAnsi="Times New Roman" w:cs="Times New Roman"/>
          <w:i/>
          <w:iCs/>
          <w:sz w:val="24"/>
          <w:szCs w:val="24"/>
        </w:rPr>
        <w:t>Organization Science</w:t>
      </w:r>
      <w:r w:rsidRPr="00F153F6">
        <w:rPr>
          <w:rFonts w:ascii="Times New Roman" w:hAnsi="Times New Roman" w:cs="Times New Roman"/>
          <w:sz w:val="24"/>
          <w:szCs w:val="24"/>
        </w:rPr>
        <w:t>, orsc.2021.1478. https://doi.org/10.1287/orsc.2021.1478</w:t>
      </w:r>
    </w:p>
    <w:p w14:paraId="361B44A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Giddens, A. (1984). </w:t>
      </w:r>
      <w:r w:rsidRPr="00F153F6">
        <w:rPr>
          <w:rFonts w:ascii="Times New Roman" w:hAnsi="Times New Roman" w:cs="Times New Roman"/>
          <w:i/>
          <w:iCs/>
          <w:sz w:val="24"/>
          <w:szCs w:val="24"/>
        </w:rPr>
        <w:t>The Constitution of Society: Outline of the Theory of Structuration</w:t>
      </w:r>
      <w:r w:rsidRPr="00F153F6">
        <w:rPr>
          <w:rFonts w:ascii="Times New Roman" w:hAnsi="Times New Roman" w:cs="Times New Roman"/>
          <w:sz w:val="24"/>
          <w:szCs w:val="24"/>
        </w:rPr>
        <w:t>. University of California Press.</w:t>
      </w:r>
    </w:p>
    <w:p w14:paraId="4F26666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Given, L. M. (2008). </w:t>
      </w:r>
      <w:r w:rsidRPr="00F153F6">
        <w:rPr>
          <w:rFonts w:ascii="Times New Roman" w:hAnsi="Times New Roman" w:cs="Times New Roman"/>
          <w:i/>
          <w:iCs/>
          <w:sz w:val="24"/>
          <w:szCs w:val="24"/>
        </w:rPr>
        <w:t>The Sage Encyclopedia of Qualitative Research Methods: A-L ; Vol. 2, M-Z Index</w:t>
      </w:r>
      <w:r w:rsidRPr="00F153F6">
        <w:rPr>
          <w:rFonts w:ascii="Times New Roman" w:hAnsi="Times New Roman" w:cs="Times New Roman"/>
          <w:sz w:val="24"/>
          <w:szCs w:val="24"/>
        </w:rPr>
        <w:t>. SAGE.</w:t>
      </w:r>
    </w:p>
    <w:p w14:paraId="0F3286A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Glaser, B. G. (1992). </w:t>
      </w:r>
      <w:r w:rsidRPr="00F153F6">
        <w:rPr>
          <w:rFonts w:ascii="Times New Roman" w:hAnsi="Times New Roman" w:cs="Times New Roman"/>
          <w:i/>
          <w:iCs/>
          <w:sz w:val="24"/>
          <w:szCs w:val="24"/>
        </w:rPr>
        <w:t>Basics of Grounded Theory Analysis: Emergence Vs Forcing</w:t>
      </w:r>
      <w:r w:rsidRPr="00F153F6">
        <w:rPr>
          <w:rFonts w:ascii="Times New Roman" w:hAnsi="Times New Roman" w:cs="Times New Roman"/>
          <w:sz w:val="24"/>
          <w:szCs w:val="24"/>
        </w:rPr>
        <w:t>. Sociology Press.</w:t>
      </w:r>
    </w:p>
    <w:p w14:paraId="2064B8B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Glaser, B. G. (1998). </w:t>
      </w:r>
      <w:r w:rsidRPr="00F153F6">
        <w:rPr>
          <w:rFonts w:ascii="Times New Roman" w:hAnsi="Times New Roman" w:cs="Times New Roman"/>
          <w:i/>
          <w:iCs/>
          <w:sz w:val="24"/>
          <w:szCs w:val="24"/>
        </w:rPr>
        <w:t>Doing Grounded Theory: Issues and Discussions</w:t>
      </w:r>
      <w:r w:rsidRPr="00F153F6">
        <w:rPr>
          <w:rFonts w:ascii="Times New Roman" w:hAnsi="Times New Roman" w:cs="Times New Roman"/>
          <w:sz w:val="24"/>
          <w:szCs w:val="24"/>
        </w:rPr>
        <w:t>. Sociology Press.</w:t>
      </w:r>
    </w:p>
    <w:p w14:paraId="530E3A1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Glaser, B. G. (2002). Conceptualization: On Theory and Theorizing Using Grounded Theory. </w:t>
      </w:r>
      <w:r w:rsidRPr="00F153F6">
        <w:rPr>
          <w:rFonts w:ascii="Times New Roman" w:hAnsi="Times New Roman" w:cs="Times New Roman"/>
          <w:i/>
          <w:iCs/>
          <w:sz w:val="24"/>
          <w:szCs w:val="24"/>
        </w:rPr>
        <w:t>International Journal of Qualitative Methods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w:t>
      </w:r>
      <w:r w:rsidRPr="00F153F6">
        <w:rPr>
          <w:rFonts w:ascii="Times New Roman" w:hAnsi="Times New Roman" w:cs="Times New Roman"/>
          <w:sz w:val="24"/>
          <w:szCs w:val="24"/>
        </w:rPr>
        <w:t>(2), 23–38. https://doi.org/10.1177/160940690200100203</w:t>
      </w:r>
    </w:p>
    <w:p w14:paraId="63D74B6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Glaser, B. G., &amp; Strauss, A. L. (1967). </w:t>
      </w:r>
      <w:r w:rsidRPr="00F153F6">
        <w:rPr>
          <w:rFonts w:ascii="Times New Roman" w:hAnsi="Times New Roman" w:cs="Times New Roman"/>
          <w:i/>
          <w:iCs/>
          <w:sz w:val="24"/>
          <w:szCs w:val="24"/>
        </w:rPr>
        <w:t>The discovery of grounded theory: Strategies for qualitative research</w:t>
      </w:r>
      <w:r w:rsidRPr="00F153F6">
        <w:rPr>
          <w:rFonts w:ascii="Times New Roman" w:hAnsi="Times New Roman" w:cs="Times New Roman"/>
          <w:sz w:val="24"/>
          <w:szCs w:val="24"/>
        </w:rPr>
        <w:t xml:space="preserve"> (4. paperback printing). Aldine.</w:t>
      </w:r>
    </w:p>
    <w:p w14:paraId="5573F64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Goldkuhl, G. (2008). </w:t>
      </w:r>
      <w:r w:rsidRPr="00F153F6">
        <w:rPr>
          <w:rFonts w:ascii="Times New Roman" w:hAnsi="Times New Roman" w:cs="Times New Roman"/>
          <w:i/>
          <w:iCs/>
          <w:sz w:val="24"/>
          <w:szCs w:val="24"/>
        </w:rPr>
        <w:t>Actability Theory Meets Affordance Theory: Clarifying Hci in It Usage Situations</w:t>
      </w:r>
      <w:r w:rsidRPr="00F153F6">
        <w:rPr>
          <w:rFonts w:ascii="Times New Roman" w:hAnsi="Times New Roman" w:cs="Times New Roman"/>
          <w:sz w:val="24"/>
          <w:szCs w:val="24"/>
        </w:rPr>
        <w:t>.</w:t>
      </w:r>
    </w:p>
    <w:p w14:paraId="5CBC999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Goldkuhl, G. (2013). </w:t>
      </w:r>
      <w:r w:rsidRPr="00F153F6">
        <w:rPr>
          <w:rFonts w:ascii="Times New Roman" w:hAnsi="Times New Roman" w:cs="Times New Roman"/>
          <w:i/>
          <w:iCs/>
          <w:sz w:val="24"/>
          <w:szCs w:val="24"/>
        </w:rPr>
        <w:t>From ensemble view to ensemble artefact – An inquiry on conceptualisations of the IT artefact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7</w:t>
      </w:r>
      <w:r w:rsidRPr="00F153F6">
        <w:rPr>
          <w:rFonts w:ascii="Times New Roman" w:hAnsi="Times New Roman" w:cs="Times New Roman"/>
          <w:sz w:val="24"/>
          <w:szCs w:val="24"/>
        </w:rPr>
        <w:t>(1), 24.</w:t>
      </w:r>
    </w:p>
    <w:p w14:paraId="4A5C7FA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Goniewicz, K., Khorram-Manesh, A., Hertelendy, A. J., Goniewicz, M., Naylor, K., &amp; Burkle, F. M. (2020). Current Response and Management Decisions of the European Union to the COVID-19 Outbreak: A Review. </w:t>
      </w:r>
      <w:r w:rsidRPr="00F153F6">
        <w:rPr>
          <w:rFonts w:ascii="Times New Roman" w:hAnsi="Times New Roman" w:cs="Times New Roman"/>
          <w:i/>
          <w:iCs/>
          <w:sz w:val="24"/>
          <w:szCs w:val="24"/>
        </w:rPr>
        <w:t>Sustainability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12</w:t>
      </w:r>
      <w:r w:rsidRPr="00F153F6">
        <w:rPr>
          <w:rFonts w:ascii="Times New Roman" w:hAnsi="Times New Roman" w:cs="Times New Roman"/>
          <w:sz w:val="24"/>
          <w:szCs w:val="24"/>
        </w:rPr>
        <w:t>(9), 3838. https://doi.org/10.3390/su12093838</w:t>
      </w:r>
    </w:p>
    <w:p w14:paraId="599B29E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Gott, A., &amp; Schaefer, S. M. (2020). </w:t>
      </w:r>
      <w:r w:rsidRPr="00F153F6">
        <w:rPr>
          <w:rFonts w:ascii="Times New Roman" w:hAnsi="Times New Roman" w:cs="Times New Roman"/>
          <w:i/>
          <w:iCs/>
          <w:sz w:val="24"/>
          <w:szCs w:val="24"/>
        </w:rPr>
        <w:t>Knowledge Sharing in the Public Sector An Affordance Approach of Information and Communications Technology</w:t>
      </w:r>
      <w:r w:rsidRPr="00F153F6">
        <w:rPr>
          <w:rFonts w:ascii="Times New Roman" w:hAnsi="Times New Roman" w:cs="Times New Roman"/>
          <w:sz w:val="24"/>
          <w:szCs w:val="24"/>
        </w:rPr>
        <w:t xml:space="preserve">. </w:t>
      </w:r>
      <w:r w:rsidRPr="00F153F6">
        <w:rPr>
          <w:rFonts w:ascii="Times New Roman" w:hAnsi="Times New Roman" w:cs="Times New Roman"/>
          <w:sz w:val="24"/>
          <w:szCs w:val="24"/>
        </w:rPr>
        <w:lastRenderedPageBreak/>
        <w:t>https://lup.lub.lu.se/luur/download?func=downloadFile&amp;recordOId=9012606&amp;fileOId=9012610</w:t>
      </w:r>
    </w:p>
    <w:p w14:paraId="30A347C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Graham, I. D., Logan, J., Harrison, M. B., Straus, S. E., Tetroe, J., Caswell, W., &amp; Robinson, N. (2006). Lost in knowledge translation: Time for a map? </w:t>
      </w:r>
      <w:r w:rsidRPr="00F153F6">
        <w:rPr>
          <w:rFonts w:ascii="Times New Roman" w:hAnsi="Times New Roman" w:cs="Times New Roman"/>
          <w:i/>
          <w:iCs/>
          <w:sz w:val="24"/>
          <w:szCs w:val="24"/>
        </w:rPr>
        <w:t>Journal of Continuing Education in the Health Professions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26</w:t>
      </w:r>
      <w:r w:rsidRPr="00F153F6">
        <w:rPr>
          <w:rFonts w:ascii="Times New Roman" w:hAnsi="Times New Roman" w:cs="Times New Roman"/>
          <w:sz w:val="24"/>
          <w:szCs w:val="24"/>
        </w:rPr>
        <w:t>(1), 13–24. https://doi.org/10.1002/chp.47</w:t>
      </w:r>
    </w:p>
    <w:p w14:paraId="0305745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Grant, R. M. (1996). Toward a knowledge-based theory of the firm. </w:t>
      </w:r>
      <w:r w:rsidRPr="00F153F6">
        <w:rPr>
          <w:rFonts w:ascii="Times New Roman" w:hAnsi="Times New Roman" w:cs="Times New Roman"/>
          <w:i/>
          <w:iCs/>
          <w:sz w:val="24"/>
          <w:szCs w:val="24"/>
        </w:rPr>
        <w:t>Strategic Management Journal</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17</w:t>
      </w:r>
      <w:r w:rsidRPr="00F153F6">
        <w:rPr>
          <w:rFonts w:ascii="Times New Roman" w:hAnsi="Times New Roman" w:cs="Times New Roman"/>
          <w:sz w:val="24"/>
          <w:szCs w:val="24"/>
        </w:rPr>
        <w:t>(S2), 109–122. https://doi.org/10.1002/smj.4250171110</w:t>
      </w:r>
    </w:p>
    <w:p w14:paraId="034DC9D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Gray, B., &amp; Stites, J. P. (2013). </w:t>
      </w:r>
      <w:r w:rsidRPr="00F153F6">
        <w:rPr>
          <w:rFonts w:ascii="Times New Roman" w:hAnsi="Times New Roman" w:cs="Times New Roman"/>
          <w:i/>
          <w:iCs/>
          <w:sz w:val="24"/>
          <w:szCs w:val="24"/>
        </w:rPr>
        <w:t>sustainability through partnerships: Capitalizing on Collaboration</w:t>
      </w:r>
      <w:r w:rsidRPr="00F153F6">
        <w:rPr>
          <w:rFonts w:ascii="Times New Roman" w:hAnsi="Times New Roman" w:cs="Times New Roman"/>
          <w:sz w:val="24"/>
          <w:szCs w:val="24"/>
        </w:rPr>
        <w:t>. 110.</w:t>
      </w:r>
    </w:p>
    <w:p w14:paraId="5A43E29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Greeno, J. G. (1994). Gibson’s Affordances. </w:t>
      </w:r>
      <w:r w:rsidRPr="00F153F6">
        <w:rPr>
          <w:rFonts w:ascii="Times New Roman" w:hAnsi="Times New Roman" w:cs="Times New Roman"/>
          <w:i/>
          <w:iCs/>
          <w:sz w:val="24"/>
          <w:szCs w:val="24"/>
        </w:rPr>
        <w:t>Psychological Review</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101</w:t>
      </w:r>
      <w:r w:rsidRPr="00F153F6">
        <w:rPr>
          <w:rFonts w:ascii="Times New Roman" w:hAnsi="Times New Roman" w:cs="Times New Roman"/>
          <w:sz w:val="24"/>
          <w:szCs w:val="24"/>
        </w:rPr>
        <w:t>(2), 336–342.</w:t>
      </w:r>
    </w:p>
    <w:p w14:paraId="79599EC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Griffith, D. A., Myers, M. B., &amp; Harvey, M. G. (2006). An Investigation of National Culture’s Influence on Relationship and Knowledge Resources in Interorganizational Relationships between Japan and the United States. </w:t>
      </w:r>
      <w:r w:rsidRPr="00F153F6">
        <w:rPr>
          <w:rFonts w:ascii="Times New Roman" w:hAnsi="Times New Roman" w:cs="Times New Roman"/>
          <w:i/>
          <w:iCs/>
          <w:sz w:val="24"/>
          <w:szCs w:val="24"/>
        </w:rPr>
        <w:t>Journal of International Marketing</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14</w:t>
      </w:r>
      <w:r w:rsidRPr="00F153F6">
        <w:rPr>
          <w:rFonts w:ascii="Times New Roman" w:hAnsi="Times New Roman" w:cs="Times New Roman"/>
          <w:sz w:val="24"/>
          <w:szCs w:val="24"/>
        </w:rPr>
        <w:t>(3), 1–32. https://doi.org/10.1509/jimk.14.3.1</w:t>
      </w:r>
    </w:p>
    <w:p w14:paraId="7E2C691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Groshek, J., &amp; Tandoc, E. (2016). The affordance effect: Gatekeeping and (non)reciprocal journalism on Twitter. </w:t>
      </w:r>
      <w:r w:rsidRPr="00F153F6">
        <w:rPr>
          <w:rFonts w:ascii="Times New Roman" w:hAnsi="Times New Roman" w:cs="Times New Roman"/>
          <w:i/>
          <w:iCs/>
          <w:sz w:val="24"/>
          <w:szCs w:val="24"/>
        </w:rPr>
        <w:t>Proceedings of the 7th 2016 International Conference on Social Media &amp; Society - SMSociety ’16</w:t>
      </w:r>
      <w:r w:rsidRPr="00F153F6">
        <w:rPr>
          <w:rFonts w:ascii="Times New Roman" w:hAnsi="Times New Roman" w:cs="Times New Roman"/>
          <w:sz w:val="24"/>
          <w:szCs w:val="24"/>
        </w:rPr>
        <w:t>, 1–10. https://doi.org/10.1145/2930971.2930993</w:t>
      </w:r>
    </w:p>
    <w:p w14:paraId="08C897D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Gulati, R. (1995). Social Structure and Alliance Formation Patterns: A Longitudinal Analysis. </w:t>
      </w:r>
      <w:r w:rsidRPr="00F153F6">
        <w:rPr>
          <w:rFonts w:ascii="Times New Roman" w:hAnsi="Times New Roman" w:cs="Times New Roman"/>
          <w:i/>
          <w:iCs/>
          <w:sz w:val="24"/>
          <w:szCs w:val="24"/>
        </w:rPr>
        <w:t>Administrative Science Quarterly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40</w:t>
      </w:r>
      <w:r w:rsidRPr="00F153F6">
        <w:rPr>
          <w:rFonts w:ascii="Times New Roman" w:hAnsi="Times New Roman" w:cs="Times New Roman"/>
          <w:sz w:val="24"/>
          <w:szCs w:val="24"/>
        </w:rPr>
        <w:t>(4), 619. https://doi.org/10.2307/2393756</w:t>
      </w:r>
    </w:p>
    <w:p w14:paraId="12769A2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Gurteen, D. (1998). Knowledge, creativity and innovation. </w:t>
      </w:r>
      <w:r w:rsidRPr="00F153F6">
        <w:rPr>
          <w:rFonts w:ascii="Times New Roman" w:hAnsi="Times New Roman" w:cs="Times New Roman"/>
          <w:i/>
          <w:iCs/>
          <w:sz w:val="24"/>
          <w:szCs w:val="24"/>
        </w:rPr>
        <w:t>Journal of Knowledge Management; Kempston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w:t>
      </w:r>
      <w:r w:rsidRPr="00F153F6">
        <w:rPr>
          <w:rFonts w:ascii="Times New Roman" w:hAnsi="Times New Roman" w:cs="Times New Roman"/>
          <w:sz w:val="24"/>
          <w:szCs w:val="24"/>
        </w:rPr>
        <w:t>(1), 5–13. http://dx.doi.org.sheffield.idm.oclc.org/10.1108/13673279810800744</w:t>
      </w:r>
    </w:p>
    <w:p w14:paraId="6B05A69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Gustafsson, O., &amp; Magnusson, J. (2016). </w:t>
      </w:r>
      <w:r w:rsidRPr="00F153F6">
        <w:rPr>
          <w:rFonts w:ascii="Times New Roman" w:hAnsi="Times New Roman" w:cs="Times New Roman"/>
          <w:i/>
          <w:iCs/>
          <w:sz w:val="24"/>
          <w:szCs w:val="24"/>
        </w:rPr>
        <w:t>INTER-ORGANIZATIONAL COLLABORATION - IN THEORY AND PRACTICE: Based on a multiple-case study in the automotive industry</w:t>
      </w:r>
      <w:r w:rsidRPr="00F153F6">
        <w:rPr>
          <w:rFonts w:ascii="Times New Roman" w:hAnsi="Times New Roman" w:cs="Times New Roman"/>
          <w:sz w:val="24"/>
          <w:szCs w:val="24"/>
        </w:rPr>
        <w:t>.</w:t>
      </w:r>
    </w:p>
    <w:p w14:paraId="52D4941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Guzmán, J. G., del Carpio, A. F., Colomo-Palacios, R., &amp; de Diego, M. V. (2013). Living Labs </w:t>
      </w:r>
      <w:r w:rsidRPr="00F153F6">
        <w:rPr>
          <w:rFonts w:ascii="Times New Roman" w:hAnsi="Times New Roman" w:cs="Times New Roman"/>
          <w:sz w:val="24"/>
          <w:szCs w:val="24"/>
        </w:rPr>
        <w:lastRenderedPageBreak/>
        <w:t xml:space="preserve">for User-Driven Innovation: A Process Reference Model. </w:t>
      </w:r>
      <w:r w:rsidRPr="00F153F6">
        <w:rPr>
          <w:rFonts w:ascii="Times New Roman" w:hAnsi="Times New Roman" w:cs="Times New Roman"/>
          <w:i/>
          <w:iCs/>
          <w:sz w:val="24"/>
          <w:szCs w:val="24"/>
        </w:rPr>
        <w:t>Research-Technology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56</w:t>
      </w:r>
      <w:r w:rsidRPr="00F153F6">
        <w:rPr>
          <w:rFonts w:ascii="Times New Roman" w:hAnsi="Times New Roman" w:cs="Times New Roman"/>
          <w:sz w:val="24"/>
          <w:szCs w:val="24"/>
        </w:rPr>
        <w:t>(3), 29–39. https://doi.org/10.5437/08956308X5603087</w:t>
      </w:r>
    </w:p>
    <w:p w14:paraId="4042413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Haass, O., &amp; Azizi, N. (2019). Knowledge sharing practice in project-oriented organisations: A practical framework based on project life cycle and project management body of knowledge. </w:t>
      </w:r>
      <w:r w:rsidRPr="00F153F6">
        <w:rPr>
          <w:rFonts w:ascii="Times New Roman" w:hAnsi="Times New Roman" w:cs="Times New Roman"/>
          <w:i/>
          <w:iCs/>
          <w:sz w:val="24"/>
          <w:szCs w:val="24"/>
        </w:rPr>
        <w:t>International Journal of Project Organisation and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11</w:t>
      </w:r>
      <w:r w:rsidRPr="00F153F6">
        <w:rPr>
          <w:rFonts w:ascii="Times New Roman" w:hAnsi="Times New Roman" w:cs="Times New Roman"/>
          <w:sz w:val="24"/>
          <w:szCs w:val="24"/>
        </w:rPr>
        <w:t>, 171. https://doi.org/10.1504/IJPOM.2019.100575</w:t>
      </w:r>
    </w:p>
    <w:p w14:paraId="48CC0B4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Hagy, S., Morrison, G. M., &amp; Elfstrand, P. (2017). Co-creation in Living Labs. In D. V. Keyson, O. Guerra-Santin, &amp; D. Lockton (Eds.), </w:t>
      </w:r>
      <w:r w:rsidRPr="00F153F6">
        <w:rPr>
          <w:rFonts w:ascii="Times New Roman" w:hAnsi="Times New Roman" w:cs="Times New Roman"/>
          <w:i/>
          <w:iCs/>
          <w:sz w:val="24"/>
          <w:szCs w:val="24"/>
        </w:rPr>
        <w:t>Living Labs: Design and Assessment of Sustainable Living</w:t>
      </w:r>
      <w:r w:rsidRPr="00F153F6">
        <w:rPr>
          <w:rFonts w:ascii="Times New Roman" w:hAnsi="Times New Roman" w:cs="Times New Roman"/>
          <w:sz w:val="24"/>
          <w:szCs w:val="24"/>
        </w:rPr>
        <w:t xml:space="preserve"> (pp. 169–178). Springer International Publishing. https://doi.org/10.1007/978-3-319-33527-8_13</w:t>
      </w:r>
    </w:p>
    <w:p w14:paraId="56D8B2A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Hajighorbani, M., Hashemi, S. M. R., Broumandnia, A., &amp; Faridpour, M. (2016). </w:t>
      </w:r>
      <w:r w:rsidRPr="00F153F6">
        <w:rPr>
          <w:rFonts w:ascii="Times New Roman" w:hAnsi="Times New Roman" w:cs="Times New Roman"/>
          <w:i/>
          <w:iCs/>
          <w:sz w:val="24"/>
          <w:szCs w:val="24"/>
        </w:rPr>
        <w:t>A Review of Some Semi-Supervised Learning Methods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w:t>
      </w:r>
      <w:r w:rsidRPr="00F153F6">
        <w:rPr>
          <w:rFonts w:ascii="Times New Roman" w:hAnsi="Times New Roman" w:cs="Times New Roman"/>
          <w:sz w:val="24"/>
          <w:szCs w:val="24"/>
        </w:rPr>
        <w:t>, 10.</w:t>
      </w:r>
    </w:p>
    <w:p w14:paraId="5249812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Hakkarainen, L., &amp; Hyysalo, S. (2013). How Do We Keep the Living Laboratory Alive? Learning and Conflicts in Living Lab Collaboration. </w:t>
      </w:r>
      <w:r w:rsidRPr="00F153F6">
        <w:rPr>
          <w:rFonts w:ascii="Times New Roman" w:hAnsi="Times New Roman" w:cs="Times New Roman"/>
          <w:i/>
          <w:iCs/>
          <w:sz w:val="24"/>
          <w:szCs w:val="24"/>
        </w:rPr>
        <w:t>Technology Innovation Management Review</w:t>
      </w:r>
      <w:r w:rsidRPr="00F153F6">
        <w:rPr>
          <w:rFonts w:ascii="Times New Roman" w:hAnsi="Times New Roman" w:cs="Times New Roman"/>
          <w:sz w:val="24"/>
          <w:szCs w:val="24"/>
        </w:rPr>
        <w:t>, 7.</w:t>
      </w:r>
    </w:p>
    <w:p w14:paraId="68EDD8D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Handzic, M., &amp; Durmic, N. (2015). </w:t>
      </w:r>
      <w:r w:rsidRPr="00F153F6">
        <w:rPr>
          <w:rFonts w:ascii="Times New Roman" w:hAnsi="Times New Roman" w:cs="Times New Roman"/>
          <w:i/>
          <w:iCs/>
          <w:sz w:val="24"/>
          <w:szCs w:val="24"/>
        </w:rPr>
        <w:t>Knowledge Management, Intellectual Capital and Project Management: Connecting the Dots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13</w:t>
      </w:r>
      <w:r w:rsidRPr="00F153F6">
        <w:rPr>
          <w:rFonts w:ascii="Times New Roman" w:hAnsi="Times New Roman" w:cs="Times New Roman"/>
          <w:sz w:val="24"/>
          <w:szCs w:val="24"/>
        </w:rPr>
        <w:t>(1).</w:t>
      </w:r>
    </w:p>
    <w:p w14:paraId="07A4981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Hansen, E., &amp; Klewitz, J. (2012). </w:t>
      </w:r>
      <w:r w:rsidRPr="00F153F6">
        <w:rPr>
          <w:rFonts w:ascii="Times New Roman" w:hAnsi="Times New Roman" w:cs="Times New Roman"/>
          <w:i/>
          <w:iCs/>
          <w:sz w:val="24"/>
          <w:szCs w:val="24"/>
        </w:rPr>
        <w:t>Publicly Mediated Inter-Organizational Networks: A Solution for Sustainability-Oriented Innovation in SMEs ?</w:t>
      </w:r>
      <w:r w:rsidRPr="00F153F6">
        <w:rPr>
          <w:rFonts w:ascii="Times New Roman" w:hAnsi="Times New Roman" w:cs="Times New Roman"/>
          <w:sz w:val="24"/>
          <w:szCs w:val="24"/>
        </w:rPr>
        <w:t xml:space="preserve"> (pp. 254–278).</w:t>
      </w:r>
    </w:p>
    <w:p w14:paraId="506C222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Hartmann, A., &amp; Dorée, A. (2015). Learning between projects: More than sending messages in bottles. </w:t>
      </w:r>
      <w:r w:rsidRPr="00F153F6">
        <w:rPr>
          <w:rFonts w:ascii="Times New Roman" w:hAnsi="Times New Roman" w:cs="Times New Roman"/>
          <w:i/>
          <w:iCs/>
          <w:sz w:val="24"/>
          <w:szCs w:val="24"/>
        </w:rPr>
        <w:t>International Journal of Project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33</w:t>
      </w:r>
      <w:r w:rsidRPr="00F153F6">
        <w:rPr>
          <w:rFonts w:ascii="Times New Roman" w:hAnsi="Times New Roman" w:cs="Times New Roman"/>
          <w:sz w:val="24"/>
          <w:szCs w:val="24"/>
        </w:rPr>
        <w:t>(2), 341–351. https://doi.org/10.1016/j.ijproman.2014.07.006</w:t>
      </w:r>
    </w:p>
    <w:p w14:paraId="5F66B33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Harvey, S. (2014). Creative Synthesis: Exploring the Process of Extraordinary Group Creativity. </w:t>
      </w:r>
      <w:r w:rsidRPr="00F153F6">
        <w:rPr>
          <w:rFonts w:ascii="Times New Roman" w:hAnsi="Times New Roman" w:cs="Times New Roman"/>
          <w:i/>
          <w:iCs/>
          <w:sz w:val="24"/>
          <w:szCs w:val="24"/>
        </w:rPr>
        <w:t>The Academy of Management Review</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39</w:t>
      </w:r>
      <w:r w:rsidRPr="00F153F6">
        <w:rPr>
          <w:rFonts w:ascii="Times New Roman" w:hAnsi="Times New Roman" w:cs="Times New Roman"/>
          <w:sz w:val="24"/>
          <w:szCs w:val="24"/>
        </w:rPr>
        <w:t>. https://doi.org/10.5465/amr.2012.0224</w:t>
      </w:r>
    </w:p>
    <w:p w14:paraId="01F633A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lastRenderedPageBreak/>
        <w:t xml:space="preserve">Hassan, N. R. (2016). Editorial: A Brief History of the Material in Sociomateriality. </w:t>
      </w:r>
      <w:r w:rsidRPr="00F153F6">
        <w:rPr>
          <w:rFonts w:ascii="Times New Roman" w:hAnsi="Times New Roman" w:cs="Times New Roman"/>
          <w:i/>
          <w:iCs/>
          <w:sz w:val="24"/>
          <w:szCs w:val="24"/>
        </w:rPr>
        <w:t>The DATA BASE for Advances in Information Systems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47</w:t>
      </w:r>
      <w:r w:rsidRPr="00F153F6">
        <w:rPr>
          <w:rFonts w:ascii="Times New Roman" w:hAnsi="Times New Roman" w:cs="Times New Roman"/>
          <w:sz w:val="24"/>
          <w:szCs w:val="24"/>
        </w:rPr>
        <w:t>. https://dl.acm.org/doi/pdf/10.1145/3025099.3025101?casa_token=-u4TVQsn2l4AAAAA:oKv5LShjGy-flAJvbsKifm8J5EjN4dZprnQUT9r0pxbL83b8aU9mic2hT-WkVcH2HkQ9X4Bcm8fo</w:t>
      </w:r>
    </w:p>
    <w:p w14:paraId="5D284C0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Hawk, N., Romine, M., &amp; Bartle, G. (2012). THE LIVING LABS: Innovation in Real-Life Settings. </w:t>
      </w:r>
      <w:r w:rsidRPr="00F153F6">
        <w:rPr>
          <w:rFonts w:ascii="Times New Roman" w:hAnsi="Times New Roman" w:cs="Times New Roman"/>
          <w:i/>
          <w:iCs/>
          <w:sz w:val="24"/>
          <w:szCs w:val="24"/>
        </w:rPr>
        <w:t>Quarterly Review of Distance Education; Charlotte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13</w:t>
      </w:r>
      <w:r w:rsidRPr="00F153F6">
        <w:rPr>
          <w:rFonts w:ascii="Times New Roman" w:hAnsi="Times New Roman" w:cs="Times New Roman"/>
          <w:sz w:val="24"/>
          <w:szCs w:val="24"/>
        </w:rPr>
        <w:t>(4), 225-231,269-270.</w:t>
      </w:r>
    </w:p>
    <w:p w14:paraId="6DF8C75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Heath, H., &amp; Cowley, S. (2004). Developing a grounded theory approach: A comparison of Glaser and Strauss. </w:t>
      </w:r>
      <w:r w:rsidRPr="00F153F6">
        <w:rPr>
          <w:rFonts w:ascii="Times New Roman" w:hAnsi="Times New Roman" w:cs="Times New Roman"/>
          <w:i/>
          <w:iCs/>
          <w:sz w:val="24"/>
          <w:szCs w:val="24"/>
        </w:rPr>
        <w:t>International Journal of Nursing Studies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41</w:t>
      </w:r>
      <w:r w:rsidRPr="00F153F6">
        <w:rPr>
          <w:rFonts w:ascii="Times New Roman" w:hAnsi="Times New Roman" w:cs="Times New Roman"/>
          <w:sz w:val="24"/>
          <w:szCs w:val="24"/>
        </w:rPr>
        <w:t>(2), 141–150. https://doi.org/10.1016/S0020-7489(03)00113-5</w:t>
      </w:r>
    </w:p>
    <w:p w14:paraId="7C05151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Heath, R. G., &amp; Isbell, M. G. (2017). </w:t>
      </w:r>
      <w:r w:rsidRPr="00F153F6">
        <w:rPr>
          <w:rFonts w:ascii="Times New Roman" w:hAnsi="Times New Roman" w:cs="Times New Roman"/>
          <w:i/>
          <w:iCs/>
          <w:sz w:val="24"/>
          <w:szCs w:val="24"/>
        </w:rPr>
        <w:t>Interorganizational Collaboration: Complexity, Ethics, and Communication</w:t>
      </w:r>
      <w:r w:rsidRPr="00F153F6">
        <w:rPr>
          <w:rFonts w:ascii="Times New Roman" w:hAnsi="Times New Roman" w:cs="Times New Roman"/>
          <w:sz w:val="24"/>
          <w:szCs w:val="24"/>
        </w:rPr>
        <w:t>. Waveland Press.</w:t>
      </w:r>
    </w:p>
    <w:p w14:paraId="6A064F1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Heisig, P. (2001). Business Process Oriented Knowledge Management. In K. Mertins, P. Heisig, &amp; J. Vorbeck (Eds.), </w:t>
      </w:r>
      <w:r w:rsidRPr="00F153F6">
        <w:rPr>
          <w:rFonts w:ascii="Times New Roman" w:hAnsi="Times New Roman" w:cs="Times New Roman"/>
          <w:i/>
          <w:iCs/>
          <w:sz w:val="24"/>
          <w:szCs w:val="24"/>
        </w:rPr>
        <w:t>Knowledge Management: Best Practices in Europe</w:t>
      </w:r>
      <w:r w:rsidRPr="00F153F6">
        <w:rPr>
          <w:rFonts w:ascii="Times New Roman" w:hAnsi="Times New Roman" w:cs="Times New Roman"/>
          <w:sz w:val="24"/>
          <w:szCs w:val="24"/>
        </w:rPr>
        <w:t xml:space="preserve"> (pp. 13–36). Springer Berlin Heidelberg. https://doi.org/10.1007/978-3-662-04466-7_2</w:t>
      </w:r>
    </w:p>
    <w:p w14:paraId="0F1539C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Hélie, S., &amp; Sun, R. (2010). Incubation, insight, and creative problem solving: A unified theory and a connectionist model. </w:t>
      </w:r>
      <w:r w:rsidRPr="00F153F6">
        <w:rPr>
          <w:rFonts w:ascii="Times New Roman" w:hAnsi="Times New Roman" w:cs="Times New Roman"/>
          <w:i/>
          <w:iCs/>
          <w:sz w:val="24"/>
          <w:szCs w:val="24"/>
        </w:rPr>
        <w:t>Psychological Review</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117</w:t>
      </w:r>
      <w:r w:rsidRPr="00F153F6">
        <w:rPr>
          <w:rFonts w:ascii="Times New Roman" w:hAnsi="Times New Roman" w:cs="Times New Roman"/>
          <w:sz w:val="24"/>
          <w:szCs w:val="24"/>
        </w:rPr>
        <w:t>(3), 994–1024. https://doi.org/10.1037/a0019532</w:t>
      </w:r>
    </w:p>
    <w:p w14:paraId="3C56CDB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Helms, R. W., Booij, E., &amp; Spruit, M. R. (2012). </w:t>
      </w:r>
      <w:r w:rsidRPr="00F153F6">
        <w:rPr>
          <w:rFonts w:ascii="Times New Roman" w:hAnsi="Times New Roman" w:cs="Times New Roman"/>
          <w:i/>
          <w:iCs/>
          <w:sz w:val="24"/>
          <w:szCs w:val="24"/>
        </w:rPr>
        <w:t>REACHING OUT: INVOLVING USERS IN INNOVATION TASKS THROUGH SOCIAL MEDIA</w:t>
      </w:r>
      <w:r w:rsidRPr="00F153F6">
        <w:rPr>
          <w:rFonts w:ascii="Times New Roman" w:hAnsi="Times New Roman" w:cs="Times New Roman"/>
          <w:sz w:val="24"/>
          <w:szCs w:val="24"/>
        </w:rPr>
        <w:t>. 13.</w:t>
      </w:r>
    </w:p>
    <w:p w14:paraId="691E4BA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Hemmert, M. (2019). The relevance of inter-personal ties and inter-organizational tie strength for outcomes of research collaborations in South Korea. </w:t>
      </w:r>
      <w:r w:rsidRPr="00F153F6">
        <w:rPr>
          <w:rFonts w:ascii="Times New Roman" w:hAnsi="Times New Roman" w:cs="Times New Roman"/>
          <w:i/>
          <w:iCs/>
          <w:sz w:val="24"/>
          <w:szCs w:val="24"/>
        </w:rPr>
        <w:t>Asia Pacific Journal of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36</w:t>
      </w:r>
      <w:r w:rsidRPr="00F153F6">
        <w:rPr>
          <w:rFonts w:ascii="Times New Roman" w:hAnsi="Times New Roman" w:cs="Times New Roman"/>
          <w:sz w:val="24"/>
          <w:szCs w:val="24"/>
        </w:rPr>
        <w:t>(2), 373–393. https://doi.org/10.1007/s10490-017-9556-6</w:t>
      </w:r>
    </w:p>
    <w:p w14:paraId="4A48462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Hilbolling, S., Deken, F., Berends, H., &amp; Tuertscher, P. (2022). Process-based temporal coordination in multiparty collaboration for societal challenges. </w:t>
      </w:r>
      <w:r w:rsidRPr="00F153F6">
        <w:rPr>
          <w:rFonts w:ascii="Times New Roman" w:hAnsi="Times New Roman" w:cs="Times New Roman"/>
          <w:i/>
          <w:iCs/>
          <w:sz w:val="24"/>
          <w:szCs w:val="24"/>
        </w:rPr>
        <w:t>Strategic Organization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lastRenderedPageBreak/>
        <w:t>20</w:t>
      </w:r>
      <w:r w:rsidRPr="00F153F6">
        <w:rPr>
          <w:rFonts w:ascii="Times New Roman" w:hAnsi="Times New Roman" w:cs="Times New Roman"/>
          <w:sz w:val="24"/>
          <w:szCs w:val="24"/>
        </w:rPr>
        <w:t>(1), 135–163. https://doi.org/10.1177/1476127021992705</w:t>
      </w:r>
    </w:p>
    <w:p w14:paraId="51B7A71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Hislop, D., Bosua, R., &amp; Helms, R. (2018). </w:t>
      </w:r>
      <w:r w:rsidRPr="00F153F6">
        <w:rPr>
          <w:rFonts w:ascii="Times New Roman" w:hAnsi="Times New Roman" w:cs="Times New Roman"/>
          <w:i/>
          <w:iCs/>
          <w:sz w:val="24"/>
          <w:szCs w:val="24"/>
        </w:rPr>
        <w:t>Knowledge Management in Organizations: A Critical Introduction</w:t>
      </w:r>
      <w:r w:rsidRPr="00F153F6">
        <w:rPr>
          <w:rFonts w:ascii="Times New Roman" w:hAnsi="Times New Roman" w:cs="Times New Roman"/>
          <w:sz w:val="24"/>
          <w:szCs w:val="24"/>
        </w:rPr>
        <w:t>. Oxford University Press.</w:t>
      </w:r>
    </w:p>
    <w:p w14:paraId="0D914F2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Holmqvist, M. (2003). A Dynamic Model of Intra-and Interorganizational Learning. </w:t>
      </w:r>
      <w:r w:rsidRPr="00F153F6">
        <w:rPr>
          <w:rFonts w:ascii="Times New Roman" w:hAnsi="Times New Roman" w:cs="Times New Roman"/>
          <w:i/>
          <w:iCs/>
          <w:sz w:val="24"/>
          <w:szCs w:val="24"/>
        </w:rPr>
        <w:t>Organization Studies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24</w:t>
      </w:r>
      <w:r w:rsidRPr="00F153F6">
        <w:rPr>
          <w:rFonts w:ascii="Times New Roman" w:hAnsi="Times New Roman" w:cs="Times New Roman"/>
          <w:sz w:val="24"/>
          <w:szCs w:val="24"/>
        </w:rPr>
        <w:t>(1), 95–123. https://doi.org/10.1177/0170840603024001684</w:t>
      </w:r>
    </w:p>
    <w:p w14:paraId="1A958CE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Holsapple, C. W. (2005). The inseparability of modern knowledge management and computer‐based technology. </w:t>
      </w:r>
      <w:r w:rsidRPr="00F153F6">
        <w:rPr>
          <w:rFonts w:ascii="Times New Roman" w:hAnsi="Times New Roman" w:cs="Times New Roman"/>
          <w:i/>
          <w:iCs/>
          <w:sz w:val="24"/>
          <w:szCs w:val="24"/>
        </w:rPr>
        <w:t>Journal of Knowledge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9</w:t>
      </w:r>
      <w:r w:rsidRPr="00F153F6">
        <w:rPr>
          <w:rFonts w:ascii="Times New Roman" w:hAnsi="Times New Roman" w:cs="Times New Roman"/>
          <w:sz w:val="24"/>
          <w:szCs w:val="24"/>
        </w:rPr>
        <w:t>(1), 42–52. https://doi.org/10.1108/13673270510582956</w:t>
      </w:r>
    </w:p>
    <w:p w14:paraId="764BC45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Hood, A. C., Bachrach, D. G., Zivnuska, S., &amp; Bendoly, E. (2016). Mediating effects of psychological safety in the relationship between team affectivity and transactive memory systems. </w:t>
      </w:r>
      <w:r w:rsidRPr="00F153F6">
        <w:rPr>
          <w:rFonts w:ascii="Times New Roman" w:hAnsi="Times New Roman" w:cs="Times New Roman"/>
          <w:i/>
          <w:iCs/>
          <w:sz w:val="24"/>
          <w:szCs w:val="24"/>
        </w:rPr>
        <w:t>Journal of Organizational Behavior</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37</w:t>
      </w:r>
      <w:r w:rsidRPr="00F153F6">
        <w:rPr>
          <w:rFonts w:ascii="Times New Roman" w:hAnsi="Times New Roman" w:cs="Times New Roman"/>
          <w:sz w:val="24"/>
          <w:szCs w:val="24"/>
        </w:rPr>
        <w:t>(3), 416–435. https://doi.org/10.1002/job.2050</w:t>
      </w:r>
    </w:p>
    <w:p w14:paraId="53B968C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Hord, S. M. (1981). </w:t>
      </w:r>
      <w:r w:rsidRPr="00F153F6">
        <w:rPr>
          <w:rFonts w:ascii="Times New Roman" w:hAnsi="Times New Roman" w:cs="Times New Roman"/>
          <w:i/>
          <w:iCs/>
          <w:sz w:val="24"/>
          <w:szCs w:val="24"/>
        </w:rPr>
        <w:t>Working Together: Cooperation or Collaboration?</w:t>
      </w:r>
      <w:r w:rsidRPr="00F153F6">
        <w:rPr>
          <w:rFonts w:ascii="Times New Roman" w:hAnsi="Times New Roman" w:cs="Times New Roman"/>
          <w:sz w:val="24"/>
          <w:szCs w:val="24"/>
        </w:rPr>
        <w:t xml:space="preserve"> 21.</w:t>
      </w:r>
    </w:p>
    <w:p w14:paraId="0AF53BF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Horne, B. D., Nevo, D., &amp; Adali, S. (2019). Recognizing Experts on Social Media: A Heuristics-Based Approach. </w:t>
      </w:r>
      <w:r w:rsidRPr="00F153F6">
        <w:rPr>
          <w:rFonts w:ascii="Times New Roman" w:hAnsi="Times New Roman" w:cs="Times New Roman"/>
          <w:i/>
          <w:iCs/>
          <w:sz w:val="24"/>
          <w:szCs w:val="24"/>
        </w:rPr>
        <w:t>The DATA BASE for Advances in Information Systems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50</w:t>
      </w:r>
      <w:r w:rsidRPr="00F153F6">
        <w:rPr>
          <w:rFonts w:ascii="Times New Roman" w:hAnsi="Times New Roman" w:cs="Times New Roman"/>
          <w:sz w:val="24"/>
          <w:szCs w:val="24"/>
        </w:rPr>
        <w:t>. https://dl.acm.org/doi/pdf/10.1145/3353401.3353406?casa_token=DcEfwJ8KsowAAAAA:UgoNh7EC-_jVqwe82zYDSusI6_TCQOx_VGYQEQhDTbisebJKyVYHU-eNRT3uyaZo9r24bekpzZo1</w:t>
      </w:r>
    </w:p>
    <w:p w14:paraId="7D092F0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Hossain, M., Leminen, S., &amp; Westerlund, M. (2019). A systematic review of living lab literature. </w:t>
      </w:r>
      <w:r w:rsidRPr="00F153F6">
        <w:rPr>
          <w:rFonts w:ascii="Times New Roman" w:hAnsi="Times New Roman" w:cs="Times New Roman"/>
          <w:i/>
          <w:iCs/>
          <w:sz w:val="24"/>
          <w:szCs w:val="24"/>
        </w:rPr>
        <w:t>Journal of Cleaner Production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213</w:t>
      </w:r>
      <w:r w:rsidRPr="00F153F6">
        <w:rPr>
          <w:rFonts w:ascii="Times New Roman" w:hAnsi="Times New Roman" w:cs="Times New Roman"/>
          <w:sz w:val="24"/>
          <w:szCs w:val="24"/>
        </w:rPr>
        <w:t>, 976–988. https://doi.org/10.1016/j.jclepro.2018.12.257</w:t>
      </w:r>
    </w:p>
    <w:p w14:paraId="645D9B9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Hsiao, R.-L., Tsai, D.-H., &amp; Lee, C.-F. (2012). Collaborative Knowing: The Adaptive Nature of Cross-Boundary Spanning. </w:t>
      </w:r>
      <w:r w:rsidRPr="00F153F6">
        <w:rPr>
          <w:rFonts w:ascii="Times New Roman" w:hAnsi="Times New Roman" w:cs="Times New Roman"/>
          <w:i/>
          <w:iCs/>
          <w:sz w:val="24"/>
          <w:szCs w:val="24"/>
        </w:rPr>
        <w:t>Journal of Management Studies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49</w:t>
      </w:r>
      <w:r w:rsidRPr="00F153F6">
        <w:rPr>
          <w:rFonts w:ascii="Times New Roman" w:hAnsi="Times New Roman" w:cs="Times New Roman"/>
          <w:sz w:val="24"/>
          <w:szCs w:val="24"/>
        </w:rPr>
        <w:t>(3), 463–491. https://doi.org/10.1111/j.1467-6486.2011.01024.x</w:t>
      </w:r>
    </w:p>
    <w:p w14:paraId="7626184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Humphreys, L., Von Pape, T., &amp; Karnowski, V. (2013). Evolving Mobile Media: Uses and </w:t>
      </w:r>
      <w:r w:rsidRPr="00F153F6">
        <w:rPr>
          <w:rFonts w:ascii="Times New Roman" w:hAnsi="Times New Roman" w:cs="Times New Roman"/>
          <w:sz w:val="24"/>
          <w:szCs w:val="24"/>
        </w:rPr>
        <w:lastRenderedPageBreak/>
        <w:t xml:space="preserve">Conceptualizations of the Mobile Internet: Mobile Internet. </w:t>
      </w:r>
      <w:r w:rsidRPr="00F153F6">
        <w:rPr>
          <w:rFonts w:ascii="Times New Roman" w:hAnsi="Times New Roman" w:cs="Times New Roman"/>
          <w:i/>
          <w:iCs/>
          <w:sz w:val="24"/>
          <w:szCs w:val="24"/>
        </w:rPr>
        <w:t>Journal of Computer-Mediated Communication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18</w:t>
      </w:r>
      <w:r w:rsidRPr="00F153F6">
        <w:rPr>
          <w:rFonts w:ascii="Times New Roman" w:hAnsi="Times New Roman" w:cs="Times New Roman"/>
          <w:sz w:val="24"/>
          <w:szCs w:val="24"/>
        </w:rPr>
        <w:t>(4), 491–507. https://doi.org/10.1111/jcc4.12019</w:t>
      </w:r>
    </w:p>
    <w:p w14:paraId="2E7DB59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Huxham, C., &amp; Vangen, S. (2005). </w:t>
      </w:r>
      <w:r w:rsidRPr="00F153F6">
        <w:rPr>
          <w:rFonts w:ascii="Times New Roman" w:hAnsi="Times New Roman" w:cs="Times New Roman"/>
          <w:i/>
          <w:iCs/>
          <w:sz w:val="24"/>
          <w:szCs w:val="24"/>
        </w:rPr>
        <w:t>Managing to collaborate: The theory and practice of collaborative advantage</w:t>
      </w:r>
      <w:r w:rsidRPr="00F153F6">
        <w:rPr>
          <w:rFonts w:ascii="Times New Roman" w:hAnsi="Times New Roman" w:cs="Times New Roman"/>
          <w:sz w:val="24"/>
          <w:szCs w:val="24"/>
        </w:rPr>
        <w:t>. Routledge.</w:t>
      </w:r>
    </w:p>
    <w:p w14:paraId="27ABD6B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Hwang, E. H., Singh, P. V., &amp; Argote, L. (2015). Knowledge Sharing in Online Communities: Learning to Cross Geographic and Hierarchical Boundaries. </w:t>
      </w:r>
      <w:r w:rsidRPr="00F153F6">
        <w:rPr>
          <w:rFonts w:ascii="Times New Roman" w:hAnsi="Times New Roman" w:cs="Times New Roman"/>
          <w:i/>
          <w:iCs/>
          <w:sz w:val="24"/>
          <w:szCs w:val="24"/>
        </w:rPr>
        <w:t>Organization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26</w:t>
      </w:r>
      <w:r w:rsidRPr="00F153F6">
        <w:rPr>
          <w:rFonts w:ascii="Times New Roman" w:hAnsi="Times New Roman" w:cs="Times New Roman"/>
          <w:sz w:val="24"/>
          <w:szCs w:val="24"/>
        </w:rPr>
        <w:t>(6), 1593–1611. https://doi.org/10.1287/orsc.2015.1009</w:t>
      </w:r>
    </w:p>
    <w:p w14:paraId="06581BA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Iacono, M. P., Martinez, M., Mangia, G., &amp; Galdiero, C. (2012). Knowledge creation and inter-organizational relationships: The development of innovation in the railway industry. </w:t>
      </w:r>
      <w:r w:rsidRPr="00F153F6">
        <w:rPr>
          <w:rFonts w:ascii="Times New Roman" w:hAnsi="Times New Roman" w:cs="Times New Roman"/>
          <w:i/>
          <w:iCs/>
          <w:sz w:val="24"/>
          <w:szCs w:val="24"/>
        </w:rPr>
        <w:t>Journal of Knowledge Management; Kempston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16</w:t>
      </w:r>
      <w:r w:rsidRPr="00F153F6">
        <w:rPr>
          <w:rFonts w:ascii="Times New Roman" w:hAnsi="Times New Roman" w:cs="Times New Roman"/>
          <w:sz w:val="24"/>
          <w:szCs w:val="24"/>
        </w:rPr>
        <w:t>(4), 604–616. http://dx.doi.org.sheffield.idm.oclc.org/10.1108/13673271211246176</w:t>
      </w:r>
    </w:p>
    <w:p w14:paraId="7D2A410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Ingene, C. A., Brown, J. R., &amp; Dant,  the late R. P. (2019). </w:t>
      </w:r>
      <w:r w:rsidRPr="00F153F6">
        <w:rPr>
          <w:rFonts w:ascii="Times New Roman" w:hAnsi="Times New Roman" w:cs="Times New Roman"/>
          <w:i/>
          <w:iCs/>
          <w:sz w:val="24"/>
          <w:szCs w:val="24"/>
        </w:rPr>
        <w:t>Handbook of Research on Distribution Channels</w:t>
      </w:r>
      <w:r w:rsidRPr="00F153F6">
        <w:rPr>
          <w:rFonts w:ascii="Times New Roman" w:hAnsi="Times New Roman" w:cs="Times New Roman"/>
          <w:sz w:val="24"/>
          <w:szCs w:val="24"/>
        </w:rPr>
        <w:t>. Edward Elgar Publishing.</w:t>
      </w:r>
    </w:p>
    <w:p w14:paraId="590D24B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Iriyama, A., Shi, W. (Stone), &amp; Prescott, J. E. (2014). Frequency and directional reversal of equity ownership change in international joint ventures. </w:t>
      </w:r>
      <w:r w:rsidRPr="00F153F6">
        <w:rPr>
          <w:rFonts w:ascii="Times New Roman" w:hAnsi="Times New Roman" w:cs="Times New Roman"/>
          <w:i/>
          <w:iCs/>
          <w:sz w:val="24"/>
          <w:szCs w:val="24"/>
        </w:rPr>
        <w:t>Asia Pacific Journal of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31</w:t>
      </w:r>
      <w:r w:rsidRPr="00F153F6">
        <w:rPr>
          <w:rFonts w:ascii="Times New Roman" w:hAnsi="Times New Roman" w:cs="Times New Roman"/>
          <w:sz w:val="24"/>
          <w:szCs w:val="24"/>
        </w:rPr>
        <w:t>(1), 215–243. https://doi.org/10.1007/s10490-013-9344-x</w:t>
      </w:r>
    </w:p>
    <w:p w14:paraId="68479B9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Islam, N., Buxmann, P., &amp; Ding, D. (2017). </w:t>
      </w:r>
      <w:r w:rsidRPr="00F153F6">
        <w:rPr>
          <w:rFonts w:ascii="Times New Roman" w:hAnsi="Times New Roman" w:cs="Times New Roman"/>
          <w:i/>
          <w:iCs/>
          <w:sz w:val="24"/>
          <w:szCs w:val="24"/>
        </w:rPr>
        <w:t>FOSTERING DIGITAL INNOVATION THROUGH INTER-ORGANIZATIONAL COLLABORATION BETWEEN INCUMBENT FIRMS AND START-UPS</w:t>
      </w:r>
      <w:r w:rsidRPr="00F153F6">
        <w:rPr>
          <w:rFonts w:ascii="Times New Roman" w:hAnsi="Times New Roman" w:cs="Times New Roman"/>
          <w:sz w:val="24"/>
          <w:szCs w:val="24"/>
        </w:rPr>
        <w:t>. 16.</w:t>
      </w:r>
    </w:p>
    <w:p w14:paraId="1E29A2E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Janicot, C., &amp; Mignon, S. (2012). Knowledge codification in audit and consulting firms: A conceptual and empirical approach. </w:t>
      </w:r>
      <w:r w:rsidRPr="00F153F6">
        <w:rPr>
          <w:rFonts w:ascii="Times New Roman" w:hAnsi="Times New Roman" w:cs="Times New Roman"/>
          <w:i/>
          <w:iCs/>
          <w:sz w:val="24"/>
          <w:szCs w:val="24"/>
        </w:rPr>
        <w:t>Knowledge Management Research &amp; Practice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10</w:t>
      </w:r>
      <w:r w:rsidRPr="00F153F6">
        <w:rPr>
          <w:rFonts w:ascii="Times New Roman" w:hAnsi="Times New Roman" w:cs="Times New Roman"/>
          <w:sz w:val="24"/>
          <w:szCs w:val="24"/>
        </w:rPr>
        <w:t>(1), 4–15. https://doi.org/10.1057/kmrp.2011.38</w:t>
      </w:r>
    </w:p>
    <w:p w14:paraId="3E5BAC6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Jarrahi, M. H. (2015). Digital and Physical Materiality of Information Technologies: The Case of Fitbit Activity Tracking Devices. </w:t>
      </w:r>
      <w:r w:rsidRPr="00F153F6">
        <w:rPr>
          <w:rFonts w:ascii="Times New Roman" w:hAnsi="Times New Roman" w:cs="Times New Roman"/>
          <w:i/>
          <w:iCs/>
          <w:sz w:val="24"/>
          <w:szCs w:val="24"/>
        </w:rPr>
        <w:t>2015 48th Hawaii International Conference on System Sciences</w:t>
      </w:r>
      <w:r w:rsidRPr="00F153F6">
        <w:rPr>
          <w:rFonts w:ascii="Times New Roman" w:hAnsi="Times New Roman" w:cs="Times New Roman"/>
          <w:sz w:val="24"/>
          <w:szCs w:val="24"/>
        </w:rPr>
        <w:t>, 1768–1777. https://doi.org/10.1109/HICSS.2015.214</w:t>
      </w:r>
    </w:p>
    <w:p w14:paraId="5DF274A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lastRenderedPageBreak/>
        <w:t xml:space="preserve">Jasimuddin, S. M. (2005). </w:t>
      </w:r>
      <w:r w:rsidRPr="00F153F6">
        <w:rPr>
          <w:rFonts w:ascii="Times New Roman" w:hAnsi="Times New Roman" w:cs="Times New Roman"/>
          <w:i/>
          <w:iCs/>
          <w:sz w:val="24"/>
          <w:szCs w:val="24"/>
        </w:rPr>
        <w:t>An Integration of Knowledge Transfer and Knowledge Storage: An Holistic Approach</w:t>
      </w:r>
      <w:r w:rsidRPr="00F153F6">
        <w:rPr>
          <w:rFonts w:ascii="Times New Roman" w:hAnsi="Times New Roman" w:cs="Times New Roman"/>
          <w:sz w:val="24"/>
          <w:szCs w:val="24"/>
        </w:rPr>
        <w:t>. 13.</w:t>
      </w:r>
    </w:p>
    <w:p w14:paraId="397277E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Jones, C., &amp; Lichtenstein, B. B. (2008). Temporary Inter‐organizational Projects: How Temporal and Social Embeddedness Enhance Coordination and Manage Uncertainty. In S. Cropper, C. Huxham, M. Ebers, &amp; P. S. Ring (Eds.), </w:t>
      </w:r>
      <w:r w:rsidRPr="00F153F6">
        <w:rPr>
          <w:rFonts w:ascii="Times New Roman" w:hAnsi="Times New Roman" w:cs="Times New Roman"/>
          <w:i/>
          <w:iCs/>
          <w:sz w:val="24"/>
          <w:szCs w:val="24"/>
        </w:rPr>
        <w:t>The Oxford Handbook of Inter-Organizational Relations</w:t>
      </w:r>
      <w:r w:rsidRPr="00F153F6">
        <w:rPr>
          <w:rFonts w:ascii="Times New Roman" w:hAnsi="Times New Roman" w:cs="Times New Roman"/>
          <w:sz w:val="24"/>
          <w:szCs w:val="24"/>
        </w:rPr>
        <w:t xml:space="preserve"> (p. 0). Oxford University Press. https://doi.org/10.1093/oxfordhb/9780199282944.003.0009</w:t>
      </w:r>
    </w:p>
    <w:p w14:paraId="776E79B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Joram, M. K., Harrison, B. K., &amp; Joseph, K. N. (2017). A Knowledge-Based System for Life Insurance Underwriting. </w:t>
      </w:r>
      <w:r w:rsidRPr="00F153F6">
        <w:rPr>
          <w:rFonts w:ascii="Times New Roman" w:hAnsi="Times New Roman" w:cs="Times New Roman"/>
          <w:i/>
          <w:iCs/>
          <w:sz w:val="24"/>
          <w:szCs w:val="24"/>
        </w:rPr>
        <w:t>International Journal of Information Technology and Computer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9</w:t>
      </w:r>
      <w:r w:rsidRPr="00F153F6">
        <w:rPr>
          <w:rFonts w:ascii="Times New Roman" w:hAnsi="Times New Roman" w:cs="Times New Roman"/>
          <w:sz w:val="24"/>
          <w:szCs w:val="24"/>
        </w:rPr>
        <w:t>(3), 40–49. https://doi.org/10.5815/ijitcs.2017.03.05</w:t>
      </w:r>
    </w:p>
    <w:p w14:paraId="6441109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Jung, J. J. (2009). Knowledge distribution via shared context between blog-based knowledge management systems: A case study of collaborative tagging. </w:t>
      </w:r>
      <w:r w:rsidRPr="00F153F6">
        <w:rPr>
          <w:rFonts w:ascii="Times New Roman" w:hAnsi="Times New Roman" w:cs="Times New Roman"/>
          <w:i/>
          <w:iCs/>
          <w:sz w:val="24"/>
          <w:szCs w:val="24"/>
        </w:rPr>
        <w:t>Expert Systems with Applications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36</w:t>
      </w:r>
      <w:r w:rsidRPr="00F153F6">
        <w:rPr>
          <w:rFonts w:ascii="Times New Roman" w:hAnsi="Times New Roman" w:cs="Times New Roman"/>
          <w:sz w:val="24"/>
          <w:szCs w:val="24"/>
        </w:rPr>
        <w:t>(7), 10627–10633. https://doi.org/10.1016/j.eswa.2009.02.052</w:t>
      </w:r>
    </w:p>
    <w:p w14:paraId="2F255A7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Juujärvi, S., &amp; Lund, V. (2016). Enhancing Early Innovation in an Urban Living Lab: Lessons from Espoo, Finland. </w:t>
      </w:r>
      <w:r w:rsidRPr="00F153F6">
        <w:rPr>
          <w:rFonts w:ascii="Times New Roman" w:hAnsi="Times New Roman" w:cs="Times New Roman"/>
          <w:i/>
          <w:iCs/>
          <w:sz w:val="24"/>
          <w:szCs w:val="24"/>
        </w:rPr>
        <w:t>Technology Innovation Management Review</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6</w:t>
      </w:r>
      <w:r w:rsidRPr="00F153F6">
        <w:rPr>
          <w:rFonts w:ascii="Times New Roman" w:hAnsi="Times New Roman" w:cs="Times New Roman"/>
          <w:sz w:val="24"/>
          <w:szCs w:val="24"/>
        </w:rPr>
        <w:t>(1), 11.</w:t>
      </w:r>
    </w:p>
    <w:p w14:paraId="470CBEF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Kallinikos, J. (2002). </w:t>
      </w:r>
      <w:r w:rsidRPr="00F153F6">
        <w:rPr>
          <w:rFonts w:ascii="Times New Roman" w:hAnsi="Times New Roman" w:cs="Times New Roman"/>
          <w:i/>
          <w:iCs/>
          <w:sz w:val="24"/>
          <w:szCs w:val="24"/>
        </w:rPr>
        <w:t>Reopening the Black Box of Technology Artifacts and Human Agency</w:t>
      </w:r>
      <w:r w:rsidRPr="00F153F6">
        <w:rPr>
          <w:rFonts w:ascii="Times New Roman" w:hAnsi="Times New Roman" w:cs="Times New Roman"/>
          <w:sz w:val="24"/>
          <w:szCs w:val="24"/>
        </w:rPr>
        <w:t>. 8.</w:t>
      </w:r>
    </w:p>
    <w:p w14:paraId="4F067F2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Karambelkar, M., &amp; Bhattacharya, S. (2017). Onboarding is a change: Applying change management model ADKAR to onboarding. </w:t>
      </w:r>
      <w:r w:rsidRPr="00F153F6">
        <w:rPr>
          <w:rFonts w:ascii="Times New Roman" w:hAnsi="Times New Roman" w:cs="Times New Roman"/>
          <w:i/>
          <w:iCs/>
          <w:sz w:val="24"/>
          <w:szCs w:val="24"/>
        </w:rPr>
        <w:t>Human Resource Management International Digest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25</w:t>
      </w:r>
      <w:r w:rsidRPr="00F153F6">
        <w:rPr>
          <w:rFonts w:ascii="Times New Roman" w:hAnsi="Times New Roman" w:cs="Times New Roman"/>
          <w:sz w:val="24"/>
          <w:szCs w:val="24"/>
        </w:rPr>
        <w:t>(7), 5–8. https://doi.org/10.1108/HRMID-04-2017-0073</w:t>
      </w:r>
    </w:p>
    <w:p w14:paraId="4749570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Kareborn, B. B., &amp; Stahlbrost, A. (2009). Living Lab: An open and citizen-centric approach for innovation. </w:t>
      </w:r>
      <w:r w:rsidRPr="00F153F6">
        <w:rPr>
          <w:rFonts w:ascii="Times New Roman" w:hAnsi="Times New Roman" w:cs="Times New Roman"/>
          <w:i/>
          <w:iCs/>
          <w:sz w:val="24"/>
          <w:szCs w:val="24"/>
        </w:rPr>
        <w:t>International Journal of Innovation and Regional Development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w:t>
      </w:r>
      <w:r w:rsidRPr="00F153F6">
        <w:rPr>
          <w:rFonts w:ascii="Times New Roman" w:hAnsi="Times New Roman" w:cs="Times New Roman"/>
          <w:sz w:val="24"/>
          <w:szCs w:val="24"/>
        </w:rPr>
        <w:t>(4), 356. https://doi.org/10.1504/IJIRD.2009.022727</w:t>
      </w:r>
    </w:p>
    <w:p w14:paraId="639BBF0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Kasemsap, K. (2017, July 1). </w:t>
      </w:r>
      <w:r w:rsidRPr="00F153F6">
        <w:rPr>
          <w:rFonts w:ascii="Times New Roman" w:hAnsi="Times New Roman" w:cs="Times New Roman"/>
          <w:i/>
          <w:iCs/>
          <w:sz w:val="24"/>
          <w:szCs w:val="24"/>
        </w:rPr>
        <w:t>Knowledge Discovery and Data Visualization: Theories and Perspectives</w:t>
      </w:r>
      <w:r w:rsidRPr="00F153F6">
        <w:rPr>
          <w:rFonts w:ascii="Times New Roman" w:hAnsi="Times New Roman" w:cs="Times New Roman"/>
          <w:sz w:val="24"/>
          <w:szCs w:val="24"/>
        </w:rPr>
        <w:t xml:space="preserve"> [Article]. International Journal of Organizational and Collective Intelligence (IJOCI). www.igi-global.com/article/knowledge-discovery-and-data-</w:t>
      </w:r>
      <w:r w:rsidRPr="00F153F6">
        <w:rPr>
          <w:rFonts w:ascii="Times New Roman" w:hAnsi="Times New Roman" w:cs="Times New Roman"/>
          <w:sz w:val="24"/>
          <w:szCs w:val="24"/>
        </w:rPr>
        <w:lastRenderedPageBreak/>
        <w:t>visualization/182757</w:t>
      </w:r>
    </w:p>
    <w:p w14:paraId="68FBEDB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Khalifeh, A., Farrell, P., &amp; Al-edenat, M. (2020). The impact of project sustainability management (PSM) on project success: A systematic literature review. </w:t>
      </w:r>
      <w:r w:rsidRPr="00F153F6">
        <w:rPr>
          <w:rFonts w:ascii="Times New Roman" w:hAnsi="Times New Roman" w:cs="Times New Roman"/>
          <w:i/>
          <w:iCs/>
          <w:sz w:val="24"/>
          <w:szCs w:val="24"/>
        </w:rPr>
        <w:t>Journal of Management Development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39</w:t>
      </w:r>
      <w:r w:rsidRPr="00F153F6">
        <w:rPr>
          <w:rFonts w:ascii="Times New Roman" w:hAnsi="Times New Roman" w:cs="Times New Roman"/>
          <w:sz w:val="24"/>
          <w:szCs w:val="24"/>
        </w:rPr>
        <w:t>(4), 453–474. https://doi.org/10.1108/JMD-02-2019-0045</w:t>
      </w:r>
    </w:p>
    <w:p w14:paraId="23DC847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Khamis, A. M., Kamel, M. S., &amp; Salichs, M. A. (2006). Cooperation: Concepts and General Typology. </w:t>
      </w:r>
      <w:r w:rsidRPr="00F153F6">
        <w:rPr>
          <w:rFonts w:ascii="Times New Roman" w:hAnsi="Times New Roman" w:cs="Times New Roman"/>
          <w:i/>
          <w:iCs/>
          <w:sz w:val="24"/>
          <w:szCs w:val="24"/>
        </w:rPr>
        <w:t>2006 IEEE International Conference on Systems, Man and Cybernetics</w:t>
      </w:r>
      <w:r w:rsidRPr="00F153F6">
        <w:rPr>
          <w:rFonts w:ascii="Times New Roman" w:hAnsi="Times New Roman" w:cs="Times New Roman"/>
          <w:sz w:val="24"/>
          <w:szCs w:val="24"/>
        </w:rPr>
        <w:t>, 1499–1505. https://doi.org/10.1109/ICSMC.2006.384929</w:t>
      </w:r>
    </w:p>
    <w:p w14:paraId="5DD1A48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Khan, S., &amp; VanWynsberghe, R. (2008). </w:t>
      </w:r>
      <w:r w:rsidRPr="00F153F6">
        <w:rPr>
          <w:rFonts w:ascii="Times New Roman" w:hAnsi="Times New Roman" w:cs="Times New Roman"/>
          <w:i/>
          <w:iCs/>
          <w:sz w:val="24"/>
          <w:szCs w:val="24"/>
        </w:rPr>
        <w:t>Cultivating the Under-Mined: Cross-Case Analysis as Knowledge Mobilization</w:t>
      </w:r>
      <w:r w:rsidRPr="00F153F6">
        <w:rPr>
          <w:rFonts w:ascii="Times New Roman" w:hAnsi="Times New Roman" w:cs="Times New Roman"/>
          <w:sz w:val="24"/>
          <w:szCs w:val="24"/>
        </w:rPr>
        <w:t>. 26.</w:t>
      </w:r>
    </w:p>
    <w:p w14:paraId="4EA2128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Kietzmann, J. H. (2017). Crowdsourcing: A revised definition and introduction to new research. </w:t>
      </w:r>
      <w:r w:rsidRPr="00F153F6">
        <w:rPr>
          <w:rFonts w:ascii="Times New Roman" w:hAnsi="Times New Roman" w:cs="Times New Roman"/>
          <w:i/>
          <w:iCs/>
          <w:sz w:val="24"/>
          <w:szCs w:val="24"/>
        </w:rPr>
        <w:t>Business Horizons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60</w:t>
      </w:r>
      <w:r w:rsidRPr="00F153F6">
        <w:rPr>
          <w:rFonts w:ascii="Times New Roman" w:hAnsi="Times New Roman" w:cs="Times New Roman"/>
          <w:sz w:val="24"/>
          <w:szCs w:val="24"/>
        </w:rPr>
        <w:t>(2), 151–153. https://doi.org/10.1016/j.bushor.2016.10.001</w:t>
      </w:r>
    </w:p>
    <w:p w14:paraId="3AADC16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Kietzmann, J. H., Hermkens, K., McCarthy, I. P., &amp; Silvestre, B. S. (2011). Social media? Get serious! Understanding the functional building blocks of social media. </w:t>
      </w:r>
      <w:r w:rsidRPr="00F153F6">
        <w:rPr>
          <w:rFonts w:ascii="Times New Roman" w:hAnsi="Times New Roman" w:cs="Times New Roman"/>
          <w:i/>
          <w:iCs/>
          <w:sz w:val="24"/>
          <w:szCs w:val="24"/>
        </w:rPr>
        <w:t>Business Horizons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54</w:t>
      </w:r>
      <w:r w:rsidRPr="00F153F6">
        <w:rPr>
          <w:rFonts w:ascii="Times New Roman" w:hAnsi="Times New Roman" w:cs="Times New Roman"/>
          <w:sz w:val="24"/>
          <w:szCs w:val="24"/>
        </w:rPr>
        <w:t>(3), 241–251. https://doi.org/10.1016/j.bushor.2011.01.005</w:t>
      </w:r>
    </w:p>
    <w:p w14:paraId="36E23A2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Kietzmann, J., Plangger, K., Eaton, B., Heilgenberg, K., Pitt, L., &amp; Berthon, P. (2013). Mobility at work: A typology of mobile communities of practice and contextual ambidexterity. </w:t>
      </w:r>
      <w:r w:rsidRPr="00F153F6">
        <w:rPr>
          <w:rFonts w:ascii="Times New Roman" w:hAnsi="Times New Roman" w:cs="Times New Roman"/>
          <w:i/>
          <w:iCs/>
          <w:sz w:val="24"/>
          <w:szCs w:val="24"/>
        </w:rPr>
        <w:t>The Journal of Strategic Information Systems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22</w:t>
      </w:r>
      <w:r w:rsidRPr="00F153F6">
        <w:rPr>
          <w:rFonts w:ascii="Times New Roman" w:hAnsi="Times New Roman" w:cs="Times New Roman"/>
          <w:sz w:val="24"/>
          <w:szCs w:val="24"/>
        </w:rPr>
        <w:t>(4), 282–297. https://doi.org/10.1016/j.jsis.2013.03.003</w:t>
      </w:r>
    </w:p>
    <w:p w14:paraId="1FDDD5E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Kim, J., &amp; Wilemon, D. (2002). Focusing the fuzzy front–end in new product development. </w:t>
      </w:r>
      <w:r w:rsidRPr="00F153F6">
        <w:rPr>
          <w:rFonts w:ascii="Times New Roman" w:hAnsi="Times New Roman" w:cs="Times New Roman"/>
          <w:i/>
          <w:iCs/>
          <w:sz w:val="24"/>
          <w:szCs w:val="24"/>
        </w:rPr>
        <w:t>R&amp;D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32</w:t>
      </w:r>
      <w:r w:rsidRPr="00F153F6">
        <w:rPr>
          <w:rFonts w:ascii="Times New Roman" w:hAnsi="Times New Roman" w:cs="Times New Roman"/>
          <w:sz w:val="24"/>
          <w:szCs w:val="24"/>
        </w:rPr>
        <w:t>(4), 269–279. https://doi.org/10.1111/1467-9310.00259</w:t>
      </w:r>
    </w:p>
    <w:p w14:paraId="1C64537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Kim, S. S. (2020). Exploitation of shared knowledge and creative behavior: The role of social context. </w:t>
      </w:r>
      <w:r w:rsidRPr="00F153F6">
        <w:rPr>
          <w:rFonts w:ascii="Times New Roman" w:hAnsi="Times New Roman" w:cs="Times New Roman"/>
          <w:i/>
          <w:iCs/>
          <w:sz w:val="24"/>
          <w:szCs w:val="24"/>
        </w:rPr>
        <w:t>Journal of Knowledge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24</w:t>
      </w:r>
      <w:r w:rsidRPr="00F153F6">
        <w:rPr>
          <w:rFonts w:ascii="Times New Roman" w:hAnsi="Times New Roman" w:cs="Times New Roman"/>
          <w:sz w:val="24"/>
          <w:szCs w:val="24"/>
        </w:rPr>
        <w:t>(2), 279–300. https://doi.org/10.1108/JKM-10-2018-0611</w:t>
      </w:r>
    </w:p>
    <w:p w14:paraId="4FE3C85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Kim, S., &amp; Trimi, S. (2007). IT for KM in the management consulting industry. </w:t>
      </w:r>
      <w:r w:rsidRPr="00F153F6">
        <w:rPr>
          <w:rFonts w:ascii="Times New Roman" w:hAnsi="Times New Roman" w:cs="Times New Roman"/>
          <w:i/>
          <w:iCs/>
          <w:sz w:val="24"/>
          <w:szCs w:val="24"/>
        </w:rPr>
        <w:t xml:space="preserve">Journal of </w:t>
      </w:r>
      <w:r w:rsidRPr="00F153F6">
        <w:rPr>
          <w:rFonts w:ascii="Times New Roman" w:hAnsi="Times New Roman" w:cs="Times New Roman"/>
          <w:i/>
          <w:iCs/>
          <w:sz w:val="24"/>
          <w:szCs w:val="24"/>
        </w:rPr>
        <w:lastRenderedPageBreak/>
        <w:t>Knowledge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11</w:t>
      </w:r>
      <w:r w:rsidRPr="00F153F6">
        <w:rPr>
          <w:rFonts w:ascii="Times New Roman" w:hAnsi="Times New Roman" w:cs="Times New Roman"/>
          <w:sz w:val="24"/>
          <w:szCs w:val="24"/>
        </w:rPr>
        <w:t>(3), 145–155. https://doi.org/10.1108/13673270710752162</w:t>
      </w:r>
    </w:p>
    <w:p w14:paraId="7088801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Kimble, C., Grenier, C., &amp; Goglio-Primard, K. (2010). Innovation and knowledge sharing across professional boundaries: Political interplay between boundary objects and brokers. </w:t>
      </w:r>
      <w:r w:rsidRPr="00F153F6">
        <w:rPr>
          <w:rFonts w:ascii="Times New Roman" w:hAnsi="Times New Roman" w:cs="Times New Roman"/>
          <w:i/>
          <w:iCs/>
          <w:sz w:val="24"/>
          <w:szCs w:val="24"/>
        </w:rPr>
        <w:t>International Journal of Information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30</w:t>
      </w:r>
      <w:r w:rsidRPr="00F153F6">
        <w:rPr>
          <w:rFonts w:ascii="Times New Roman" w:hAnsi="Times New Roman" w:cs="Times New Roman"/>
          <w:sz w:val="24"/>
          <w:szCs w:val="24"/>
        </w:rPr>
        <w:t>(5), 437–444. Scopus. https://doi.org/10.1016/j.ijinfomgt.2010.02.002</w:t>
      </w:r>
    </w:p>
    <w:p w14:paraId="3FA7338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King, W. R., &amp; Marks, P. V. (2008). Motivating knowledge sharing through a knowledge management system. </w:t>
      </w:r>
      <w:r w:rsidRPr="00F153F6">
        <w:rPr>
          <w:rFonts w:ascii="Times New Roman" w:hAnsi="Times New Roman" w:cs="Times New Roman"/>
          <w:i/>
          <w:iCs/>
          <w:sz w:val="24"/>
          <w:szCs w:val="24"/>
        </w:rPr>
        <w:t>Omega</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36</w:t>
      </w:r>
      <w:r w:rsidRPr="00F153F6">
        <w:rPr>
          <w:rFonts w:ascii="Times New Roman" w:hAnsi="Times New Roman" w:cs="Times New Roman"/>
          <w:sz w:val="24"/>
          <w:szCs w:val="24"/>
        </w:rPr>
        <w:t>(1), 131–146. https://doi.org/10.1016/j.omega.2005.10.006</w:t>
      </w:r>
    </w:p>
    <w:p w14:paraId="0C7059A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Ko, B., &amp; Sienkiewicz, K. (2016). </w:t>
      </w:r>
      <w:r w:rsidRPr="00F153F6">
        <w:rPr>
          <w:rFonts w:ascii="Times New Roman" w:hAnsi="Times New Roman" w:cs="Times New Roman"/>
          <w:i/>
          <w:iCs/>
          <w:sz w:val="24"/>
          <w:szCs w:val="24"/>
        </w:rPr>
        <w:t>FACTORS OF EFFECTIVE INTER-ORGANIZATIONAL COLLABORATION: A FRAMEWORK FOR PUBLIC MANAGEMENT*</w:t>
      </w:r>
      <w:r w:rsidRPr="00F153F6">
        <w:rPr>
          <w:rFonts w:ascii="Times New Roman" w:hAnsi="Times New Roman" w:cs="Times New Roman"/>
          <w:sz w:val="24"/>
          <w:szCs w:val="24"/>
        </w:rPr>
        <w:t>. 19.</w:t>
      </w:r>
    </w:p>
    <w:p w14:paraId="4D2BF11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Koch, A. M. (2005). </w:t>
      </w:r>
      <w:r w:rsidRPr="00F153F6">
        <w:rPr>
          <w:rFonts w:ascii="Times New Roman" w:hAnsi="Times New Roman" w:cs="Times New Roman"/>
          <w:i/>
          <w:iCs/>
          <w:sz w:val="24"/>
          <w:szCs w:val="24"/>
        </w:rPr>
        <w:t>Knowledge and Social Construction</w:t>
      </w:r>
      <w:r w:rsidRPr="00F153F6">
        <w:rPr>
          <w:rFonts w:ascii="Times New Roman" w:hAnsi="Times New Roman" w:cs="Times New Roman"/>
          <w:sz w:val="24"/>
          <w:szCs w:val="24"/>
        </w:rPr>
        <w:t>. Lexington Books.</w:t>
      </w:r>
    </w:p>
    <w:p w14:paraId="29CD23F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Kondo, D. K. (2009). </w:t>
      </w:r>
      <w:r w:rsidRPr="00F153F6">
        <w:rPr>
          <w:rFonts w:ascii="Times New Roman" w:hAnsi="Times New Roman" w:cs="Times New Roman"/>
          <w:i/>
          <w:iCs/>
          <w:sz w:val="24"/>
          <w:szCs w:val="24"/>
        </w:rPr>
        <w:t>Crafting Selves: Power, Gender, and Discourses of Identity in a Japanese Workplace</w:t>
      </w:r>
      <w:r w:rsidRPr="00F153F6">
        <w:rPr>
          <w:rFonts w:ascii="Times New Roman" w:hAnsi="Times New Roman" w:cs="Times New Roman"/>
          <w:sz w:val="24"/>
          <w:szCs w:val="24"/>
        </w:rPr>
        <w:t>. University of Chicago Press.</w:t>
      </w:r>
    </w:p>
    <w:p w14:paraId="3DE9E3C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Kozar, O. (2010). </w:t>
      </w:r>
      <w:r w:rsidRPr="00F153F6">
        <w:rPr>
          <w:rFonts w:ascii="Times New Roman" w:hAnsi="Times New Roman" w:cs="Times New Roman"/>
          <w:i/>
          <w:iCs/>
          <w:sz w:val="24"/>
          <w:szCs w:val="24"/>
        </w:rPr>
        <w:t>Towards Better Group Work: Seeing the Difference between Cooperation and Collaboration</w:t>
      </w:r>
      <w:r w:rsidRPr="00F153F6">
        <w:rPr>
          <w:rFonts w:ascii="Times New Roman" w:hAnsi="Times New Roman" w:cs="Times New Roman"/>
          <w:sz w:val="24"/>
          <w:szCs w:val="24"/>
        </w:rPr>
        <w:t>. https://files.eric.ed.gov/fulltext/EJ914888.pdf</w:t>
      </w:r>
    </w:p>
    <w:p w14:paraId="50D3CE0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Kristensson, P., Magnusson, P. R., Edvardsson, B., &amp; Sundström, E. (2010). </w:t>
      </w:r>
      <w:r w:rsidRPr="00F153F6">
        <w:rPr>
          <w:rFonts w:ascii="Times New Roman" w:hAnsi="Times New Roman" w:cs="Times New Roman"/>
          <w:i/>
          <w:iCs/>
          <w:sz w:val="24"/>
          <w:szCs w:val="24"/>
        </w:rPr>
        <w:t>Customer Integration within Service Development: A review of methods and an analysis of insitu and exsitu contributions</w:t>
      </w:r>
      <w:r w:rsidRPr="00F153F6">
        <w:rPr>
          <w:rFonts w:ascii="Times New Roman" w:hAnsi="Times New Roman" w:cs="Times New Roman"/>
          <w:sz w:val="24"/>
          <w:szCs w:val="24"/>
        </w:rPr>
        <w:t>. https://doi.org/10.1016/j.technovation.2011.04.006</w:t>
      </w:r>
    </w:p>
    <w:p w14:paraId="689333E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Krogh, G. von, Nonaka, I., &amp; Rechsteiner, L. (2012). Leadership in Organizational Knowledge Creation: A Review and Framework. </w:t>
      </w:r>
      <w:r w:rsidRPr="00F153F6">
        <w:rPr>
          <w:rFonts w:ascii="Times New Roman" w:hAnsi="Times New Roman" w:cs="Times New Roman"/>
          <w:i/>
          <w:iCs/>
          <w:sz w:val="24"/>
          <w:szCs w:val="24"/>
        </w:rPr>
        <w:t>Journal of Management Studies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49</w:t>
      </w:r>
      <w:r w:rsidRPr="00F153F6">
        <w:rPr>
          <w:rFonts w:ascii="Times New Roman" w:hAnsi="Times New Roman" w:cs="Times New Roman"/>
          <w:sz w:val="24"/>
          <w:szCs w:val="24"/>
        </w:rPr>
        <w:t>(1), 240–277. https://doi.org/10.1111/j.1467-6486.2010.00978.x</w:t>
      </w:r>
    </w:p>
    <w:p w14:paraId="723C58C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Kröse, B., Veenstra, M., Robben, S., &amp; Kanis, M. (2012). Living Labs as Educational Tool for Ambient Intelligence. In F. Paternò, B. de Ruyter, P. Markopoulos, C. Santoro, E. van Loenen, &amp; K. Luyten (Eds.), </w:t>
      </w:r>
      <w:r w:rsidRPr="00F153F6">
        <w:rPr>
          <w:rFonts w:ascii="Times New Roman" w:hAnsi="Times New Roman" w:cs="Times New Roman"/>
          <w:i/>
          <w:iCs/>
          <w:sz w:val="24"/>
          <w:szCs w:val="24"/>
        </w:rPr>
        <w:t>Ambient Intelligence</w:t>
      </w:r>
      <w:r w:rsidRPr="00F153F6">
        <w:rPr>
          <w:rFonts w:ascii="Times New Roman" w:hAnsi="Times New Roman" w:cs="Times New Roman"/>
          <w:sz w:val="24"/>
          <w:szCs w:val="24"/>
        </w:rPr>
        <w:t xml:space="preserve"> (Vol. 7683, pp. 356–363). Springer </w:t>
      </w:r>
      <w:r w:rsidRPr="00F153F6">
        <w:rPr>
          <w:rFonts w:ascii="Times New Roman" w:hAnsi="Times New Roman" w:cs="Times New Roman"/>
          <w:sz w:val="24"/>
          <w:szCs w:val="24"/>
        </w:rPr>
        <w:lastRenderedPageBreak/>
        <w:t>Berlin Heidelberg. https://doi.org/10.1007/978-3-642-34898-3_27</w:t>
      </w:r>
    </w:p>
    <w:p w14:paraId="102694E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Kubler, S., Buda, A., Robert, J., Främling, K., &amp; Le Traon, Y. (2016). Building Lifecycle Management System for Enhanced Closed Loop Collaboration. In R. Harik, L. Rivest, A. Bernard, B. Eynard, &amp; A. Bouras (Eds.), </w:t>
      </w:r>
      <w:r w:rsidRPr="00F153F6">
        <w:rPr>
          <w:rFonts w:ascii="Times New Roman" w:hAnsi="Times New Roman" w:cs="Times New Roman"/>
          <w:i/>
          <w:iCs/>
          <w:sz w:val="24"/>
          <w:szCs w:val="24"/>
        </w:rPr>
        <w:t>Product Lifecycle Management for Digital Transformation of Industries</w:t>
      </w:r>
      <w:r w:rsidRPr="00F153F6">
        <w:rPr>
          <w:rFonts w:ascii="Times New Roman" w:hAnsi="Times New Roman" w:cs="Times New Roman"/>
          <w:sz w:val="24"/>
          <w:szCs w:val="24"/>
        </w:rPr>
        <w:t xml:space="preserve"> (pp. 423–432). Springer International Publishing. https://doi.org/10.1007/978-3-319-54660-5_38</w:t>
      </w:r>
    </w:p>
    <w:p w14:paraId="332BF84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Küchler, S. (2008). Technological Materiality: Beyond the Dualist Paradigm. </w:t>
      </w:r>
      <w:r w:rsidRPr="00F153F6">
        <w:rPr>
          <w:rFonts w:ascii="Times New Roman" w:hAnsi="Times New Roman" w:cs="Times New Roman"/>
          <w:i/>
          <w:iCs/>
          <w:sz w:val="24"/>
          <w:szCs w:val="24"/>
        </w:rPr>
        <w:t>Theory, Culture &amp; Society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25</w:t>
      </w:r>
      <w:r w:rsidRPr="00F153F6">
        <w:rPr>
          <w:rFonts w:ascii="Times New Roman" w:hAnsi="Times New Roman" w:cs="Times New Roman"/>
          <w:sz w:val="24"/>
          <w:szCs w:val="24"/>
        </w:rPr>
        <w:t>(1), 101–120. https://doi.org/10.1177/0263276407085159</w:t>
      </w:r>
    </w:p>
    <w:p w14:paraId="38E08DC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Lalic, B., Tasic, N., Marjanovic, U., Delic, M., &amp; Cvetkovic, N. (2016). Inter-Organizational Collaboration for Innovation in Manufacturing Firms. In B. Katalinic (Ed.), </w:t>
      </w:r>
      <w:r w:rsidRPr="00F153F6">
        <w:rPr>
          <w:rFonts w:ascii="Times New Roman" w:hAnsi="Times New Roman" w:cs="Times New Roman"/>
          <w:i/>
          <w:iCs/>
          <w:sz w:val="24"/>
          <w:szCs w:val="24"/>
        </w:rPr>
        <w:t>DAAAM Proceedings</w:t>
      </w:r>
      <w:r w:rsidRPr="00F153F6">
        <w:rPr>
          <w:rFonts w:ascii="Times New Roman" w:hAnsi="Times New Roman" w:cs="Times New Roman"/>
          <w:sz w:val="24"/>
          <w:szCs w:val="24"/>
        </w:rPr>
        <w:t xml:space="preserve"> (1st ed., Vol. 1, pp. 0721–0729). DAAAM International Vienna. https://doi.org/10.2507/27th.daaam.proceedings.104</w:t>
      </w:r>
    </w:p>
    <w:p w14:paraId="19AB671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Lam, A. (1998). </w:t>
      </w:r>
      <w:r w:rsidRPr="00F153F6">
        <w:rPr>
          <w:rFonts w:ascii="Times New Roman" w:hAnsi="Times New Roman" w:cs="Times New Roman"/>
          <w:i/>
          <w:iCs/>
          <w:sz w:val="24"/>
          <w:szCs w:val="24"/>
        </w:rPr>
        <w:t>Tacit Knowledge, Organisational Learning and Innovation: A Societal Perspective</w:t>
      </w:r>
      <w:r w:rsidRPr="00F153F6">
        <w:rPr>
          <w:rFonts w:ascii="Times New Roman" w:hAnsi="Times New Roman" w:cs="Times New Roman"/>
          <w:sz w:val="24"/>
          <w:szCs w:val="24"/>
        </w:rPr>
        <w:t>. https://pdfs.semanticscholar.org/707c/af11b2eb0fb931e76a412bd221166420db28.pdf</w:t>
      </w:r>
    </w:p>
    <w:p w14:paraId="5F9F348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Lam, A. (2000). </w:t>
      </w:r>
      <w:r w:rsidRPr="00F153F6">
        <w:rPr>
          <w:rFonts w:ascii="Times New Roman" w:hAnsi="Times New Roman" w:cs="Times New Roman"/>
          <w:i/>
          <w:iCs/>
          <w:sz w:val="24"/>
          <w:szCs w:val="24"/>
        </w:rPr>
        <w:t>Tacit Knowledge, Organizational Learning and Societal Institutions: An Integrated Framework</w:t>
      </w:r>
      <w:r w:rsidRPr="00F153F6">
        <w:rPr>
          <w:rFonts w:ascii="Times New Roman" w:hAnsi="Times New Roman" w:cs="Times New Roman"/>
          <w:sz w:val="24"/>
          <w:szCs w:val="24"/>
        </w:rPr>
        <w:t>. https://journals.sagepub.com/doi/pdf/10.1177/0170840600213001</w:t>
      </w:r>
    </w:p>
    <w:p w14:paraId="79AFD27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Langford, J. D., &amp; McDonagh, D. (2003). </w:t>
      </w:r>
      <w:r w:rsidRPr="00F153F6">
        <w:rPr>
          <w:rFonts w:ascii="Times New Roman" w:hAnsi="Times New Roman" w:cs="Times New Roman"/>
          <w:i/>
          <w:iCs/>
          <w:sz w:val="24"/>
          <w:szCs w:val="24"/>
        </w:rPr>
        <w:t>Focus groups: Supporting effective product development</w:t>
      </w:r>
      <w:r w:rsidRPr="00F153F6">
        <w:rPr>
          <w:rFonts w:ascii="Times New Roman" w:hAnsi="Times New Roman" w:cs="Times New Roman"/>
          <w:sz w:val="24"/>
          <w:szCs w:val="24"/>
        </w:rPr>
        <w:t>. Taylor &amp; Francis. http://www.crcnetbase.com/isbn/9780203302743</w:t>
      </w:r>
    </w:p>
    <w:p w14:paraId="692A503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Laurillard, D., Stratfold, M., Luckin, R., Plowman, L., &amp; Taylor, J. (2000). Affordances for Learning in a Non-linear Narrative Medium. </w:t>
      </w:r>
      <w:r w:rsidRPr="00F153F6">
        <w:rPr>
          <w:rFonts w:ascii="Times New Roman" w:hAnsi="Times New Roman" w:cs="Times New Roman"/>
          <w:i/>
          <w:iCs/>
          <w:sz w:val="24"/>
          <w:szCs w:val="24"/>
        </w:rPr>
        <w:t>Journal of Interactive Media in Education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2000</w:t>
      </w:r>
      <w:r w:rsidRPr="00F153F6">
        <w:rPr>
          <w:rFonts w:ascii="Times New Roman" w:hAnsi="Times New Roman" w:cs="Times New Roman"/>
          <w:sz w:val="24"/>
          <w:szCs w:val="24"/>
        </w:rPr>
        <w:t>(2), 2. https://doi.org/10.5334/2000-2</w:t>
      </w:r>
    </w:p>
    <w:p w14:paraId="175402F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Lave, J., &amp; Wenger, E. (1991). </w:t>
      </w:r>
      <w:r w:rsidRPr="00F153F6">
        <w:rPr>
          <w:rFonts w:ascii="Times New Roman" w:hAnsi="Times New Roman" w:cs="Times New Roman"/>
          <w:i/>
          <w:iCs/>
          <w:sz w:val="24"/>
          <w:szCs w:val="24"/>
        </w:rPr>
        <w:t>Situated Learning: Legitimate Peripheral Participation</w:t>
      </w:r>
      <w:r w:rsidRPr="00F153F6">
        <w:rPr>
          <w:rFonts w:ascii="Times New Roman" w:hAnsi="Times New Roman" w:cs="Times New Roman"/>
          <w:sz w:val="24"/>
          <w:szCs w:val="24"/>
        </w:rPr>
        <w:t>. Cambridge University Press.</w:t>
      </w:r>
    </w:p>
    <w:p w14:paraId="0D02349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lastRenderedPageBreak/>
        <w:t xml:space="preserve">Le Pennec, M., &amp; Raufflet, E. (2018). Value Creation in Inter-Organizational Collaboration: An Empirical Study. </w:t>
      </w:r>
      <w:r w:rsidRPr="00F153F6">
        <w:rPr>
          <w:rFonts w:ascii="Times New Roman" w:hAnsi="Times New Roman" w:cs="Times New Roman"/>
          <w:i/>
          <w:iCs/>
          <w:sz w:val="24"/>
          <w:szCs w:val="24"/>
        </w:rPr>
        <w:t>Journal of Business Ethics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148</w:t>
      </w:r>
      <w:r w:rsidRPr="00F153F6">
        <w:rPr>
          <w:rFonts w:ascii="Times New Roman" w:hAnsi="Times New Roman" w:cs="Times New Roman"/>
          <w:sz w:val="24"/>
          <w:szCs w:val="24"/>
        </w:rPr>
        <w:t>(4), 817–834. Scopus. https://doi.org/10.1007/s10551-015-3012-7</w:t>
      </w:r>
    </w:p>
    <w:p w14:paraId="28A8588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Leckel, A., Veilleux, S., &amp; Dana, L. P. (2020). Local Open Innovation: A means for public policy to increase collaboration for innovation in SMEs. </w:t>
      </w:r>
      <w:r w:rsidRPr="00F153F6">
        <w:rPr>
          <w:rFonts w:ascii="Times New Roman" w:hAnsi="Times New Roman" w:cs="Times New Roman"/>
          <w:i/>
          <w:iCs/>
          <w:sz w:val="24"/>
          <w:szCs w:val="24"/>
        </w:rPr>
        <w:t>Technological Forecasting and Social Change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153</w:t>
      </w:r>
      <w:r w:rsidRPr="00F153F6">
        <w:rPr>
          <w:rFonts w:ascii="Times New Roman" w:hAnsi="Times New Roman" w:cs="Times New Roman"/>
          <w:sz w:val="24"/>
          <w:szCs w:val="24"/>
        </w:rPr>
        <w:t>, 119891. https://doi.org/10.1016/j.techfore.2019.119891</w:t>
      </w:r>
    </w:p>
    <w:p w14:paraId="5D59EEF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Lee, C.-F., &amp; Amjadi, M. (2014). The role of materiality: Knowing through objects in work practice. </w:t>
      </w:r>
      <w:r w:rsidRPr="00F153F6">
        <w:rPr>
          <w:rFonts w:ascii="Times New Roman" w:hAnsi="Times New Roman" w:cs="Times New Roman"/>
          <w:i/>
          <w:iCs/>
          <w:sz w:val="24"/>
          <w:szCs w:val="24"/>
        </w:rPr>
        <w:t>European Management Journal</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32</w:t>
      </w:r>
      <w:r w:rsidRPr="00F153F6">
        <w:rPr>
          <w:rFonts w:ascii="Times New Roman" w:hAnsi="Times New Roman" w:cs="Times New Roman"/>
          <w:sz w:val="24"/>
          <w:szCs w:val="24"/>
        </w:rPr>
        <w:t>(5), 723–734. https://doi.org/10.1016/j.emj.2014.01.004</w:t>
      </w:r>
    </w:p>
    <w:p w14:paraId="5E30659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Lee, S. M., Hwang, T., &amp; Choi, D. (2012). Open innovation in the public sector of leading countries. </w:t>
      </w:r>
      <w:r w:rsidRPr="00F153F6">
        <w:rPr>
          <w:rFonts w:ascii="Times New Roman" w:hAnsi="Times New Roman" w:cs="Times New Roman"/>
          <w:i/>
          <w:iCs/>
          <w:sz w:val="24"/>
          <w:szCs w:val="24"/>
        </w:rPr>
        <w:t>Management Decision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50</w:t>
      </w:r>
      <w:r w:rsidRPr="00F153F6">
        <w:rPr>
          <w:rFonts w:ascii="Times New Roman" w:hAnsi="Times New Roman" w:cs="Times New Roman"/>
          <w:sz w:val="24"/>
          <w:szCs w:val="24"/>
        </w:rPr>
        <w:t>(1), 147–162. https://doi.org/10.1108/00251741211194921</w:t>
      </w:r>
    </w:p>
    <w:p w14:paraId="01B6747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Leminen, S. (2013). Coordination and Participation in Living Lab Networks. </w:t>
      </w:r>
      <w:r w:rsidRPr="00F153F6">
        <w:rPr>
          <w:rFonts w:ascii="Times New Roman" w:hAnsi="Times New Roman" w:cs="Times New Roman"/>
          <w:i/>
          <w:iCs/>
          <w:sz w:val="24"/>
          <w:szCs w:val="24"/>
        </w:rPr>
        <w:t>Technology Innovation Management Review</w:t>
      </w:r>
      <w:r w:rsidRPr="00F153F6">
        <w:rPr>
          <w:rFonts w:ascii="Times New Roman" w:hAnsi="Times New Roman" w:cs="Times New Roman"/>
          <w:sz w:val="24"/>
          <w:szCs w:val="24"/>
        </w:rPr>
        <w:t>, 10.</w:t>
      </w:r>
    </w:p>
    <w:p w14:paraId="4F9E3FC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Leminen, S., Nyström, A.-G., &amp; Westerlund, M. (2015). A typology of creative consumers in living labs. </w:t>
      </w:r>
      <w:r w:rsidRPr="00F153F6">
        <w:rPr>
          <w:rFonts w:ascii="Times New Roman" w:hAnsi="Times New Roman" w:cs="Times New Roman"/>
          <w:i/>
          <w:iCs/>
          <w:sz w:val="24"/>
          <w:szCs w:val="24"/>
        </w:rPr>
        <w:t>Journal of Engineering and Technology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37</w:t>
      </w:r>
      <w:r w:rsidRPr="00F153F6">
        <w:rPr>
          <w:rFonts w:ascii="Times New Roman" w:hAnsi="Times New Roman" w:cs="Times New Roman"/>
          <w:sz w:val="24"/>
          <w:szCs w:val="24"/>
        </w:rPr>
        <w:t>, 6–20. https://doi.org/10.1016/j.jengtecman.2015.08.008</w:t>
      </w:r>
    </w:p>
    <w:p w14:paraId="0500E97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Leminen, S., Nyström, A.-G., Westerlund, M., &amp; Kortelainen, M. J. (2016). The effect of network structure on radical innovation in living labs. </w:t>
      </w:r>
      <w:r w:rsidRPr="00F153F6">
        <w:rPr>
          <w:rFonts w:ascii="Times New Roman" w:hAnsi="Times New Roman" w:cs="Times New Roman"/>
          <w:i/>
          <w:iCs/>
          <w:sz w:val="24"/>
          <w:szCs w:val="24"/>
        </w:rPr>
        <w:t>Journal of Business &amp; Industrial Marketing</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31</w:t>
      </w:r>
      <w:r w:rsidRPr="00F153F6">
        <w:rPr>
          <w:rFonts w:ascii="Times New Roman" w:hAnsi="Times New Roman" w:cs="Times New Roman"/>
          <w:sz w:val="24"/>
          <w:szCs w:val="24"/>
        </w:rPr>
        <w:t>(6), 743–757. https://doi.org/10.1108/JBIM-10-2012-0179</w:t>
      </w:r>
    </w:p>
    <w:p w14:paraId="0F0971F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Leminen, S., Rajahonka, M., &amp; Westerlund, M. (2017). Towards Third-Generation Living Lab Networks in Cities. </w:t>
      </w:r>
      <w:r w:rsidRPr="00F153F6">
        <w:rPr>
          <w:rFonts w:ascii="Times New Roman" w:hAnsi="Times New Roman" w:cs="Times New Roman"/>
          <w:i/>
          <w:iCs/>
          <w:sz w:val="24"/>
          <w:szCs w:val="24"/>
        </w:rPr>
        <w:t>Technology Innovation Management Review</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7</w:t>
      </w:r>
      <w:r w:rsidRPr="00F153F6">
        <w:rPr>
          <w:rFonts w:ascii="Times New Roman" w:hAnsi="Times New Roman" w:cs="Times New Roman"/>
          <w:sz w:val="24"/>
          <w:szCs w:val="24"/>
        </w:rPr>
        <w:t>(11), 21–35. https://doi.org/10.22215/timreview/1118</w:t>
      </w:r>
    </w:p>
    <w:p w14:paraId="7865F49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Leminen, S., &amp; Westerlund, M. (2016). A framework for understanding the different research avenues of living labs. </w:t>
      </w:r>
      <w:r w:rsidRPr="00F153F6">
        <w:rPr>
          <w:rFonts w:ascii="Times New Roman" w:hAnsi="Times New Roman" w:cs="Times New Roman"/>
          <w:i/>
          <w:iCs/>
          <w:sz w:val="24"/>
          <w:szCs w:val="24"/>
        </w:rPr>
        <w:t>International Journal of Technology Marketing</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11</w:t>
      </w:r>
      <w:r w:rsidRPr="00F153F6">
        <w:rPr>
          <w:rFonts w:ascii="Times New Roman" w:hAnsi="Times New Roman" w:cs="Times New Roman"/>
          <w:sz w:val="24"/>
          <w:szCs w:val="24"/>
        </w:rPr>
        <w:t xml:space="preserve">(4), 399–420. </w:t>
      </w:r>
      <w:r w:rsidRPr="00F153F6">
        <w:rPr>
          <w:rFonts w:ascii="Times New Roman" w:hAnsi="Times New Roman" w:cs="Times New Roman"/>
          <w:sz w:val="24"/>
          <w:szCs w:val="24"/>
        </w:rPr>
        <w:lastRenderedPageBreak/>
        <w:t>https://doi.org/10.1504/IJTMKT.2016.079731</w:t>
      </w:r>
    </w:p>
    <w:p w14:paraId="7A65E36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Leminen, S., &amp; Westerlund, M. (2019). Living labs: From scattered initiatives to a global movement. </w:t>
      </w:r>
      <w:r w:rsidRPr="00F153F6">
        <w:rPr>
          <w:rFonts w:ascii="Times New Roman" w:hAnsi="Times New Roman" w:cs="Times New Roman"/>
          <w:i/>
          <w:iCs/>
          <w:sz w:val="24"/>
          <w:szCs w:val="24"/>
        </w:rPr>
        <w:t>Creativity and Innovation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28</w:t>
      </w:r>
      <w:r w:rsidRPr="00F153F6">
        <w:rPr>
          <w:rFonts w:ascii="Times New Roman" w:hAnsi="Times New Roman" w:cs="Times New Roman"/>
          <w:sz w:val="24"/>
          <w:szCs w:val="24"/>
        </w:rPr>
        <w:t>(2), 250–264. https://doi.org/10.1111/caim.12310</w:t>
      </w:r>
    </w:p>
    <w:p w14:paraId="31D0F0D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Leminen, S., Westerlund, M., &amp; Nyström, A.-G. (2012). Living Labs as Open-Innovation Networks. </w:t>
      </w:r>
      <w:r w:rsidRPr="00F153F6">
        <w:rPr>
          <w:rFonts w:ascii="Times New Roman" w:hAnsi="Times New Roman" w:cs="Times New Roman"/>
          <w:i/>
          <w:iCs/>
          <w:sz w:val="24"/>
          <w:szCs w:val="24"/>
        </w:rPr>
        <w:t>Technology Innovation Management Review</w:t>
      </w:r>
      <w:r w:rsidRPr="00F153F6">
        <w:rPr>
          <w:rFonts w:ascii="Times New Roman" w:hAnsi="Times New Roman" w:cs="Times New Roman"/>
          <w:sz w:val="24"/>
          <w:szCs w:val="24"/>
        </w:rPr>
        <w:t>, 7.</w:t>
      </w:r>
    </w:p>
    <w:p w14:paraId="37B4DBB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Le-Nguyen, K., Dyerson, R., &amp; Harindranath, G. (2018). Exploring knowledge management software implementation from a knowing-in-practice perspective. </w:t>
      </w:r>
      <w:r w:rsidRPr="00F153F6">
        <w:rPr>
          <w:rFonts w:ascii="Times New Roman" w:hAnsi="Times New Roman" w:cs="Times New Roman"/>
          <w:i/>
          <w:iCs/>
          <w:sz w:val="24"/>
          <w:szCs w:val="24"/>
        </w:rPr>
        <w:t>Information Systems Frontiers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20</w:t>
      </w:r>
      <w:r w:rsidRPr="00F153F6">
        <w:rPr>
          <w:rFonts w:ascii="Times New Roman" w:hAnsi="Times New Roman" w:cs="Times New Roman"/>
          <w:sz w:val="24"/>
          <w:szCs w:val="24"/>
        </w:rPr>
        <w:t>(5), 1117–1133. https://doi.org/10.1007/s10796-016-9713-3</w:t>
      </w:r>
    </w:p>
    <w:p w14:paraId="305D293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Lentz, K. (2012). What are the advantages and disadvantages of using the archival method? </w:t>
      </w:r>
      <w:r w:rsidRPr="00F153F6">
        <w:rPr>
          <w:rFonts w:ascii="Times New Roman" w:hAnsi="Times New Roman" w:cs="Times New Roman"/>
          <w:i/>
          <w:iCs/>
          <w:sz w:val="24"/>
          <w:szCs w:val="24"/>
        </w:rPr>
        <w:t>ENotes</w:t>
      </w:r>
      <w:r w:rsidRPr="00F153F6">
        <w:rPr>
          <w:rFonts w:ascii="Times New Roman" w:hAnsi="Times New Roman" w:cs="Times New Roman"/>
          <w:sz w:val="24"/>
          <w:szCs w:val="24"/>
        </w:rPr>
        <w:t>. /homework-help/what-advantages-disadvantages-archival-method-332037</w:t>
      </w:r>
    </w:p>
    <w:p w14:paraId="0102C587" w14:textId="547F6EE3"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Leonardi. (2011). When Flexible Routines Meet Flexible Technologies: Affordance, Constraint, and the Imbrication of Human and Material Agencies. </w:t>
      </w:r>
      <w:r w:rsidRPr="00F153F6">
        <w:rPr>
          <w:rFonts w:ascii="Times New Roman" w:hAnsi="Times New Roman" w:cs="Times New Roman"/>
          <w:i/>
          <w:iCs/>
          <w:sz w:val="24"/>
          <w:szCs w:val="24"/>
        </w:rPr>
        <w:t>MIS Quarterly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35</w:t>
      </w:r>
      <w:r w:rsidRPr="00F153F6">
        <w:rPr>
          <w:rFonts w:ascii="Times New Roman" w:hAnsi="Times New Roman" w:cs="Times New Roman"/>
          <w:sz w:val="24"/>
          <w:szCs w:val="24"/>
        </w:rPr>
        <w:t>(1), 147. https://doi.org/10.2307/23043493</w:t>
      </w:r>
    </w:p>
    <w:p w14:paraId="2984D47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Leonardi, P. M. (2013). Theoretical foundations for the study of sociomateriality. </w:t>
      </w:r>
      <w:r w:rsidRPr="00F153F6">
        <w:rPr>
          <w:rFonts w:ascii="Times New Roman" w:hAnsi="Times New Roman" w:cs="Times New Roman"/>
          <w:i/>
          <w:iCs/>
          <w:sz w:val="24"/>
          <w:szCs w:val="24"/>
        </w:rPr>
        <w:t>Information and Organization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23</w:t>
      </w:r>
      <w:r w:rsidRPr="00F153F6">
        <w:rPr>
          <w:rFonts w:ascii="Times New Roman" w:hAnsi="Times New Roman" w:cs="Times New Roman"/>
          <w:sz w:val="24"/>
          <w:szCs w:val="24"/>
        </w:rPr>
        <w:t>(2), 59–76. https://doi.org/10.1016/j.infoandorg.2013.02.002</w:t>
      </w:r>
    </w:p>
    <w:p w14:paraId="67D7118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Leonardi, P. M., Nardi, B. A., &amp; Kallinikos, J. (2012). </w:t>
      </w:r>
      <w:r w:rsidRPr="00F153F6">
        <w:rPr>
          <w:rFonts w:ascii="Times New Roman" w:hAnsi="Times New Roman" w:cs="Times New Roman"/>
          <w:i/>
          <w:iCs/>
          <w:sz w:val="24"/>
          <w:szCs w:val="24"/>
        </w:rPr>
        <w:t>Materiality and Organizing: Social Interaction in a Technological World</w:t>
      </w:r>
      <w:r w:rsidRPr="00F153F6">
        <w:rPr>
          <w:rFonts w:ascii="Times New Roman" w:hAnsi="Times New Roman" w:cs="Times New Roman"/>
          <w:sz w:val="24"/>
          <w:szCs w:val="24"/>
        </w:rPr>
        <w:t>. OUP Oxford.</w:t>
      </w:r>
    </w:p>
    <w:p w14:paraId="40C8220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Li, S. (2018). </w:t>
      </w:r>
      <w:r w:rsidRPr="00F153F6">
        <w:rPr>
          <w:rFonts w:ascii="Times New Roman" w:hAnsi="Times New Roman" w:cs="Times New Roman"/>
          <w:i/>
          <w:iCs/>
          <w:sz w:val="24"/>
          <w:szCs w:val="24"/>
        </w:rPr>
        <w:t>Knowledge Domains and Skills that Facilitate Knowledge Sharing in Project Management -A Case Study in the Chinese Construction Industry</w:t>
      </w:r>
      <w:r w:rsidRPr="00F153F6">
        <w:rPr>
          <w:rFonts w:ascii="Times New Roman" w:hAnsi="Times New Roman" w:cs="Times New Roman"/>
          <w:sz w:val="24"/>
          <w:szCs w:val="24"/>
        </w:rPr>
        <w:t>. http://etheses.whiterose.ac.uk/21467/2/Thesis_Shuyang%20Li.pdf</w:t>
      </w:r>
    </w:p>
    <w:p w14:paraId="58CEA3B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Li, S., Martins, J. T., Vasconcelos, A. C., &amp; Peng, G. (2023). Knowledge sharing in project work: The dynamic interplay of knowledge domains and skills. </w:t>
      </w:r>
      <w:r w:rsidRPr="00F153F6">
        <w:rPr>
          <w:rFonts w:ascii="Times New Roman" w:hAnsi="Times New Roman" w:cs="Times New Roman"/>
          <w:i/>
          <w:iCs/>
          <w:sz w:val="24"/>
          <w:szCs w:val="24"/>
        </w:rPr>
        <w:t>Journal of Knowledge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27</w:t>
      </w:r>
      <w:r w:rsidRPr="00F153F6">
        <w:rPr>
          <w:rFonts w:ascii="Times New Roman" w:hAnsi="Times New Roman" w:cs="Times New Roman"/>
          <w:sz w:val="24"/>
          <w:szCs w:val="24"/>
        </w:rPr>
        <w:t>(2), 328–355. https://doi.org/10.1108/JKM-06-2021-0455</w:t>
      </w:r>
    </w:p>
    <w:p w14:paraId="0A6C55C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Li, Y., Kettinger, W., &amp; University of South Carolina. (2006). An Evolutionary Information-</w:t>
      </w:r>
      <w:r w:rsidRPr="00F153F6">
        <w:rPr>
          <w:rFonts w:ascii="Times New Roman" w:hAnsi="Times New Roman" w:cs="Times New Roman"/>
          <w:sz w:val="24"/>
          <w:szCs w:val="24"/>
        </w:rPr>
        <w:lastRenderedPageBreak/>
        <w:t xml:space="preserve">Processing Theory of Knowledge Creation. </w:t>
      </w:r>
      <w:r w:rsidRPr="00F153F6">
        <w:rPr>
          <w:rFonts w:ascii="Times New Roman" w:hAnsi="Times New Roman" w:cs="Times New Roman"/>
          <w:i/>
          <w:iCs/>
          <w:sz w:val="24"/>
          <w:szCs w:val="24"/>
        </w:rPr>
        <w:t>Journal of the Association for Information Systems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7</w:t>
      </w:r>
      <w:r w:rsidRPr="00F153F6">
        <w:rPr>
          <w:rFonts w:ascii="Times New Roman" w:hAnsi="Times New Roman" w:cs="Times New Roman"/>
          <w:sz w:val="24"/>
          <w:szCs w:val="24"/>
        </w:rPr>
        <w:t>(9), 593–617. https://doi.org/10.17705/1jais.00101</w:t>
      </w:r>
    </w:p>
    <w:p w14:paraId="7923EED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Lie, A. (2011). Coordination Processes and Outcomes in the Public Service: The Challenge of Inter-Organizational Food Safety Coordination in Norway. </w:t>
      </w:r>
      <w:r w:rsidRPr="00F153F6">
        <w:rPr>
          <w:rFonts w:ascii="Times New Roman" w:hAnsi="Times New Roman" w:cs="Times New Roman"/>
          <w:i/>
          <w:iCs/>
          <w:sz w:val="24"/>
          <w:szCs w:val="24"/>
        </w:rPr>
        <w:t>Public Administration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89</w:t>
      </w:r>
      <w:r w:rsidRPr="00F153F6">
        <w:rPr>
          <w:rFonts w:ascii="Times New Roman" w:hAnsi="Times New Roman" w:cs="Times New Roman"/>
          <w:sz w:val="24"/>
          <w:szCs w:val="24"/>
        </w:rPr>
        <w:t>(2), 401–417. https://doi.org/10.1111/j.1467-9299.2010.01845.x</w:t>
      </w:r>
    </w:p>
    <w:p w14:paraId="728E7A6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Lin, Y.-C., Wang, L.-C., &amp; Tserng, H. P. (2006). Enhancing knowledge exchange through web map-based knowledge management system in construction: Lessons learned in Taiwan. </w:t>
      </w:r>
      <w:r w:rsidRPr="00F153F6">
        <w:rPr>
          <w:rFonts w:ascii="Times New Roman" w:hAnsi="Times New Roman" w:cs="Times New Roman"/>
          <w:i/>
          <w:iCs/>
          <w:sz w:val="24"/>
          <w:szCs w:val="24"/>
        </w:rPr>
        <w:t>Automation in Construction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15</w:t>
      </w:r>
      <w:r w:rsidRPr="00F153F6">
        <w:rPr>
          <w:rFonts w:ascii="Times New Roman" w:hAnsi="Times New Roman" w:cs="Times New Roman"/>
          <w:sz w:val="24"/>
          <w:szCs w:val="24"/>
        </w:rPr>
        <w:t>(6), 693–705. https://doi.org/10.1016/j.autcon.2005.09.006</w:t>
      </w:r>
    </w:p>
    <w:p w14:paraId="5EF9D82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Lindenfors, P. (2017). </w:t>
      </w:r>
      <w:r w:rsidRPr="00F153F6">
        <w:rPr>
          <w:rFonts w:ascii="Times New Roman" w:hAnsi="Times New Roman" w:cs="Times New Roman"/>
          <w:i/>
          <w:iCs/>
          <w:sz w:val="24"/>
          <w:szCs w:val="24"/>
        </w:rPr>
        <w:t>For Whose Benefit?: The Biological and Cultural Evolution of Human Cooperation</w:t>
      </w:r>
      <w:r w:rsidRPr="00F153F6">
        <w:rPr>
          <w:rFonts w:ascii="Times New Roman" w:hAnsi="Times New Roman" w:cs="Times New Roman"/>
          <w:sz w:val="24"/>
          <w:szCs w:val="24"/>
        </w:rPr>
        <w:t>. Springer.</w:t>
      </w:r>
    </w:p>
    <w:p w14:paraId="31E5D57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Lis, D., &amp; Otto, B. (2020). </w:t>
      </w:r>
      <w:r w:rsidRPr="00F153F6">
        <w:rPr>
          <w:rFonts w:ascii="Times New Roman" w:hAnsi="Times New Roman" w:cs="Times New Roman"/>
          <w:i/>
          <w:iCs/>
          <w:sz w:val="24"/>
          <w:szCs w:val="24"/>
        </w:rPr>
        <w:t>Data Governance in Data Ecosystems – Insights from Organizations</w:t>
      </w:r>
      <w:r w:rsidRPr="00F153F6">
        <w:rPr>
          <w:rFonts w:ascii="Times New Roman" w:hAnsi="Times New Roman" w:cs="Times New Roman"/>
          <w:sz w:val="24"/>
          <w:szCs w:val="24"/>
        </w:rPr>
        <w:t>. 12.</w:t>
      </w:r>
    </w:p>
    <w:p w14:paraId="593BF24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Lomi, A. (2002). </w:t>
      </w:r>
      <w:r w:rsidRPr="00F153F6">
        <w:rPr>
          <w:rFonts w:ascii="Times New Roman" w:hAnsi="Times New Roman" w:cs="Times New Roman"/>
          <w:i/>
          <w:iCs/>
          <w:sz w:val="24"/>
          <w:szCs w:val="24"/>
        </w:rPr>
        <w:t>Density Dependence and Spatial Duality in Organizational Founding Rates: Danish Commercial Banks, 1846–1989</w:t>
      </w:r>
      <w:r w:rsidRPr="00F153F6">
        <w:rPr>
          <w:rFonts w:ascii="Times New Roman" w:hAnsi="Times New Roman" w:cs="Times New Roman"/>
          <w:sz w:val="24"/>
          <w:szCs w:val="24"/>
        </w:rPr>
        <w:t>. https://journals.sagepub.com/doi/pdf/10.1177/0170840600212006</w:t>
      </w:r>
    </w:p>
    <w:p w14:paraId="6BCA6DC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Loshin, D. (2001). </w:t>
      </w:r>
      <w:r w:rsidRPr="00F153F6">
        <w:rPr>
          <w:rFonts w:ascii="Times New Roman" w:hAnsi="Times New Roman" w:cs="Times New Roman"/>
          <w:i/>
          <w:iCs/>
          <w:sz w:val="24"/>
          <w:szCs w:val="24"/>
        </w:rPr>
        <w:t>Enterprise Knowledge Management: The Data Quality Approach</w:t>
      </w:r>
      <w:r w:rsidRPr="00F153F6">
        <w:rPr>
          <w:rFonts w:ascii="Times New Roman" w:hAnsi="Times New Roman" w:cs="Times New Roman"/>
          <w:sz w:val="24"/>
          <w:szCs w:val="24"/>
        </w:rPr>
        <w:t>. Morgan Kaufmann.</w:t>
      </w:r>
    </w:p>
    <w:p w14:paraId="4FE238E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Loukis, E., Kyriakou, N., Pazalos, K., &amp; Popa, S. (2017). Inter-organizational innovation and cloud computing. </w:t>
      </w:r>
      <w:r w:rsidRPr="00F153F6">
        <w:rPr>
          <w:rFonts w:ascii="Times New Roman" w:hAnsi="Times New Roman" w:cs="Times New Roman"/>
          <w:i/>
          <w:iCs/>
          <w:sz w:val="24"/>
          <w:szCs w:val="24"/>
        </w:rPr>
        <w:t>Electronic Commerce Research</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17</w:t>
      </w:r>
      <w:r w:rsidRPr="00F153F6">
        <w:rPr>
          <w:rFonts w:ascii="Times New Roman" w:hAnsi="Times New Roman" w:cs="Times New Roman"/>
          <w:sz w:val="24"/>
          <w:szCs w:val="24"/>
        </w:rPr>
        <w:t>(3), 379–401. Scopus. https://doi.org/10.1007/s10660-016-9239-2</w:t>
      </w:r>
    </w:p>
    <w:p w14:paraId="34AE701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Lubbe, S., &amp; Singh, S. (2009). From Conception to Demise: Implications for Users of Information Systems in Changing a Local Parastatal Educational Institution in KwaZulu-Natal, South Africa. In </w:t>
      </w:r>
      <w:r w:rsidRPr="00F153F6">
        <w:rPr>
          <w:rFonts w:ascii="Times New Roman" w:hAnsi="Times New Roman" w:cs="Times New Roman"/>
          <w:i/>
          <w:iCs/>
          <w:sz w:val="24"/>
          <w:szCs w:val="24"/>
        </w:rPr>
        <w:t>Handbook of Research on Strategies for Local E-Government Adoption and Implementation: Comparative Studies</w:t>
      </w:r>
      <w:r w:rsidRPr="00F153F6">
        <w:rPr>
          <w:rFonts w:ascii="Times New Roman" w:hAnsi="Times New Roman" w:cs="Times New Roman"/>
          <w:sz w:val="24"/>
          <w:szCs w:val="24"/>
        </w:rPr>
        <w:t xml:space="preserve"> (pp. 832–862). IGI </w:t>
      </w:r>
      <w:r w:rsidRPr="00F153F6">
        <w:rPr>
          <w:rFonts w:ascii="Times New Roman" w:hAnsi="Times New Roman" w:cs="Times New Roman"/>
          <w:sz w:val="24"/>
          <w:szCs w:val="24"/>
        </w:rPr>
        <w:lastRenderedPageBreak/>
        <w:t>Global. https://doi.org/10.4018/978-1-60566-282-4.ch044</w:t>
      </w:r>
    </w:p>
    <w:p w14:paraId="230F826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Luo, B. N., Lui, S., Liu, C.-H., &amp; Zhang, R. (2018). Knowledge exploration and innovation: A review and an inverse S-curve proposition. </w:t>
      </w:r>
      <w:r w:rsidRPr="00F153F6">
        <w:rPr>
          <w:rFonts w:ascii="Times New Roman" w:hAnsi="Times New Roman" w:cs="Times New Roman"/>
          <w:i/>
          <w:iCs/>
          <w:sz w:val="24"/>
          <w:szCs w:val="24"/>
        </w:rPr>
        <w:t>Journal of Management &amp; Organization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24</w:t>
      </w:r>
      <w:r w:rsidRPr="00F153F6">
        <w:rPr>
          <w:rFonts w:ascii="Times New Roman" w:hAnsi="Times New Roman" w:cs="Times New Roman"/>
          <w:sz w:val="24"/>
          <w:szCs w:val="24"/>
        </w:rPr>
        <w:t>(6), 870–892. https://doi.org/10.1017/jmo.2016.39</w:t>
      </w:r>
    </w:p>
    <w:p w14:paraId="0EB64C5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Machlup, F. (2014). </w:t>
      </w:r>
      <w:r w:rsidRPr="00F153F6">
        <w:rPr>
          <w:rFonts w:ascii="Times New Roman" w:hAnsi="Times New Roman" w:cs="Times New Roman"/>
          <w:i/>
          <w:iCs/>
          <w:sz w:val="24"/>
          <w:szCs w:val="24"/>
        </w:rPr>
        <w:t>Knowledge: Its Creation, Distribution and Economic Significance, Volume I: Knowledge and Knowledge Production</w:t>
      </w:r>
      <w:r w:rsidRPr="00F153F6">
        <w:rPr>
          <w:rFonts w:ascii="Times New Roman" w:hAnsi="Times New Roman" w:cs="Times New Roman"/>
          <w:sz w:val="24"/>
          <w:szCs w:val="24"/>
        </w:rPr>
        <w:t>. Princeton University Press.</w:t>
      </w:r>
    </w:p>
    <w:p w14:paraId="029A53B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Magnusson, J., Nilsson, A., &amp; Valentin, K. (2005). </w:t>
      </w:r>
      <w:r w:rsidRPr="00F153F6">
        <w:rPr>
          <w:rFonts w:ascii="Times New Roman" w:hAnsi="Times New Roman" w:cs="Times New Roman"/>
          <w:i/>
          <w:iCs/>
          <w:sz w:val="24"/>
          <w:szCs w:val="24"/>
        </w:rPr>
        <w:t>Knowledge management theory in interorganizational settings</w:t>
      </w:r>
      <w:r w:rsidRPr="00F153F6">
        <w:rPr>
          <w:rFonts w:ascii="Times New Roman" w:hAnsi="Times New Roman" w:cs="Times New Roman"/>
          <w:sz w:val="24"/>
          <w:szCs w:val="24"/>
        </w:rPr>
        <w:t>. https://warwick.ac.uk/fac/soc/wbs/conf/olkc/archive/oklc5/papers/f-3_valentin.pdf</w:t>
      </w:r>
    </w:p>
    <w:p w14:paraId="758B0F6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Maier, R. (2007). </w:t>
      </w:r>
      <w:r w:rsidRPr="00F153F6">
        <w:rPr>
          <w:rFonts w:ascii="Times New Roman" w:hAnsi="Times New Roman" w:cs="Times New Roman"/>
          <w:i/>
          <w:iCs/>
          <w:sz w:val="24"/>
          <w:szCs w:val="24"/>
        </w:rPr>
        <w:t>Knowledge management systems: Information and communication technologies for knowledge management</w:t>
      </w:r>
      <w:r w:rsidRPr="00F153F6">
        <w:rPr>
          <w:rFonts w:ascii="Times New Roman" w:hAnsi="Times New Roman" w:cs="Times New Roman"/>
          <w:sz w:val="24"/>
          <w:szCs w:val="24"/>
        </w:rPr>
        <w:t xml:space="preserve"> (3rd ed). Springer.</w:t>
      </w:r>
    </w:p>
    <w:p w14:paraId="72DA3CB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Majchrzak, A., Faraj, S., Kane, G. C., &amp; Azad, B. (2013). The Contradictory Influence of Social Media Affordances on Online Communal Knowledge Sharing. </w:t>
      </w:r>
      <w:r w:rsidRPr="00F153F6">
        <w:rPr>
          <w:rFonts w:ascii="Times New Roman" w:hAnsi="Times New Roman" w:cs="Times New Roman"/>
          <w:i/>
          <w:iCs/>
          <w:sz w:val="24"/>
          <w:szCs w:val="24"/>
        </w:rPr>
        <w:t>Journal of Computer-Mediated Communication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19</w:t>
      </w:r>
      <w:r w:rsidRPr="00F153F6">
        <w:rPr>
          <w:rFonts w:ascii="Times New Roman" w:hAnsi="Times New Roman" w:cs="Times New Roman"/>
          <w:sz w:val="24"/>
          <w:szCs w:val="24"/>
        </w:rPr>
        <w:t>(1), 38–55. https://doi.org/10.1111/jcc4.12030</w:t>
      </w:r>
    </w:p>
    <w:p w14:paraId="3958B4C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Majchrzak, A., &amp; Markus, M. L. (2012). TECHNOLOGY AFFORDANCES AND CONSTRAINTS IN MANAGEMENT INFORMATION SYSTEMS (MIS). In </w:t>
      </w:r>
      <w:r w:rsidRPr="00F153F6">
        <w:rPr>
          <w:rFonts w:ascii="Times New Roman" w:hAnsi="Times New Roman" w:cs="Times New Roman"/>
          <w:i/>
          <w:iCs/>
          <w:sz w:val="24"/>
          <w:szCs w:val="24"/>
        </w:rPr>
        <w:t>Encyclopedia of Management Theory</w:t>
      </w:r>
      <w:r w:rsidRPr="00F153F6">
        <w:rPr>
          <w:rFonts w:ascii="Times New Roman" w:hAnsi="Times New Roman" w:cs="Times New Roman"/>
          <w:sz w:val="24"/>
          <w:szCs w:val="24"/>
        </w:rPr>
        <w:t>. Sage Publications.</w:t>
      </w:r>
    </w:p>
    <w:p w14:paraId="1B1B8D2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Malmberg, K., Vaittinen, I., Evans, P., Schuurman, D., Ståhlbröst, A., &amp; Vervoort, K. (2017). </w:t>
      </w:r>
      <w:r w:rsidRPr="00F153F6">
        <w:rPr>
          <w:rFonts w:ascii="Times New Roman" w:hAnsi="Times New Roman" w:cs="Times New Roman"/>
          <w:i/>
          <w:iCs/>
          <w:sz w:val="24"/>
          <w:szCs w:val="24"/>
        </w:rPr>
        <w:t>Living Lab Methodology Handbook</w:t>
      </w:r>
      <w:r w:rsidRPr="00F153F6">
        <w:rPr>
          <w:rFonts w:ascii="Times New Roman" w:hAnsi="Times New Roman" w:cs="Times New Roman"/>
          <w:sz w:val="24"/>
          <w:szCs w:val="24"/>
        </w:rPr>
        <w:t>. https://doi.org/10.5281/ZENODO.1146321</w:t>
      </w:r>
    </w:p>
    <w:p w14:paraId="0B031C1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Marabelli, M., &amp; Newell, S. (2014). Knowing, Power and Materiality: A Critical Review and Reconceptualization of Absorptive Capacity. </w:t>
      </w:r>
      <w:r w:rsidRPr="00F153F6">
        <w:rPr>
          <w:rFonts w:ascii="Times New Roman" w:hAnsi="Times New Roman" w:cs="Times New Roman"/>
          <w:i/>
          <w:iCs/>
          <w:sz w:val="24"/>
          <w:szCs w:val="24"/>
        </w:rPr>
        <w:t>International Journal of Management Reviews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16</w:t>
      </w:r>
      <w:r w:rsidRPr="00F153F6">
        <w:rPr>
          <w:rFonts w:ascii="Times New Roman" w:hAnsi="Times New Roman" w:cs="Times New Roman"/>
          <w:sz w:val="24"/>
          <w:szCs w:val="24"/>
        </w:rPr>
        <w:t>(4), 479–499. https://doi.org/10.1111/ijmr.12031</w:t>
      </w:r>
    </w:p>
    <w:p w14:paraId="115948B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March, J. G. (1991). Exploration and Exploitation in Organizational Learning. </w:t>
      </w:r>
      <w:r w:rsidRPr="00F153F6">
        <w:rPr>
          <w:rFonts w:ascii="Times New Roman" w:hAnsi="Times New Roman" w:cs="Times New Roman"/>
          <w:i/>
          <w:iCs/>
          <w:sz w:val="24"/>
          <w:szCs w:val="24"/>
        </w:rPr>
        <w:t>Organization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w:t>
      </w:r>
      <w:r w:rsidRPr="00F153F6">
        <w:rPr>
          <w:rFonts w:ascii="Times New Roman" w:hAnsi="Times New Roman" w:cs="Times New Roman"/>
          <w:sz w:val="24"/>
          <w:szCs w:val="24"/>
        </w:rPr>
        <w:t>(1,), 71–87.</w:t>
      </w:r>
    </w:p>
    <w:p w14:paraId="294679D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Marchington, M., &amp; Vincent, S. (2004). Analysing the Influence of Institutional, </w:t>
      </w:r>
      <w:r w:rsidRPr="00F153F6">
        <w:rPr>
          <w:rFonts w:ascii="Times New Roman" w:hAnsi="Times New Roman" w:cs="Times New Roman"/>
          <w:sz w:val="24"/>
          <w:szCs w:val="24"/>
        </w:rPr>
        <w:lastRenderedPageBreak/>
        <w:t xml:space="preserve">Organizational and Interpersonal Forces in Shaping Inter-Organizational Relations*. </w:t>
      </w:r>
      <w:r w:rsidRPr="00F153F6">
        <w:rPr>
          <w:rFonts w:ascii="Times New Roman" w:hAnsi="Times New Roman" w:cs="Times New Roman"/>
          <w:i/>
          <w:iCs/>
          <w:sz w:val="24"/>
          <w:szCs w:val="24"/>
        </w:rPr>
        <w:t>Journal of Management Studies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41</w:t>
      </w:r>
      <w:r w:rsidRPr="00F153F6">
        <w:rPr>
          <w:rFonts w:ascii="Times New Roman" w:hAnsi="Times New Roman" w:cs="Times New Roman"/>
          <w:sz w:val="24"/>
          <w:szCs w:val="24"/>
        </w:rPr>
        <w:t>(6), 1029–1056. https://doi.org/10.1111/j.1467-6486.2004.00465.x</w:t>
      </w:r>
    </w:p>
    <w:p w14:paraId="0FBC977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Markus, M. L., &amp; Silver, M. (2008). A Foundation for the Study of IT Effects: A New Look at DeSanctis and Poole’s Concepts of Structural Features and Spirit. </w:t>
      </w:r>
      <w:r w:rsidRPr="00F153F6">
        <w:rPr>
          <w:rFonts w:ascii="Times New Roman" w:hAnsi="Times New Roman" w:cs="Times New Roman"/>
          <w:i/>
          <w:iCs/>
          <w:sz w:val="24"/>
          <w:szCs w:val="24"/>
        </w:rPr>
        <w:t>Journal of the Association for Information Systems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9</w:t>
      </w:r>
      <w:r w:rsidRPr="00F153F6">
        <w:rPr>
          <w:rFonts w:ascii="Times New Roman" w:hAnsi="Times New Roman" w:cs="Times New Roman"/>
          <w:sz w:val="24"/>
          <w:szCs w:val="24"/>
        </w:rPr>
        <w:t>(10), 609–632. https://doi.org/10.17705/1jais.00176</w:t>
      </w:r>
    </w:p>
    <w:p w14:paraId="510B040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Martini, A., Massa, S., &amp; Testa, S. (2013). The firm, the platform and the customer: A “double mangle” interpretation of social media for innovation. </w:t>
      </w:r>
      <w:r w:rsidRPr="00F153F6">
        <w:rPr>
          <w:rFonts w:ascii="Times New Roman" w:hAnsi="Times New Roman" w:cs="Times New Roman"/>
          <w:i/>
          <w:iCs/>
          <w:sz w:val="24"/>
          <w:szCs w:val="24"/>
        </w:rPr>
        <w:t>Information and Organization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23</w:t>
      </w:r>
      <w:r w:rsidRPr="00F153F6">
        <w:rPr>
          <w:rFonts w:ascii="Times New Roman" w:hAnsi="Times New Roman" w:cs="Times New Roman"/>
          <w:sz w:val="24"/>
          <w:szCs w:val="24"/>
        </w:rPr>
        <w:t>(3), 198–213. https://doi.org/10.1016/j.infoandorg.2013.07.001</w:t>
      </w:r>
    </w:p>
    <w:p w14:paraId="2EA62D9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Martins, V. W. B., Rampasso, I. S., Anholon, R., Quelhas, O. L. G., &amp; Leal Filho, W. (2019). Knowledge management in the context of sustainability: Literature review and opportunities for future research. </w:t>
      </w:r>
      <w:r w:rsidRPr="00F153F6">
        <w:rPr>
          <w:rFonts w:ascii="Times New Roman" w:hAnsi="Times New Roman" w:cs="Times New Roman"/>
          <w:i/>
          <w:iCs/>
          <w:sz w:val="24"/>
          <w:szCs w:val="24"/>
        </w:rPr>
        <w:t>Journal of Cleaner Production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229</w:t>
      </w:r>
      <w:r w:rsidRPr="00F153F6">
        <w:rPr>
          <w:rFonts w:ascii="Times New Roman" w:hAnsi="Times New Roman" w:cs="Times New Roman"/>
          <w:sz w:val="24"/>
          <w:szCs w:val="24"/>
        </w:rPr>
        <w:t>, 489–500. https://doi.org/10.1016/j.jclepro.2019.04.354</w:t>
      </w:r>
    </w:p>
    <w:p w14:paraId="382F409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Matavire, R., &amp; Brown, I. (2013). Profiling grounded theory approaches in information systems research. </w:t>
      </w:r>
      <w:r w:rsidRPr="00F153F6">
        <w:rPr>
          <w:rFonts w:ascii="Times New Roman" w:hAnsi="Times New Roman" w:cs="Times New Roman"/>
          <w:i/>
          <w:iCs/>
          <w:sz w:val="24"/>
          <w:szCs w:val="24"/>
        </w:rPr>
        <w:t>European Journal of Information Systems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22</w:t>
      </w:r>
      <w:r w:rsidRPr="00F153F6">
        <w:rPr>
          <w:rFonts w:ascii="Times New Roman" w:hAnsi="Times New Roman" w:cs="Times New Roman"/>
          <w:sz w:val="24"/>
          <w:szCs w:val="24"/>
        </w:rPr>
        <w:t>(1), 119–129. https://doi.org/10.1057/ejis.2011.35</w:t>
      </w:r>
    </w:p>
    <w:p w14:paraId="07CE833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McAdam, R., &amp; McCreedy, S. (2000). A critique of knowledge management: Using a social constructionist model. </w:t>
      </w:r>
      <w:r w:rsidRPr="00F153F6">
        <w:rPr>
          <w:rFonts w:ascii="Times New Roman" w:hAnsi="Times New Roman" w:cs="Times New Roman"/>
          <w:i/>
          <w:iCs/>
          <w:sz w:val="24"/>
          <w:szCs w:val="24"/>
        </w:rPr>
        <w:t>New Technology, Work and Employment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15</w:t>
      </w:r>
      <w:r w:rsidRPr="00F153F6">
        <w:rPr>
          <w:rFonts w:ascii="Times New Roman" w:hAnsi="Times New Roman" w:cs="Times New Roman"/>
          <w:sz w:val="24"/>
          <w:szCs w:val="24"/>
        </w:rPr>
        <w:t>(2), 155–168. https://doi.org/10.1111/1468-005X.00071</w:t>
      </w:r>
    </w:p>
    <w:p w14:paraId="188C364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Mcculloch, G. (2004). </w:t>
      </w:r>
      <w:r w:rsidRPr="00F153F6">
        <w:rPr>
          <w:rFonts w:ascii="Times New Roman" w:hAnsi="Times New Roman" w:cs="Times New Roman"/>
          <w:i/>
          <w:iCs/>
          <w:sz w:val="24"/>
          <w:szCs w:val="24"/>
        </w:rPr>
        <w:t>Documentary Research: In Education, History and the Social Sciences</w:t>
      </w:r>
      <w:r w:rsidRPr="00F153F6">
        <w:rPr>
          <w:rFonts w:ascii="Times New Roman" w:hAnsi="Times New Roman" w:cs="Times New Roman"/>
          <w:sz w:val="24"/>
          <w:szCs w:val="24"/>
        </w:rPr>
        <w:t>. Routledge.</w:t>
      </w:r>
    </w:p>
    <w:p w14:paraId="560A700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McEvily, B., Jaffee, J., &amp; Tortoriello, M. (2012). Not All Bridging Ties Are Equal: Network Imprinting and Firm Growth in the Nashville Legal Industry, 1933–1978. </w:t>
      </w:r>
      <w:r w:rsidRPr="00F153F6">
        <w:rPr>
          <w:rFonts w:ascii="Times New Roman" w:hAnsi="Times New Roman" w:cs="Times New Roman"/>
          <w:i/>
          <w:iCs/>
          <w:sz w:val="24"/>
          <w:szCs w:val="24"/>
        </w:rPr>
        <w:t>Organization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23</w:t>
      </w:r>
      <w:r w:rsidRPr="00F153F6">
        <w:rPr>
          <w:rFonts w:ascii="Times New Roman" w:hAnsi="Times New Roman" w:cs="Times New Roman"/>
          <w:sz w:val="24"/>
          <w:szCs w:val="24"/>
        </w:rPr>
        <w:t>(2), 547–563. https://doi.org/10.1287/orsc.1100.0633</w:t>
      </w:r>
    </w:p>
    <w:p w14:paraId="69794FA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lastRenderedPageBreak/>
        <w:t xml:space="preserve">McInerney, C. (2002). Knowledge management and the dynamic nature of knowledge. </w:t>
      </w:r>
      <w:r w:rsidRPr="00F153F6">
        <w:rPr>
          <w:rFonts w:ascii="Times New Roman" w:hAnsi="Times New Roman" w:cs="Times New Roman"/>
          <w:i/>
          <w:iCs/>
          <w:sz w:val="24"/>
          <w:szCs w:val="24"/>
        </w:rPr>
        <w:t>Journal of the American Society for Information Science and Technology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53</w:t>
      </w:r>
      <w:r w:rsidRPr="00F153F6">
        <w:rPr>
          <w:rFonts w:ascii="Times New Roman" w:hAnsi="Times New Roman" w:cs="Times New Roman"/>
          <w:sz w:val="24"/>
          <w:szCs w:val="24"/>
        </w:rPr>
        <w:t>(12), 1009–1018. https://doi.org/10.1002/asi.10109</w:t>
      </w:r>
    </w:p>
    <w:p w14:paraId="6DF29F7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Michaels, C. F., &amp; Carello, C. (1981). </w:t>
      </w:r>
      <w:r w:rsidRPr="00F153F6">
        <w:rPr>
          <w:rFonts w:ascii="Times New Roman" w:hAnsi="Times New Roman" w:cs="Times New Roman"/>
          <w:i/>
          <w:iCs/>
          <w:sz w:val="24"/>
          <w:szCs w:val="24"/>
        </w:rPr>
        <w:t>Direct perception</w:t>
      </w:r>
      <w:r w:rsidRPr="00F153F6">
        <w:rPr>
          <w:rFonts w:ascii="Times New Roman" w:hAnsi="Times New Roman" w:cs="Times New Roman"/>
          <w:sz w:val="24"/>
          <w:szCs w:val="24"/>
        </w:rPr>
        <w:t>. Prentice-Hall.</w:t>
      </w:r>
    </w:p>
    <w:p w14:paraId="0FDBE56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Miller, K., McAdam, R., Moffett, S., Alexander, A., &amp; Puthusserry, P. (2016). Knowledge transfer in university quadruple helix ecosystems: An absorptive capacity perspective. </w:t>
      </w:r>
      <w:r w:rsidRPr="00F153F6">
        <w:rPr>
          <w:rFonts w:ascii="Times New Roman" w:hAnsi="Times New Roman" w:cs="Times New Roman"/>
          <w:i/>
          <w:iCs/>
          <w:sz w:val="24"/>
          <w:szCs w:val="24"/>
        </w:rPr>
        <w:t>R&amp;D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46</w:t>
      </w:r>
      <w:r w:rsidRPr="00F153F6">
        <w:rPr>
          <w:rFonts w:ascii="Times New Roman" w:hAnsi="Times New Roman" w:cs="Times New Roman"/>
          <w:sz w:val="24"/>
          <w:szCs w:val="24"/>
        </w:rPr>
        <w:t>(2), 383–399. https://doi.org/10.1111/radm.12182</w:t>
      </w:r>
    </w:p>
    <w:p w14:paraId="01FD811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Mintzberg, H. (2019). Structured observation as a method to study managerial work. In </w:t>
      </w:r>
      <w:r w:rsidRPr="00F153F6">
        <w:rPr>
          <w:rFonts w:ascii="Times New Roman" w:hAnsi="Times New Roman" w:cs="Times New Roman"/>
          <w:i/>
          <w:iCs/>
          <w:sz w:val="24"/>
          <w:szCs w:val="24"/>
        </w:rPr>
        <w:t>Managerial Work</w:t>
      </w:r>
      <w:r w:rsidRPr="00F153F6">
        <w:rPr>
          <w:rFonts w:ascii="Times New Roman" w:hAnsi="Times New Roman" w:cs="Times New Roman"/>
          <w:sz w:val="24"/>
          <w:szCs w:val="24"/>
        </w:rPr>
        <w:t>. Routledge.</w:t>
      </w:r>
    </w:p>
    <w:p w14:paraId="754EC1F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Mirzabeiki, V., He, Q., &amp; Sarpong, D. (2022). Sustainability-driven co-opetition in supply chains as strategic capabilities: Drivers, facilitators, and barriers. </w:t>
      </w:r>
      <w:r w:rsidRPr="00F153F6">
        <w:rPr>
          <w:rFonts w:ascii="Times New Roman" w:hAnsi="Times New Roman" w:cs="Times New Roman"/>
          <w:i/>
          <w:iCs/>
          <w:sz w:val="24"/>
          <w:szCs w:val="24"/>
        </w:rPr>
        <w:t>International Journal of Production Research</w:t>
      </w:r>
      <w:r w:rsidRPr="00F153F6">
        <w:rPr>
          <w:rFonts w:ascii="Times New Roman" w:hAnsi="Times New Roman" w:cs="Times New Roman"/>
          <w:sz w:val="24"/>
          <w:szCs w:val="24"/>
        </w:rPr>
        <w:t>, 1–27. https://doi.org/10.1080/00207543.2021.1988749</w:t>
      </w:r>
    </w:p>
    <w:p w14:paraId="69744D2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Mohamed, M., Stankosky, M., &amp; Murray, A. (2006). Knowledge management and information technology: Can they work in perfect harmony? </w:t>
      </w:r>
      <w:r w:rsidRPr="00F153F6">
        <w:rPr>
          <w:rFonts w:ascii="Times New Roman" w:hAnsi="Times New Roman" w:cs="Times New Roman"/>
          <w:i/>
          <w:iCs/>
          <w:sz w:val="24"/>
          <w:szCs w:val="24"/>
        </w:rPr>
        <w:t>Journal of Knowledge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10</w:t>
      </w:r>
      <w:r w:rsidRPr="00F153F6">
        <w:rPr>
          <w:rFonts w:ascii="Times New Roman" w:hAnsi="Times New Roman" w:cs="Times New Roman"/>
          <w:sz w:val="24"/>
          <w:szCs w:val="24"/>
        </w:rPr>
        <w:t>(3), 103–116. https://doi.org/10.1108/13673270610670885</w:t>
      </w:r>
    </w:p>
    <w:p w14:paraId="2DC04D3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Mokhtarzadeh, N., &amp; Faghei, M. (2019). Technological learning in inter-firm collaborations: A review and research agenda. </w:t>
      </w:r>
      <w:r w:rsidRPr="00F153F6">
        <w:rPr>
          <w:rFonts w:ascii="Times New Roman" w:hAnsi="Times New Roman" w:cs="Times New Roman"/>
          <w:i/>
          <w:iCs/>
          <w:sz w:val="24"/>
          <w:szCs w:val="24"/>
        </w:rPr>
        <w:t>International Journal of Technological Learning Innovation and Development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11</w:t>
      </w:r>
      <w:r w:rsidRPr="00F153F6">
        <w:rPr>
          <w:rFonts w:ascii="Times New Roman" w:hAnsi="Times New Roman" w:cs="Times New Roman"/>
          <w:sz w:val="24"/>
          <w:szCs w:val="24"/>
        </w:rPr>
        <w:t>, 78. https://doi.org/10.1504/IJTLID.2019.10018599</w:t>
      </w:r>
    </w:p>
    <w:p w14:paraId="455E5F5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Moutinho, J. da A., &amp; Silva, L. F. da. (2022). Knowledge management in project management: Mapping bibliographic convergence. </w:t>
      </w:r>
      <w:r w:rsidRPr="00F153F6">
        <w:rPr>
          <w:rFonts w:ascii="Times New Roman" w:hAnsi="Times New Roman" w:cs="Times New Roman"/>
          <w:i/>
          <w:iCs/>
          <w:sz w:val="24"/>
          <w:szCs w:val="24"/>
        </w:rPr>
        <w:t>Knowledge Management Research &amp; Practice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20</w:t>
      </w:r>
      <w:r w:rsidRPr="00F153F6">
        <w:rPr>
          <w:rFonts w:ascii="Times New Roman" w:hAnsi="Times New Roman" w:cs="Times New Roman"/>
          <w:sz w:val="24"/>
          <w:szCs w:val="24"/>
        </w:rPr>
        <w:t>(2), 266–278. https://doi.org/10.1080/14778238.2021.1931502</w:t>
      </w:r>
    </w:p>
    <w:p w14:paraId="507B6C5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Mueller, J. (2015). Formal and Informal Practices of Knowledge Sharing Between Project Teams and Enacted Cultural Characteristics. </w:t>
      </w:r>
      <w:r w:rsidRPr="00F153F6">
        <w:rPr>
          <w:rFonts w:ascii="Times New Roman" w:hAnsi="Times New Roman" w:cs="Times New Roman"/>
          <w:i/>
          <w:iCs/>
          <w:sz w:val="24"/>
          <w:szCs w:val="24"/>
        </w:rPr>
        <w:t>Project Management Journal</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46</w:t>
      </w:r>
      <w:r w:rsidRPr="00F153F6">
        <w:rPr>
          <w:rFonts w:ascii="Times New Roman" w:hAnsi="Times New Roman" w:cs="Times New Roman"/>
          <w:sz w:val="24"/>
          <w:szCs w:val="24"/>
        </w:rPr>
        <w:t>(1), 53–68. https://doi.org/10.1002/pmj.21471</w:t>
      </w:r>
    </w:p>
    <w:p w14:paraId="29F7E4C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Mulder, I., Velthausz, D., &amp; Kriens, M. (2008). </w:t>
      </w:r>
      <w:r w:rsidRPr="00F153F6">
        <w:rPr>
          <w:rFonts w:ascii="Times New Roman" w:hAnsi="Times New Roman" w:cs="Times New Roman"/>
          <w:i/>
          <w:iCs/>
          <w:sz w:val="24"/>
          <w:szCs w:val="24"/>
        </w:rPr>
        <w:t xml:space="preserve">THE LIVING LABS HARMONIZATION CUBE: </w:t>
      </w:r>
      <w:r w:rsidRPr="00F153F6">
        <w:rPr>
          <w:rFonts w:ascii="Times New Roman" w:hAnsi="Times New Roman" w:cs="Times New Roman"/>
          <w:i/>
          <w:iCs/>
          <w:sz w:val="24"/>
          <w:szCs w:val="24"/>
        </w:rPr>
        <w:lastRenderedPageBreak/>
        <w:t>COMMUNICATING LIVING LABS’ ESSENTIALS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10</w:t>
      </w:r>
      <w:r w:rsidRPr="00F153F6">
        <w:rPr>
          <w:rFonts w:ascii="Times New Roman" w:hAnsi="Times New Roman" w:cs="Times New Roman"/>
          <w:sz w:val="24"/>
          <w:szCs w:val="24"/>
        </w:rPr>
        <w:t>, 14.</w:t>
      </w:r>
    </w:p>
    <w:p w14:paraId="26106F5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Murnaghan, D., Morrison, W., Griffith, E. J., Bell, B. L., Duffley, L. A., McGarry, K., &amp; Manske, S. (2013). Knowledge exchange systems for youth health and chronic disease prevention: A tri-provincial case study. </w:t>
      </w:r>
      <w:r w:rsidRPr="00F153F6">
        <w:rPr>
          <w:rFonts w:ascii="Times New Roman" w:hAnsi="Times New Roman" w:cs="Times New Roman"/>
          <w:i/>
          <w:iCs/>
          <w:sz w:val="24"/>
          <w:szCs w:val="24"/>
        </w:rPr>
        <w:t>Chronic Diseases and Injuries in Canada</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33</w:t>
      </w:r>
      <w:r w:rsidRPr="00F153F6">
        <w:rPr>
          <w:rFonts w:ascii="Times New Roman" w:hAnsi="Times New Roman" w:cs="Times New Roman"/>
          <w:sz w:val="24"/>
          <w:szCs w:val="24"/>
        </w:rPr>
        <w:t>(4), 10.</w:t>
      </w:r>
    </w:p>
    <w:p w14:paraId="5F8C86F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Nasimi, M. H., Nasimi, S., Kasmaei, M. S., Kasmaei, H. S., Basirian, F., &amp; Musapour, H. (2013). Knowledge Management and Competitive Advantage for Organizations. </w:t>
      </w:r>
      <w:r w:rsidRPr="00F153F6">
        <w:rPr>
          <w:rFonts w:ascii="Times New Roman" w:hAnsi="Times New Roman" w:cs="Times New Roman"/>
          <w:i/>
          <w:iCs/>
          <w:sz w:val="24"/>
          <w:szCs w:val="24"/>
        </w:rPr>
        <w:t>Kuwait Chapter of Arabian Journal of Business and Management Review</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w:t>
      </w:r>
      <w:r w:rsidRPr="00F153F6">
        <w:rPr>
          <w:rFonts w:ascii="Times New Roman" w:hAnsi="Times New Roman" w:cs="Times New Roman"/>
          <w:sz w:val="24"/>
          <w:szCs w:val="24"/>
        </w:rPr>
        <w:t>(5), 56–64. https://doi.org/10.12816/0001188</w:t>
      </w:r>
    </w:p>
    <w:p w14:paraId="2D239A1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Ned, K. (2007). </w:t>
      </w:r>
      <w:r w:rsidRPr="00F153F6">
        <w:rPr>
          <w:rFonts w:ascii="Times New Roman" w:hAnsi="Times New Roman" w:cs="Times New Roman"/>
          <w:i/>
          <w:iCs/>
          <w:sz w:val="24"/>
          <w:szCs w:val="24"/>
        </w:rPr>
        <w:t>Encyclopedia of E-Collaboration</w:t>
      </w:r>
      <w:r w:rsidRPr="00F153F6">
        <w:rPr>
          <w:rFonts w:ascii="Times New Roman" w:hAnsi="Times New Roman" w:cs="Times New Roman"/>
          <w:sz w:val="24"/>
          <w:szCs w:val="24"/>
        </w:rPr>
        <w:t>. IGI Global.</w:t>
      </w:r>
    </w:p>
    <w:p w14:paraId="49DA1ED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Nelson, R. (Director). (2008). </w:t>
      </w:r>
      <w:r w:rsidRPr="00F153F6">
        <w:rPr>
          <w:rFonts w:ascii="Times New Roman" w:hAnsi="Times New Roman" w:cs="Times New Roman"/>
          <w:i/>
          <w:iCs/>
          <w:sz w:val="24"/>
          <w:szCs w:val="24"/>
        </w:rPr>
        <w:t>Learning and Working in the Collaborative Age</w:t>
      </w:r>
      <w:r w:rsidRPr="00F153F6">
        <w:rPr>
          <w:rFonts w:ascii="Times New Roman" w:hAnsi="Times New Roman" w:cs="Times New Roman"/>
          <w:sz w:val="24"/>
          <w:szCs w:val="24"/>
        </w:rPr>
        <w:t>. https://www.edutopia.org/video/randy-nelson-learning-and-working-collaborative-age</w:t>
      </w:r>
    </w:p>
    <w:p w14:paraId="4FDE25C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Nelson, S. B., Jarrahi, M. H., &amp; Thomson, L. (2017). Mobility of knowledge work and affordances of digital technologies. </w:t>
      </w:r>
      <w:r w:rsidRPr="00F153F6">
        <w:rPr>
          <w:rFonts w:ascii="Times New Roman" w:hAnsi="Times New Roman" w:cs="Times New Roman"/>
          <w:i/>
          <w:iCs/>
          <w:sz w:val="24"/>
          <w:szCs w:val="24"/>
        </w:rPr>
        <w:t>International Journal of Information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37</w:t>
      </w:r>
      <w:r w:rsidRPr="00F153F6">
        <w:rPr>
          <w:rFonts w:ascii="Times New Roman" w:hAnsi="Times New Roman" w:cs="Times New Roman"/>
          <w:sz w:val="24"/>
          <w:szCs w:val="24"/>
        </w:rPr>
        <w:t>(2), 54–62. Scopus. https://doi.org/10.1016/j.ijinfomgt.2016.11.008</w:t>
      </w:r>
    </w:p>
    <w:p w14:paraId="185D017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Nevens, F., Frantzeskaki, N., Gorissen, L., &amp; Loorbach, D. (2013). Urban Transition Labs: Co-creating transformative action for sustainable cities. </w:t>
      </w:r>
      <w:r w:rsidRPr="00F153F6">
        <w:rPr>
          <w:rFonts w:ascii="Times New Roman" w:hAnsi="Times New Roman" w:cs="Times New Roman"/>
          <w:i/>
          <w:iCs/>
          <w:sz w:val="24"/>
          <w:szCs w:val="24"/>
        </w:rPr>
        <w:t>Journal of Cleaner Production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50</w:t>
      </w:r>
      <w:r w:rsidRPr="00F153F6">
        <w:rPr>
          <w:rFonts w:ascii="Times New Roman" w:hAnsi="Times New Roman" w:cs="Times New Roman"/>
          <w:sz w:val="24"/>
          <w:szCs w:val="24"/>
        </w:rPr>
        <w:t>, 111–122. https://doi.org/10.1016/j.jclepro.2012.12.001</w:t>
      </w:r>
    </w:p>
    <w:p w14:paraId="430D08F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Newell, S. (2015). Managing Knowledge and Managing Knowledge Work: What we know and what the Future holds. </w:t>
      </w:r>
      <w:r w:rsidRPr="00F153F6">
        <w:rPr>
          <w:rFonts w:ascii="Times New Roman" w:hAnsi="Times New Roman" w:cs="Times New Roman"/>
          <w:i/>
          <w:iCs/>
          <w:sz w:val="24"/>
          <w:szCs w:val="24"/>
        </w:rPr>
        <w:t>Journal of Information Technology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30</w:t>
      </w:r>
      <w:r w:rsidRPr="00F153F6">
        <w:rPr>
          <w:rFonts w:ascii="Times New Roman" w:hAnsi="Times New Roman" w:cs="Times New Roman"/>
          <w:sz w:val="24"/>
          <w:szCs w:val="24"/>
        </w:rPr>
        <w:t>(1), 1–17. https://doi.org/10.1057/jit.2014.12</w:t>
      </w:r>
    </w:p>
    <w:p w14:paraId="661DDF6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Nickerson, J. A., &amp; Zenger, T. R. (2004). A Knowledge-Based Theory of the Firm—The Problem-Solving Perspective. </w:t>
      </w:r>
      <w:r w:rsidRPr="00F153F6">
        <w:rPr>
          <w:rFonts w:ascii="Times New Roman" w:hAnsi="Times New Roman" w:cs="Times New Roman"/>
          <w:i/>
          <w:iCs/>
          <w:sz w:val="24"/>
          <w:szCs w:val="24"/>
        </w:rPr>
        <w:t>Organization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15</w:t>
      </w:r>
      <w:r w:rsidRPr="00F153F6">
        <w:rPr>
          <w:rFonts w:ascii="Times New Roman" w:hAnsi="Times New Roman" w:cs="Times New Roman"/>
          <w:sz w:val="24"/>
          <w:szCs w:val="24"/>
        </w:rPr>
        <w:t>(6), 617–632. https://doi.org/10.1287/orsc.1040.0093</w:t>
      </w:r>
    </w:p>
    <w:p w14:paraId="2310F71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Nicolini, D. (2011). Practice as the Site of Knowing: Insights from the Field of Telemedicine. </w:t>
      </w:r>
      <w:r w:rsidRPr="00F153F6">
        <w:rPr>
          <w:rFonts w:ascii="Times New Roman" w:hAnsi="Times New Roman" w:cs="Times New Roman"/>
          <w:i/>
          <w:iCs/>
          <w:sz w:val="24"/>
          <w:szCs w:val="24"/>
        </w:rPr>
        <w:lastRenderedPageBreak/>
        <w:t>Organization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22</w:t>
      </w:r>
      <w:r w:rsidRPr="00F153F6">
        <w:rPr>
          <w:rFonts w:ascii="Times New Roman" w:hAnsi="Times New Roman" w:cs="Times New Roman"/>
          <w:sz w:val="24"/>
          <w:szCs w:val="24"/>
        </w:rPr>
        <w:t>(3), 602–620. https://doi.org/10.1287/orsc.1100.0556</w:t>
      </w:r>
    </w:p>
    <w:p w14:paraId="5CE42AC9" w14:textId="66B28B79"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Nicolini, D. (2013). </w:t>
      </w:r>
      <w:r w:rsidRPr="00F153F6">
        <w:rPr>
          <w:rFonts w:ascii="Times New Roman" w:hAnsi="Times New Roman" w:cs="Times New Roman"/>
          <w:i/>
          <w:iCs/>
          <w:sz w:val="24"/>
          <w:szCs w:val="24"/>
        </w:rPr>
        <w:t>Practice Theory, Work, and Organization: An Introduction</w:t>
      </w:r>
      <w:r w:rsidRPr="00F153F6">
        <w:rPr>
          <w:rFonts w:ascii="Times New Roman" w:hAnsi="Times New Roman" w:cs="Times New Roman"/>
          <w:sz w:val="24"/>
          <w:szCs w:val="24"/>
        </w:rPr>
        <w:t xml:space="preserve"> (First Edition). Oxford University Press.</w:t>
      </w:r>
    </w:p>
    <w:p w14:paraId="1322973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Nicolini, D. (2016). </w:t>
      </w:r>
      <w:r w:rsidRPr="00F153F6">
        <w:rPr>
          <w:rFonts w:ascii="Times New Roman" w:hAnsi="Times New Roman" w:cs="Times New Roman"/>
          <w:i/>
          <w:iCs/>
          <w:sz w:val="24"/>
          <w:szCs w:val="24"/>
        </w:rPr>
        <w:t>Knowing in Organizations: A Practice-Based Approach: A Practice-Based Approach</w:t>
      </w:r>
      <w:r w:rsidRPr="00F153F6">
        <w:rPr>
          <w:rFonts w:ascii="Times New Roman" w:hAnsi="Times New Roman" w:cs="Times New Roman"/>
          <w:sz w:val="24"/>
          <w:szCs w:val="24"/>
        </w:rPr>
        <w:t>. Routledge. https://doi.org/10.4324/9781315290973</w:t>
      </w:r>
    </w:p>
    <w:p w14:paraId="310F3FE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Nicolini, D. (2017). Practice theory as a package of theory, method and vocabulary: Affordances and limitations. </w:t>
      </w:r>
      <w:r w:rsidRPr="00F153F6">
        <w:rPr>
          <w:rFonts w:ascii="Times New Roman" w:hAnsi="Times New Roman" w:cs="Times New Roman"/>
          <w:i/>
          <w:iCs/>
          <w:sz w:val="24"/>
          <w:szCs w:val="24"/>
        </w:rPr>
        <w:t>Methodological Reflections on Practice Oriented Theories</w:t>
      </w:r>
      <w:r w:rsidRPr="00F153F6">
        <w:rPr>
          <w:rFonts w:ascii="Times New Roman" w:hAnsi="Times New Roman" w:cs="Times New Roman"/>
          <w:sz w:val="24"/>
          <w:szCs w:val="24"/>
        </w:rPr>
        <w:t>, 19–34.</w:t>
      </w:r>
    </w:p>
    <w:p w14:paraId="3112E8C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Niitamo, V.-P., Kulkki, S., Eriksson, M., &amp; Hribernik, K. A. (2006). State-of-the-art and good practice in the field of living labs. </w:t>
      </w:r>
      <w:r w:rsidRPr="00F153F6">
        <w:rPr>
          <w:rFonts w:ascii="Times New Roman" w:hAnsi="Times New Roman" w:cs="Times New Roman"/>
          <w:i/>
          <w:iCs/>
          <w:sz w:val="24"/>
          <w:szCs w:val="24"/>
        </w:rPr>
        <w:t>2006 IEEE International Technology Management Conference (ICE)</w:t>
      </w:r>
      <w:r w:rsidRPr="00F153F6">
        <w:rPr>
          <w:rFonts w:ascii="Times New Roman" w:hAnsi="Times New Roman" w:cs="Times New Roman"/>
          <w:sz w:val="24"/>
          <w:szCs w:val="24"/>
        </w:rPr>
        <w:t>, 1–8. https://doi.org/10.1109/ICE.2006.7477081</w:t>
      </w:r>
    </w:p>
    <w:p w14:paraId="3D797AD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Nithithanatchinnapat, B., Taylor, J., Joshi, K. D., &amp; Weiss, M. L. (2016). Organizational communities of practice: Review, analysis, and role of information and communications technologies. </w:t>
      </w:r>
      <w:r w:rsidRPr="00F153F6">
        <w:rPr>
          <w:rFonts w:ascii="Times New Roman" w:hAnsi="Times New Roman" w:cs="Times New Roman"/>
          <w:i/>
          <w:iCs/>
          <w:sz w:val="24"/>
          <w:szCs w:val="24"/>
        </w:rPr>
        <w:t>Journal of Organizational Computing and Electronic Commerce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26</w:t>
      </w:r>
      <w:r w:rsidRPr="00F153F6">
        <w:rPr>
          <w:rFonts w:ascii="Times New Roman" w:hAnsi="Times New Roman" w:cs="Times New Roman"/>
          <w:sz w:val="24"/>
          <w:szCs w:val="24"/>
        </w:rPr>
        <w:t>(4), 307–322. https://doi.org/10.1080/10919392.2016.1228357</w:t>
      </w:r>
    </w:p>
    <w:p w14:paraId="786AE57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Nonaka, I., Nonaka, I. o, Ikujiro, N., Takeuchi, H., Nonaka, P. of K. I., &amp; Takeuchi, B. P. of M. at the I. of B. R. H. (1995). </w:t>
      </w:r>
      <w:r w:rsidRPr="00F153F6">
        <w:rPr>
          <w:rFonts w:ascii="Times New Roman" w:hAnsi="Times New Roman" w:cs="Times New Roman"/>
          <w:i/>
          <w:iCs/>
          <w:sz w:val="24"/>
          <w:szCs w:val="24"/>
        </w:rPr>
        <w:t>The Knowledge-creating Company: How Japanese Companies Create the Dynamics of Innovation</w:t>
      </w:r>
      <w:r w:rsidRPr="00F153F6">
        <w:rPr>
          <w:rFonts w:ascii="Times New Roman" w:hAnsi="Times New Roman" w:cs="Times New Roman"/>
          <w:sz w:val="24"/>
          <w:szCs w:val="24"/>
        </w:rPr>
        <w:t>. Oxford University Press.</w:t>
      </w:r>
    </w:p>
    <w:p w14:paraId="37F30CF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Nonaka, I., &amp; Takeuchi, H. (1995). </w:t>
      </w:r>
      <w:r w:rsidRPr="00F153F6">
        <w:rPr>
          <w:rFonts w:ascii="Times New Roman" w:hAnsi="Times New Roman" w:cs="Times New Roman"/>
          <w:i/>
          <w:iCs/>
          <w:sz w:val="24"/>
          <w:szCs w:val="24"/>
        </w:rPr>
        <w:t>The knowledge creating company</w:t>
      </w:r>
      <w:r w:rsidRPr="00F153F6">
        <w:rPr>
          <w:rFonts w:ascii="Times New Roman" w:hAnsi="Times New Roman" w:cs="Times New Roman"/>
          <w:sz w:val="24"/>
          <w:szCs w:val="24"/>
        </w:rPr>
        <w:t>. http://www.sietmanagement.fr/wp-content/uploads/2016/04/nonaka_1991.pdf</w:t>
      </w:r>
    </w:p>
    <w:p w14:paraId="0245DCE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Nonaka, I., &amp; Takeuchi, H. (2000). The Knowledge-Creating Company: How Japanese Companies Create the Dynamics of Innovation. </w:t>
      </w:r>
      <w:r w:rsidRPr="00F153F6">
        <w:rPr>
          <w:rFonts w:ascii="Times New Roman" w:hAnsi="Times New Roman" w:cs="Times New Roman"/>
          <w:i/>
          <w:iCs/>
          <w:sz w:val="24"/>
          <w:szCs w:val="24"/>
        </w:rPr>
        <w:t>The Knowledge</w:t>
      </w:r>
      <w:r w:rsidRPr="00F153F6">
        <w:rPr>
          <w:rFonts w:ascii="Times New Roman" w:hAnsi="Times New Roman" w:cs="Times New Roman"/>
          <w:sz w:val="24"/>
          <w:szCs w:val="24"/>
        </w:rPr>
        <w:t>, 2.</w:t>
      </w:r>
    </w:p>
    <w:p w14:paraId="4D38CDC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Nonaka, I., Toyama, R., &amp; Konno, N. (2000). SECI, Ba and Leadership: A Uni®ed Model of Dynamic Knowledge Creation. </w:t>
      </w:r>
      <w:r w:rsidRPr="00F153F6">
        <w:rPr>
          <w:rFonts w:ascii="Times New Roman" w:hAnsi="Times New Roman" w:cs="Times New Roman"/>
          <w:i/>
          <w:iCs/>
          <w:sz w:val="24"/>
          <w:szCs w:val="24"/>
        </w:rPr>
        <w:t>Long Range Planning</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33</w:t>
      </w:r>
      <w:r w:rsidRPr="00F153F6">
        <w:rPr>
          <w:rFonts w:ascii="Times New Roman" w:hAnsi="Times New Roman" w:cs="Times New Roman"/>
          <w:sz w:val="24"/>
          <w:szCs w:val="24"/>
        </w:rPr>
        <w:t>, 30.</w:t>
      </w:r>
    </w:p>
    <w:p w14:paraId="173B442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Nonaka, I., &amp; von Krogh, G. (2009). Tacit Knowledge and Knowledge Conversion: </w:t>
      </w:r>
      <w:r w:rsidRPr="00F153F6">
        <w:rPr>
          <w:rFonts w:ascii="Times New Roman" w:hAnsi="Times New Roman" w:cs="Times New Roman"/>
          <w:sz w:val="24"/>
          <w:szCs w:val="24"/>
        </w:rPr>
        <w:lastRenderedPageBreak/>
        <w:t xml:space="preserve">Controversy and Advancement in Organizational Knowledge Creation Theory. </w:t>
      </w:r>
      <w:r w:rsidRPr="00F153F6">
        <w:rPr>
          <w:rFonts w:ascii="Times New Roman" w:hAnsi="Times New Roman" w:cs="Times New Roman"/>
          <w:i/>
          <w:iCs/>
          <w:sz w:val="24"/>
          <w:szCs w:val="24"/>
        </w:rPr>
        <w:t>Organization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20</w:t>
      </w:r>
      <w:r w:rsidRPr="00F153F6">
        <w:rPr>
          <w:rFonts w:ascii="Times New Roman" w:hAnsi="Times New Roman" w:cs="Times New Roman"/>
          <w:sz w:val="24"/>
          <w:szCs w:val="24"/>
        </w:rPr>
        <w:t>(3), 635–652. https://doi.org/10.1287/orsc.1080.0412</w:t>
      </w:r>
    </w:p>
    <w:p w14:paraId="57B27C7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Nutley, S., Isabel, W., &amp; Davies, H. T. O. (2007). </w:t>
      </w:r>
      <w:r w:rsidRPr="00F153F6">
        <w:rPr>
          <w:rFonts w:ascii="Times New Roman" w:hAnsi="Times New Roman" w:cs="Times New Roman"/>
          <w:i/>
          <w:iCs/>
          <w:sz w:val="24"/>
          <w:szCs w:val="24"/>
        </w:rPr>
        <w:t>Using Evidence: How Research Can Inform Public Services</w:t>
      </w:r>
      <w:r w:rsidRPr="00F153F6">
        <w:rPr>
          <w:rFonts w:ascii="Times New Roman" w:hAnsi="Times New Roman" w:cs="Times New Roman"/>
          <w:sz w:val="24"/>
          <w:szCs w:val="24"/>
        </w:rPr>
        <w:t>. Policy Press.</w:t>
      </w:r>
    </w:p>
    <w:p w14:paraId="755E859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Nyström, A.-G., Leminen, S., Westerlund, M., &amp; Kortelainen, M. (2014). Actor roles and role patterns influencing innovation in living labs. </w:t>
      </w:r>
      <w:r w:rsidRPr="00F153F6">
        <w:rPr>
          <w:rFonts w:ascii="Times New Roman" w:hAnsi="Times New Roman" w:cs="Times New Roman"/>
          <w:i/>
          <w:iCs/>
          <w:sz w:val="24"/>
          <w:szCs w:val="24"/>
        </w:rPr>
        <w:t>Industrial Marketing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43</w:t>
      </w:r>
      <w:r w:rsidRPr="00F153F6">
        <w:rPr>
          <w:rFonts w:ascii="Times New Roman" w:hAnsi="Times New Roman" w:cs="Times New Roman"/>
          <w:sz w:val="24"/>
          <w:szCs w:val="24"/>
        </w:rPr>
        <w:t>(3), 483–495. https://doi.org/10.1016/j.indmarman.2013.12.016</w:t>
      </w:r>
    </w:p>
    <w:p w14:paraId="463835A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OLeary, D. (2013). </w:t>
      </w:r>
      <w:r w:rsidRPr="00F153F6">
        <w:rPr>
          <w:rFonts w:ascii="Times New Roman" w:hAnsi="Times New Roman" w:cs="Times New Roman"/>
          <w:i/>
          <w:iCs/>
          <w:sz w:val="24"/>
          <w:szCs w:val="24"/>
        </w:rPr>
        <w:t>Driving Innovation and Knowledge Management Using Crowdsourcing</w:t>
      </w:r>
      <w:r w:rsidRPr="00F153F6">
        <w:rPr>
          <w:rFonts w:ascii="Times New Roman" w:hAnsi="Times New Roman" w:cs="Times New Roman"/>
          <w:sz w:val="24"/>
          <w:szCs w:val="24"/>
        </w:rPr>
        <w:t>. 11.</w:t>
      </w:r>
    </w:p>
    <w:p w14:paraId="756EC68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Omidvar, O., &amp; Kislov, R. (2014). The Evolution of the Communities of Practice Approach: Toward Knowledgeability in a Landscape of Practice—An Interview with Etienne Wenger-Trayner. </w:t>
      </w:r>
      <w:r w:rsidRPr="00F153F6">
        <w:rPr>
          <w:rFonts w:ascii="Times New Roman" w:hAnsi="Times New Roman" w:cs="Times New Roman"/>
          <w:i/>
          <w:iCs/>
          <w:sz w:val="24"/>
          <w:szCs w:val="24"/>
        </w:rPr>
        <w:t>Journal of Management Inquiry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23</w:t>
      </w:r>
      <w:r w:rsidRPr="00F153F6">
        <w:rPr>
          <w:rFonts w:ascii="Times New Roman" w:hAnsi="Times New Roman" w:cs="Times New Roman"/>
          <w:sz w:val="24"/>
          <w:szCs w:val="24"/>
        </w:rPr>
        <w:t>(3), 266–275. https://doi.org/10.1177/1056492613505908</w:t>
      </w:r>
    </w:p>
    <w:p w14:paraId="35C3A6E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Oostervink, N., Agterberg, M., &amp; Huysman, M. (2016). Knowledge Sharing on Enterprise Social Media: Practices to Cope with Institutional Complexity. </w:t>
      </w:r>
      <w:r w:rsidRPr="00F153F6">
        <w:rPr>
          <w:rFonts w:ascii="Times New Roman" w:hAnsi="Times New Roman" w:cs="Times New Roman"/>
          <w:i/>
          <w:iCs/>
          <w:sz w:val="24"/>
          <w:szCs w:val="24"/>
        </w:rPr>
        <w:t>Journal of Computer-Mediated Communication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21</w:t>
      </w:r>
      <w:r w:rsidRPr="00F153F6">
        <w:rPr>
          <w:rFonts w:ascii="Times New Roman" w:hAnsi="Times New Roman" w:cs="Times New Roman"/>
          <w:sz w:val="24"/>
          <w:szCs w:val="24"/>
        </w:rPr>
        <w:t>(2), 156–176. https://doi.org/10.1111/jcc4.12153</w:t>
      </w:r>
    </w:p>
    <w:p w14:paraId="2DE6AEAE" w14:textId="5F09ED52"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Orlikowski, W. J. (2002). Knowing in Practice: Enacting a Collective Capability in Distributed Organizing. </w:t>
      </w:r>
      <w:r w:rsidRPr="00F153F6">
        <w:rPr>
          <w:rFonts w:ascii="Times New Roman" w:hAnsi="Times New Roman" w:cs="Times New Roman"/>
          <w:i/>
          <w:iCs/>
          <w:sz w:val="24"/>
          <w:szCs w:val="24"/>
        </w:rPr>
        <w:t>Organization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13</w:t>
      </w:r>
      <w:r w:rsidRPr="00F153F6">
        <w:rPr>
          <w:rFonts w:ascii="Times New Roman" w:hAnsi="Times New Roman" w:cs="Times New Roman"/>
          <w:sz w:val="24"/>
          <w:szCs w:val="24"/>
        </w:rPr>
        <w:t>(3), 249–273. JSTOR.</w:t>
      </w:r>
    </w:p>
    <w:p w14:paraId="690CA5D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Orlikowski, W. J. (2006). Material knowing: The scaffolding of human knowledgeability. </w:t>
      </w:r>
      <w:r w:rsidRPr="00F153F6">
        <w:rPr>
          <w:rFonts w:ascii="Times New Roman" w:hAnsi="Times New Roman" w:cs="Times New Roman"/>
          <w:i/>
          <w:iCs/>
          <w:sz w:val="24"/>
          <w:szCs w:val="24"/>
        </w:rPr>
        <w:t>European Journal of Information Systems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15</w:t>
      </w:r>
      <w:r w:rsidRPr="00F153F6">
        <w:rPr>
          <w:rFonts w:ascii="Times New Roman" w:hAnsi="Times New Roman" w:cs="Times New Roman"/>
          <w:sz w:val="24"/>
          <w:szCs w:val="24"/>
        </w:rPr>
        <w:t>(5), 460–466. https://doi.org/10.1057/palgrave.ejis.3000639</w:t>
      </w:r>
    </w:p>
    <w:p w14:paraId="254429F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Orlikowski, W. J. (2007). Sociomaterial Practices: Exploring Technology at Work. </w:t>
      </w:r>
      <w:r w:rsidRPr="00F153F6">
        <w:rPr>
          <w:rFonts w:ascii="Times New Roman" w:hAnsi="Times New Roman" w:cs="Times New Roman"/>
          <w:i/>
          <w:iCs/>
          <w:sz w:val="24"/>
          <w:szCs w:val="24"/>
        </w:rPr>
        <w:t>Organization Studies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28</w:t>
      </w:r>
      <w:r w:rsidRPr="00F153F6">
        <w:rPr>
          <w:rFonts w:ascii="Times New Roman" w:hAnsi="Times New Roman" w:cs="Times New Roman"/>
          <w:sz w:val="24"/>
          <w:szCs w:val="24"/>
        </w:rPr>
        <w:t>(9), 1435–1448. https://doi.org/10.1177/0170840607081138</w:t>
      </w:r>
    </w:p>
    <w:p w14:paraId="4309B26E" w14:textId="1AE24EFD"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Orlikowski, W. J., &amp; Iacono, C. S. (2001). Research Commentary: Desperately Seeking the “IT” in IT Research—A Call to Theorizing the IT Artifact. </w:t>
      </w:r>
      <w:r w:rsidRPr="00F153F6">
        <w:rPr>
          <w:rFonts w:ascii="Times New Roman" w:hAnsi="Times New Roman" w:cs="Times New Roman"/>
          <w:i/>
          <w:iCs/>
          <w:sz w:val="24"/>
          <w:szCs w:val="24"/>
        </w:rPr>
        <w:t xml:space="preserve">Information Systems </w:t>
      </w:r>
      <w:r w:rsidRPr="00F153F6">
        <w:rPr>
          <w:rFonts w:ascii="Times New Roman" w:hAnsi="Times New Roman" w:cs="Times New Roman"/>
          <w:i/>
          <w:iCs/>
          <w:sz w:val="24"/>
          <w:szCs w:val="24"/>
        </w:rPr>
        <w:lastRenderedPageBreak/>
        <w:t>Research</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12</w:t>
      </w:r>
      <w:r w:rsidRPr="00F153F6">
        <w:rPr>
          <w:rFonts w:ascii="Times New Roman" w:hAnsi="Times New Roman" w:cs="Times New Roman"/>
          <w:sz w:val="24"/>
          <w:szCs w:val="24"/>
        </w:rPr>
        <w:t>(2), 121–134. https://doi.org/10.1287/isre.12.2.121.9700</w:t>
      </w:r>
    </w:p>
    <w:p w14:paraId="68DCC89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Orlikowski, W. J., &amp; Robey, D. (1991). Information Technology and the Structuring of Organizations. </w:t>
      </w:r>
      <w:r w:rsidRPr="00F153F6">
        <w:rPr>
          <w:rFonts w:ascii="Times New Roman" w:hAnsi="Times New Roman" w:cs="Times New Roman"/>
          <w:i/>
          <w:iCs/>
          <w:sz w:val="24"/>
          <w:szCs w:val="24"/>
        </w:rPr>
        <w:t>Information Systems Research</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w:t>
      </w:r>
      <w:r w:rsidRPr="00F153F6">
        <w:rPr>
          <w:rFonts w:ascii="Times New Roman" w:hAnsi="Times New Roman" w:cs="Times New Roman"/>
          <w:sz w:val="24"/>
          <w:szCs w:val="24"/>
        </w:rPr>
        <w:t>(2), 143–169. JSTOR.</w:t>
      </w:r>
    </w:p>
    <w:p w14:paraId="7909380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Orlikowski, W. J., &amp; Scott, S. V. (2008). Sociomateriality: Challenging the Separation of Technology, Work and Organization. </w:t>
      </w:r>
      <w:r w:rsidRPr="00F153F6">
        <w:rPr>
          <w:rFonts w:ascii="Times New Roman" w:hAnsi="Times New Roman" w:cs="Times New Roman"/>
          <w:i/>
          <w:iCs/>
          <w:sz w:val="24"/>
          <w:szCs w:val="24"/>
        </w:rPr>
        <w:t>Academy of Management Annals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w:t>
      </w:r>
      <w:r w:rsidRPr="00F153F6">
        <w:rPr>
          <w:rFonts w:ascii="Times New Roman" w:hAnsi="Times New Roman" w:cs="Times New Roman"/>
          <w:sz w:val="24"/>
          <w:szCs w:val="24"/>
        </w:rPr>
        <w:t>(1), 433–474. https://doi.org/10.5465/19416520802211644</w:t>
      </w:r>
    </w:p>
    <w:p w14:paraId="71B659B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Østerlie, T., Almklov, P. G., &amp; Hepsø, V. (2012). Dual materiality and knowing in petroleum production. </w:t>
      </w:r>
      <w:r w:rsidRPr="00F153F6">
        <w:rPr>
          <w:rFonts w:ascii="Times New Roman" w:hAnsi="Times New Roman" w:cs="Times New Roman"/>
          <w:i/>
          <w:iCs/>
          <w:sz w:val="24"/>
          <w:szCs w:val="24"/>
        </w:rPr>
        <w:t>Information and Organization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22</w:t>
      </w:r>
      <w:r w:rsidRPr="00F153F6">
        <w:rPr>
          <w:rFonts w:ascii="Times New Roman" w:hAnsi="Times New Roman" w:cs="Times New Roman"/>
          <w:sz w:val="24"/>
          <w:szCs w:val="24"/>
        </w:rPr>
        <w:t>(2), 85–105. https://doi.org/10.1016/j.infoandorg.2012.01.001</w:t>
      </w:r>
    </w:p>
    <w:p w14:paraId="7B9C120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Østerlund, C., &amp; Carlile, P. (2005). Relations in Practice: Sorting Through Practice Theories on Knowledge Sharing in Complex Organizations. </w:t>
      </w:r>
      <w:r w:rsidRPr="00F153F6">
        <w:rPr>
          <w:rFonts w:ascii="Times New Roman" w:hAnsi="Times New Roman" w:cs="Times New Roman"/>
          <w:i/>
          <w:iCs/>
          <w:sz w:val="24"/>
          <w:szCs w:val="24"/>
        </w:rPr>
        <w:t>The Information Society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21</w:t>
      </w:r>
      <w:r w:rsidRPr="00F153F6">
        <w:rPr>
          <w:rFonts w:ascii="Times New Roman" w:hAnsi="Times New Roman" w:cs="Times New Roman"/>
          <w:sz w:val="24"/>
          <w:szCs w:val="24"/>
        </w:rPr>
        <w:t>(2), 91–107. https://doi.org/10.1080/01972240590925294</w:t>
      </w:r>
    </w:p>
    <w:p w14:paraId="2D6D577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Owen, J. (2006). Integrating Knowledge Management with Programme Management. </w:t>
      </w:r>
      <w:r w:rsidRPr="00F153F6">
        <w:rPr>
          <w:rFonts w:ascii="Times New Roman" w:hAnsi="Times New Roman" w:cs="Times New Roman"/>
          <w:i/>
          <w:iCs/>
          <w:sz w:val="24"/>
          <w:szCs w:val="24"/>
        </w:rPr>
        <w:t>International Journal of Knowledge Management (IJKM)</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w:t>
      </w:r>
      <w:r w:rsidRPr="00F153F6">
        <w:rPr>
          <w:rFonts w:ascii="Times New Roman" w:hAnsi="Times New Roman" w:cs="Times New Roman"/>
          <w:sz w:val="24"/>
          <w:szCs w:val="24"/>
        </w:rPr>
        <w:t>(1), 41–57. https://doi.org/10.4018/jkm.2006010104</w:t>
      </w:r>
    </w:p>
    <w:p w14:paraId="56C1228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Pallot, M., Trousse, B., Senach, B., &amp; Scapin, D. (2011). </w:t>
      </w:r>
      <w:r w:rsidRPr="00F153F6">
        <w:rPr>
          <w:rFonts w:ascii="Times New Roman" w:hAnsi="Times New Roman" w:cs="Times New Roman"/>
          <w:i/>
          <w:iCs/>
          <w:sz w:val="24"/>
          <w:szCs w:val="24"/>
        </w:rPr>
        <w:t>Living Lab Research Landscape: From User Centred Design and User Experience towards User Cocreation</w:t>
      </w:r>
      <w:r w:rsidRPr="00F153F6">
        <w:rPr>
          <w:rFonts w:ascii="Times New Roman" w:hAnsi="Times New Roman" w:cs="Times New Roman"/>
          <w:sz w:val="24"/>
          <w:szCs w:val="24"/>
        </w:rPr>
        <w:t>. 11.</w:t>
      </w:r>
    </w:p>
    <w:p w14:paraId="4A55AA7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Pan, Y., Xu, Y. (Calvin), Wang, X., Zhang, C., Ling, H., &amp; Lin, J. (2015). Integrating social networking support for dyadic knowledge exchange: A study in a virtual community of practice. </w:t>
      </w:r>
      <w:r w:rsidRPr="00F153F6">
        <w:rPr>
          <w:rFonts w:ascii="Times New Roman" w:hAnsi="Times New Roman" w:cs="Times New Roman"/>
          <w:i/>
          <w:iCs/>
          <w:sz w:val="24"/>
          <w:szCs w:val="24"/>
        </w:rPr>
        <w:t>Information &amp;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52</w:t>
      </w:r>
      <w:r w:rsidRPr="00F153F6">
        <w:rPr>
          <w:rFonts w:ascii="Times New Roman" w:hAnsi="Times New Roman" w:cs="Times New Roman"/>
          <w:sz w:val="24"/>
          <w:szCs w:val="24"/>
        </w:rPr>
        <w:t>(1), 61–70. https://doi.org/10.1016/j.im.2014.10.001</w:t>
      </w:r>
    </w:p>
    <w:p w14:paraId="537A98B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Panteli, N., &amp; Sockalingam, S. (2005). Trust and conflict within virtual inter-organizational alliances: A framework for facilitating knowledge sharing. </w:t>
      </w:r>
      <w:r w:rsidRPr="00F153F6">
        <w:rPr>
          <w:rFonts w:ascii="Times New Roman" w:hAnsi="Times New Roman" w:cs="Times New Roman"/>
          <w:i/>
          <w:iCs/>
          <w:sz w:val="24"/>
          <w:szCs w:val="24"/>
        </w:rPr>
        <w:t>Decision Support Systems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39</w:t>
      </w:r>
      <w:r w:rsidRPr="00F153F6">
        <w:rPr>
          <w:rFonts w:ascii="Times New Roman" w:hAnsi="Times New Roman" w:cs="Times New Roman"/>
          <w:sz w:val="24"/>
          <w:szCs w:val="24"/>
        </w:rPr>
        <w:t>(4), 599–617. https://doi.org/10.1016/j.dss.2004.03.003</w:t>
      </w:r>
    </w:p>
    <w:p w14:paraId="214252E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Parikh, M. (2001). Knowledge management framework for high-tech research and </w:t>
      </w:r>
      <w:r w:rsidRPr="00F153F6">
        <w:rPr>
          <w:rFonts w:ascii="Times New Roman" w:hAnsi="Times New Roman" w:cs="Times New Roman"/>
          <w:sz w:val="24"/>
          <w:szCs w:val="24"/>
        </w:rPr>
        <w:lastRenderedPageBreak/>
        <w:t xml:space="preserve">development. </w:t>
      </w:r>
      <w:r w:rsidRPr="00F153F6">
        <w:rPr>
          <w:rFonts w:ascii="Times New Roman" w:hAnsi="Times New Roman" w:cs="Times New Roman"/>
          <w:i/>
          <w:iCs/>
          <w:sz w:val="24"/>
          <w:szCs w:val="24"/>
        </w:rPr>
        <w:t>Engineering Management Journal: EMJ; Huntsville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13</w:t>
      </w:r>
      <w:r w:rsidRPr="00F153F6">
        <w:rPr>
          <w:rFonts w:ascii="Times New Roman" w:hAnsi="Times New Roman" w:cs="Times New Roman"/>
          <w:sz w:val="24"/>
          <w:szCs w:val="24"/>
        </w:rPr>
        <w:t>(3), 27–33.</w:t>
      </w:r>
    </w:p>
    <w:p w14:paraId="0872D29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Parry, K. W. (1998). Grounded theory and social process: A new direction for leadership research. </w:t>
      </w:r>
      <w:r w:rsidRPr="00F153F6">
        <w:rPr>
          <w:rFonts w:ascii="Times New Roman" w:hAnsi="Times New Roman" w:cs="Times New Roman"/>
          <w:i/>
          <w:iCs/>
          <w:sz w:val="24"/>
          <w:szCs w:val="24"/>
        </w:rPr>
        <w:t>The Leadership Quarterly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9</w:t>
      </w:r>
      <w:r w:rsidRPr="00F153F6">
        <w:rPr>
          <w:rFonts w:ascii="Times New Roman" w:hAnsi="Times New Roman" w:cs="Times New Roman"/>
          <w:sz w:val="24"/>
          <w:szCs w:val="24"/>
        </w:rPr>
        <w:t>(1), 85–105. https://doi.org/10.1016/S1048-9843(98)90043-1</w:t>
      </w:r>
    </w:p>
    <w:p w14:paraId="3804C11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Patton, M. Q. (2002). </w:t>
      </w:r>
      <w:r w:rsidRPr="00F153F6">
        <w:rPr>
          <w:rFonts w:ascii="Times New Roman" w:hAnsi="Times New Roman" w:cs="Times New Roman"/>
          <w:i/>
          <w:iCs/>
          <w:sz w:val="24"/>
          <w:szCs w:val="24"/>
        </w:rPr>
        <w:t>Qualitative research and evaluation methods</w:t>
      </w:r>
      <w:r w:rsidRPr="00F153F6">
        <w:rPr>
          <w:rFonts w:ascii="Times New Roman" w:hAnsi="Times New Roman" w:cs="Times New Roman"/>
          <w:sz w:val="24"/>
          <w:szCs w:val="24"/>
        </w:rPr>
        <w:t>. Thousand Oaks, Calif. : Sage Publications. http://archive.org/details/qualitativeresea00patt</w:t>
      </w:r>
    </w:p>
    <w:p w14:paraId="296F927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Paulin, D., &amp; Suneson, K. (2011). </w:t>
      </w:r>
      <w:r w:rsidRPr="00F153F6">
        <w:rPr>
          <w:rFonts w:ascii="Times New Roman" w:hAnsi="Times New Roman" w:cs="Times New Roman"/>
          <w:i/>
          <w:iCs/>
          <w:sz w:val="24"/>
          <w:szCs w:val="24"/>
        </w:rPr>
        <w:t>Knowledge Transfer, Knowledge Sharing and Knowledge Barriers—Three Blurry Terms in KM</w:t>
      </w:r>
      <w:r w:rsidRPr="00F153F6">
        <w:rPr>
          <w:rFonts w:ascii="Times New Roman" w:hAnsi="Times New Roman" w:cs="Times New Roman"/>
          <w:sz w:val="24"/>
          <w:szCs w:val="24"/>
        </w:rPr>
        <w:t>.</w:t>
      </w:r>
    </w:p>
    <w:p w14:paraId="3852277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Payne, C., Brown, M. J., Guerin, S., &amp; Kernohan, W. G. (2019). EMTReK: An Evidence-based Model for the Transfer &amp; Exchange of Research Knowledge—Five Case Studies in Palliative Care. </w:t>
      </w:r>
      <w:r w:rsidRPr="00F153F6">
        <w:rPr>
          <w:rFonts w:ascii="Times New Roman" w:hAnsi="Times New Roman" w:cs="Times New Roman"/>
          <w:i/>
          <w:iCs/>
          <w:sz w:val="24"/>
          <w:szCs w:val="24"/>
        </w:rPr>
        <w:t>SAGE Open Nursing</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5</w:t>
      </w:r>
      <w:r w:rsidRPr="00F153F6">
        <w:rPr>
          <w:rFonts w:ascii="Times New Roman" w:hAnsi="Times New Roman" w:cs="Times New Roman"/>
          <w:sz w:val="24"/>
          <w:szCs w:val="24"/>
        </w:rPr>
        <w:t>, 2377960819861854. https://doi.org/10.1177/2377960819861854</w:t>
      </w:r>
    </w:p>
    <w:p w14:paraId="42C1947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Phillipson, J., Lowe, P., Proctor, A., &amp; Ruto, E. (2012). Stakeholder engagement and knowledge exchange in environmental research. </w:t>
      </w:r>
      <w:r w:rsidRPr="00F153F6">
        <w:rPr>
          <w:rFonts w:ascii="Times New Roman" w:hAnsi="Times New Roman" w:cs="Times New Roman"/>
          <w:i/>
          <w:iCs/>
          <w:sz w:val="24"/>
          <w:szCs w:val="24"/>
        </w:rPr>
        <w:t>Journal of Environmental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95</w:t>
      </w:r>
      <w:r w:rsidRPr="00F153F6">
        <w:rPr>
          <w:rFonts w:ascii="Times New Roman" w:hAnsi="Times New Roman" w:cs="Times New Roman"/>
          <w:sz w:val="24"/>
          <w:szCs w:val="24"/>
        </w:rPr>
        <w:t>(1), 56–65. https://doi.org/10.1016/j.jenvman.2011.10.005</w:t>
      </w:r>
    </w:p>
    <w:p w14:paraId="176A747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Pieter, B. (2015). Living labs: Concepts, tools and cases. </w:t>
      </w:r>
      <w:r w:rsidRPr="00F153F6">
        <w:rPr>
          <w:rFonts w:ascii="Times New Roman" w:hAnsi="Times New Roman" w:cs="Times New Roman"/>
          <w:i/>
          <w:iCs/>
          <w:sz w:val="24"/>
          <w:szCs w:val="24"/>
        </w:rPr>
        <w:t>Info</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17</w:t>
      </w:r>
      <w:r w:rsidRPr="00F153F6">
        <w:rPr>
          <w:rFonts w:ascii="Times New Roman" w:hAnsi="Times New Roman" w:cs="Times New Roman"/>
          <w:sz w:val="24"/>
          <w:szCs w:val="24"/>
        </w:rPr>
        <w:t>(4). https://doi.org/10.1108/info-04-2015-0024</w:t>
      </w:r>
    </w:p>
    <w:p w14:paraId="6A022EF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Pinker, S. (2008). </w:t>
      </w:r>
      <w:r w:rsidRPr="00F153F6">
        <w:rPr>
          <w:rFonts w:ascii="Times New Roman" w:hAnsi="Times New Roman" w:cs="Times New Roman"/>
          <w:i/>
          <w:iCs/>
          <w:sz w:val="24"/>
          <w:szCs w:val="24"/>
        </w:rPr>
        <w:t>The Stuff of Thought: Language as a Window into Human Nature</w:t>
      </w:r>
      <w:r w:rsidRPr="00F153F6">
        <w:rPr>
          <w:rFonts w:ascii="Times New Roman" w:hAnsi="Times New Roman" w:cs="Times New Roman"/>
          <w:sz w:val="24"/>
          <w:szCs w:val="24"/>
        </w:rPr>
        <w:t>. Penguin UK.</w:t>
      </w:r>
    </w:p>
    <w:p w14:paraId="70D1066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Piraquive, F. N. D., García, V. H. M., &amp; Crespo, R. G. (2015). Knowledge Management Model for Project Management. In L. Uden, M. Heričko, &amp; I.-H. Ting (Eds.), </w:t>
      </w:r>
      <w:r w:rsidRPr="00F153F6">
        <w:rPr>
          <w:rFonts w:ascii="Times New Roman" w:hAnsi="Times New Roman" w:cs="Times New Roman"/>
          <w:i/>
          <w:iCs/>
          <w:sz w:val="24"/>
          <w:szCs w:val="24"/>
        </w:rPr>
        <w:t>Knowledge Management in Organizations</w:t>
      </w:r>
      <w:r w:rsidRPr="00F153F6">
        <w:rPr>
          <w:rFonts w:ascii="Times New Roman" w:hAnsi="Times New Roman" w:cs="Times New Roman"/>
          <w:sz w:val="24"/>
          <w:szCs w:val="24"/>
        </w:rPr>
        <w:t xml:space="preserve"> (pp. 235–247). Springer International Publishing. https://doi.org/10.1007/978-3-319-21009-4_18</w:t>
      </w:r>
    </w:p>
    <w:p w14:paraId="1DF0B37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Polanyi, M. (1958). </w:t>
      </w:r>
      <w:r w:rsidRPr="00F153F6">
        <w:rPr>
          <w:rFonts w:ascii="Times New Roman" w:hAnsi="Times New Roman" w:cs="Times New Roman"/>
          <w:i/>
          <w:iCs/>
          <w:sz w:val="24"/>
          <w:szCs w:val="24"/>
        </w:rPr>
        <w:t>Personal Knowledge: Towards a Post-Critical Philosophy</w:t>
      </w:r>
      <w:r w:rsidRPr="00F153F6">
        <w:rPr>
          <w:rFonts w:ascii="Times New Roman" w:hAnsi="Times New Roman" w:cs="Times New Roman"/>
          <w:sz w:val="24"/>
          <w:szCs w:val="24"/>
        </w:rPr>
        <w:t>. Eweb:773. https://repository.library.georgetown.edu/handle/10822/762168</w:t>
      </w:r>
    </w:p>
    <w:p w14:paraId="36214EF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lastRenderedPageBreak/>
        <w:t xml:space="preserve">Polanyi, M. (1961). Knowing and Being. </w:t>
      </w:r>
      <w:r w:rsidRPr="00F153F6">
        <w:rPr>
          <w:rFonts w:ascii="Times New Roman" w:hAnsi="Times New Roman" w:cs="Times New Roman"/>
          <w:i/>
          <w:iCs/>
          <w:sz w:val="24"/>
          <w:szCs w:val="24"/>
        </w:rPr>
        <w:t>Mind</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70</w:t>
      </w:r>
      <w:r w:rsidRPr="00F153F6">
        <w:rPr>
          <w:rFonts w:ascii="Times New Roman" w:hAnsi="Times New Roman" w:cs="Times New Roman"/>
          <w:sz w:val="24"/>
          <w:szCs w:val="24"/>
        </w:rPr>
        <w:t>(280), 458–470. JSTOR.</w:t>
      </w:r>
    </w:p>
    <w:p w14:paraId="36DF542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Polanyi, M. (1966). </w:t>
      </w:r>
      <w:r w:rsidRPr="00F153F6">
        <w:rPr>
          <w:rFonts w:ascii="Times New Roman" w:hAnsi="Times New Roman" w:cs="Times New Roman"/>
          <w:i/>
          <w:iCs/>
          <w:sz w:val="24"/>
          <w:szCs w:val="24"/>
        </w:rPr>
        <w:t>The tacit dimension.</w:t>
      </w:r>
      <w:r w:rsidRPr="00F153F6">
        <w:rPr>
          <w:rFonts w:ascii="Times New Roman" w:hAnsi="Times New Roman" w:cs="Times New Roman"/>
          <w:sz w:val="24"/>
          <w:szCs w:val="24"/>
        </w:rPr>
        <w:t xml:space="preserve"> Doubleday.</w:t>
      </w:r>
    </w:p>
    <w:p w14:paraId="30ACA17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Pollard, R., &amp; Kumar, S. (2021). Mentoring Graduate Students Online: Strategies and Challenges. </w:t>
      </w:r>
      <w:r w:rsidRPr="00F153F6">
        <w:rPr>
          <w:rFonts w:ascii="Times New Roman" w:hAnsi="Times New Roman" w:cs="Times New Roman"/>
          <w:i/>
          <w:iCs/>
          <w:sz w:val="24"/>
          <w:szCs w:val="24"/>
        </w:rPr>
        <w:t>The International Review of Research in Open and Distributed Learning</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22</w:t>
      </w:r>
      <w:r w:rsidRPr="00F153F6">
        <w:rPr>
          <w:rFonts w:ascii="Times New Roman" w:hAnsi="Times New Roman" w:cs="Times New Roman"/>
          <w:sz w:val="24"/>
          <w:szCs w:val="24"/>
        </w:rPr>
        <w:t>(2), 267–284. https://doi.org/10.19173/irrodl.v22i2.5093</w:t>
      </w:r>
    </w:p>
    <w:p w14:paraId="69BAC2F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Ponce de Leon, M. P., Eriksson, M., Balasubramaniam, S., &amp; Donnelly, W. (2006). Creating a distributed mobile networking testbed environment-through the Living Labs approach. </w:t>
      </w:r>
      <w:r w:rsidRPr="00F153F6">
        <w:rPr>
          <w:rFonts w:ascii="Times New Roman" w:hAnsi="Times New Roman" w:cs="Times New Roman"/>
          <w:i/>
          <w:iCs/>
          <w:sz w:val="24"/>
          <w:szCs w:val="24"/>
        </w:rPr>
        <w:t>2nd International Conference on Testbeds and Research Infrastructures for the Development of Networks and Communities, 2006. TRIDENTCOM 2006.</w:t>
      </w:r>
      <w:r w:rsidRPr="00F153F6">
        <w:rPr>
          <w:rFonts w:ascii="Times New Roman" w:hAnsi="Times New Roman" w:cs="Times New Roman"/>
          <w:sz w:val="24"/>
          <w:szCs w:val="24"/>
        </w:rPr>
        <w:t>, 5 pp. – 139. https://doi.org/10.1109/TRIDNT.2006.1649138</w:t>
      </w:r>
    </w:p>
    <w:p w14:paraId="3CD595A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Popp, J. K., Milward, H. B., MacKean, G., Casebeer, A., &amp; Lindstrom, R. (2015). </w:t>
      </w:r>
      <w:r w:rsidRPr="00F153F6">
        <w:rPr>
          <w:rFonts w:ascii="Times New Roman" w:hAnsi="Times New Roman" w:cs="Times New Roman"/>
          <w:i/>
          <w:iCs/>
          <w:sz w:val="24"/>
          <w:szCs w:val="24"/>
        </w:rPr>
        <w:t>Inter-Organizational Networks: A Review of the Literature to Inform Practice</w:t>
      </w:r>
      <w:r w:rsidRPr="00F153F6">
        <w:rPr>
          <w:rFonts w:ascii="Times New Roman" w:hAnsi="Times New Roman" w:cs="Times New Roman"/>
          <w:sz w:val="24"/>
          <w:szCs w:val="24"/>
        </w:rPr>
        <w:t>. 4.</w:t>
      </w:r>
    </w:p>
    <w:p w14:paraId="68DB1C6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Pozzebon, M., &amp; Diniz, E. H. (2012). Theorizing ICT and society in the Brazilian context: A multilevel, pluralistic and remixable framework. </w:t>
      </w:r>
      <w:r w:rsidRPr="00F153F6">
        <w:rPr>
          <w:rFonts w:ascii="Times New Roman" w:hAnsi="Times New Roman" w:cs="Times New Roman"/>
          <w:i/>
          <w:iCs/>
          <w:sz w:val="24"/>
          <w:szCs w:val="24"/>
        </w:rPr>
        <w:t>BAR - Brazilian Administration Review</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9</w:t>
      </w:r>
      <w:r w:rsidRPr="00F153F6">
        <w:rPr>
          <w:rFonts w:ascii="Times New Roman" w:hAnsi="Times New Roman" w:cs="Times New Roman"/>
          <w:sz w:val="24"/>
          <w:szCs w:val="24"/>
        </w:rPr>
        <w:t>(3), 287–307. https://doi.org/10.1590/S1807-76922012000300004</w:t>
      </w:r>
    </w:p>
    <w:p w14:paraId="38DD9B7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Pozzi, G., Pigni, F., &amp; Vitari, C. (2014). Affordance Theory in the IS Discipline: A Review and Synthesis of the Literature. </w:t>
      </w:r>
      <w:r w:rsidRPr="00F153F6">
        <w:rPr>
          <w:rFonts w:ascii="Times New Roman" w:hAnsi="Times New Roman" w:cs="Times New Roman"/>
          <w:i/>
          <w:iCs/>
          <w:sz w:val="24"/>
          <w:szCs w:val="24"/>
        </w:rPr>
        <w:t>AMCIS 2014 Proceedings</w:t>
      </w:r>
      <w:r w:rsidRPr="00F153F6">
        <w:rPr>
          <w:rFonts w:ascii="Times New Roman" w:hAnsi="Times New Roman" w:cs="Times New Roman"/>
          <w:sz w:val="24"/>
          <w:szCs w:val="24"/>
        </w:rPr>
        <w:t>, 14.</w:t>
      </w:r>
    </w:p>
    <w:p w14:paraId="28A234B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Prihodova, L., Guerin, S., Tunney, C., &amp; Kernohan, W. G. (2019). Key components of knowledge transfer and exchange in health services research: Findings from a systematic scoping review. </w:t>
      </w:r>
      <w:r w:rsidRPr="00F153F6">
        <w:rPr>
          <w:rFonts w:ascii="Times New Roman" w:hAnsi="Times New Roman" w:cs="Times New Roman"/>
          <w:i/>
          <w:iCs/>
          <w:sz w:val="24"/>
          <w:szCs w:val="24"/>
        </w:rPr>
        <w:t>Journal of Advanced Nursing</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75</w:t>
      </w:r>
      <w:r w:rsidRPr="00F153F6">
        <w:rPr>
          <w:rFonts w:ascii="Times New Roman" w:hAnsi="Times New Roman" w:cs="Times New Roman"/>
          <w:sz w:val="24"/>
          <w:szCs w:val="24"/>
        </w:rPr>
        <w:t>(2), 313–326. https://doi.org/10.1111/jan.13836</w:t>
      </w:r>
    </w:p>
    <w:p w14:paraId="71CC4BE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Priyono, A. (2016). The Use of ICT Platforms to Promote Knowledge Exchange in Project-Based Organisations. </w:t>
      </w:r>
      <w:r w:rsidRPr="00F153F6">
        <w:rPr>
          <w:rFonts w:ascii="Times New Roman" w:hAnsi="Times New Roman" w:cs="Times New Roman"/>
          <w:i/>
          <w:iCs/>
          <w:sz w:val="24"/>
          <w:szCs w:val="24"/>
        </w:rPr>
        <w:t>International Journal of Entrepreneurial Knowledge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w:t>
      </w:r>
      <w:r w:rsidRPr="00F153F6">
        <w:rPr>
          <w:rFonts w:ascii="Times New Roman" w:hAnsi="Times New Roman" w:cs="Times New Roman"/>
          <w:sz w:val="24"/>
          <w:szCs w:val="24"/>
        </w:rPr>
        <w:t>(2), 5–21. https://doi.org/10.1515/ijek-2016-0010</w:t>
      </w:r>
    </w:p>
    <w:p w14:paraId="4589DD4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Probst, G., Romhardt, K., &amp; Raub, S. (1999). </w:t>
      </w:r>
      <w:r w:rsidRPr="00F153F6">
        <w:rPr>
          <w:rFonts w:ascii="Times New Roman" w:hAnsi="Times New Roman" w:cs="Times New Roman"/>
          <w:i/>
          <w:iCs/>
          <w:sz w:val="24"/>
          <w:szCs w:val="24"/>
        </w:rPr>
        <w:t xml:space="preserve">Managing Knowledge: Building Blocks for </w:t>
      </w:r>
      <w:r w:rsidRPr="00F153F6">
        <w:rPr>
          <w:rFonts w:ascii="Times New Roman" w:hAnsi="Times New Roman" w:cs="Times New Roman"/>
          <w:i/>
          <w:iCs/>
          <w:sz w:val="24"/>
          <w:szCs w:val="24"/>
        </w:rPr>
        <w:lastRenderedPageBreak/>
        <w:t>Success</w:t>
      </w:r>
      <w:r w:rsidRPr="00F153F6">
        <w:rPr>
          <w:rFonts w:ascii="Times New Roman" w:hAnsi="Times New Roman" w:cs="Times New Roman"/>
          <w:sz w:val="24"/>
          <w:szCs w:val="24"/>
        </w:rPr>
        <w:t>.</w:t>
      </w:r>
    </w:p>
    <w:p w14:paraId="54FBA5E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Provost, F., &amp; Fawcett, T. (2013). </w:t>
      </w:r>
      <w:r w:rsidRPr="00F153F6">
        <w:rPr>
          <w:rFonts w:ascii="Times New Roman" w:hAnsi="Times New Roman" w:cs="Times New Roman"/>
          <w:i/>
          <w:iCs/>
          <w:sz w:val="24"/>
          <w:szCs w:val="24"/>
        </w:rPr>
        <w:t>Data Science for Business: What You Need to Know about Data Mining and Data-Analytic Thinking</w:t>
      </w:r>
      <w:r w:rsidRPr="00F153F6">
        <w:rPr>
          <w:rFonts w:ascii="Times New Roman" w:hAnsi="Times New Roman" w:cs="Times New Roman"/>
          <w:sz w:val="24"/>
          <w:szCs w:val="24"/>
        </w:rPr>
        <w:t>. O’Reilly Media, Inc.</w:t>
      </w:r>
    </w:p>
    <w:p w14:paraId="4324889C" w14:textId="29C628A2" w:rsidR="00680985" w:rsidRPr="00F153F6" w:rsidRDefault="00680985" w:rsidP="003C18C2">
      <w:pPr>
        <w:spacing w:after="0" w:line="480" w:lineRule="auto"/>
        <w:ind w:left="720" w:hanging="720"/>
        <w:rPr>
          <w:rFonts w:ascii="Times New Roman" w:hAnsi="Times New Roman" w:cs="Times New Roman"/>
          <w:sz w:val="24"/>
          <w:szCs w:val="24"/>
          <w:lang w:eastAsia="zh-CN"/>
        </w:rPr>
      </w:pPr>
      <w:r w:rsidRPr="00F153F6">
        <w:rPr>
          <w:rFonts w:ascii="Times New Roman" w:hAnsi="Times New Roman" w:cs="Times New Roman"/>
          <w:sz w:val="24"/>
          <w:szCs w:val="24"/>
          <w:lang w:eastAsia="zh-CN"/>
        </w:rPr>
        <w:t xml:space="preserve">Pyrko, Igor; Dörfler, Viktor; Eden, Colin (2019). Communities of practice in landscapes of practice. </w:t>
      </w:r>
      <w:r w:rsidRPr="00F153F6">
        <w:rPr>
          <w:rFonts w:ascii="Times New Roman" w:hAnsi="Times New Roman" w:cs="Times New Roman"/>
          <w:i/>
          <w:iCs/>
          <w:sz w:val="24"/>
          <w:szCs w:val="24"/>
          <w:lang w:eastAsia="zh-CN"/>
        </w:rPr>
        <w:t>Management Learning</w:t>
      </w:r>
      <w:r w:rsidRPr="00F153F6">
        <w:rPr>
          <w:rFonts w:ascii="Times New Roman" w:hAnsi="Times New Roman" w:cs="Times New Roman"/>
          <w:sz w:val="24"/>
          <w:szCs w:val="24"/>
          <w:lang w:eastAsia="zh-CN"/>
        </w:rPr>
        <w:t>. 50 (4): 482–499. doi:10.1177/1350507619860854</w:t>
      </w:r>
    </w:p>
    <w:p w14:paraId="5519052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Quintas, P., Lefrere, P., &amp; Jones, G. (1997). Knowledge Management: A Strategic Agenda. </w:t>
      </w:r>
      <w:r w:rsidRPr="00F153F6">
        <w:rPr>
          <w:rFonts w:ascii="Times New Roman" w:hAnsi="Times New Roman" w:cs="Times New Roman"/>
          <w:i/>
          <w:iCs/>
          <w:sz w:val="24"/>
          <w:szCs w:val="24"/>
        </w:rPr>
        <w:t>Long Range Planning</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30</w:t>
      </w:r>
      <w:r w:rsidRPr="00F153F6">
        <w:rPr>
          <w:rFonts w:ascii="Times New Roman" w:hAnsi="Times New Roman" w:cs="Times New Roman"/>
          <w:sz w:val="24"/>
          <w:szCs w:val="24"/>
        </w:rPr>
        <w:t>, 385–391. https://doi.org/10.1016/S0024-6301(97)90252-1</w:t>
      </w:r>
    </w:p>
    <w:p w14:paraId="3BE6BE3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Rahman, N. J., Singh, H., &amp; Nuwangi, S. M. (2020). </w:t>
      </w:r>
      <w:r w:rsidRPr="00F153F6">
        <w:rPr>
          <w:rFonts w:ascii="Times New Roman" w:hAnsi="Times New Roman" w:cs="Times New Roman"/>
          <w:i/>
          <w:iCs/>
          <w:sz w:val="24"/>
          <w:szCs w:val="24"/>
        </w:rPr>
        <w:t>Understanding the Impact of Knowledge Sharing through Enterprise Social Networking (ESN) on Service Innovation</w:t>
      </w:r>
      <w:r w:rsidRPr="00F153F6">
        <w:rPr>
          <w:rFonts w:ascii="Times New Roman" w:hAnsi="Times New Roman" w:cs="Times New Roman"/>
          <w:sz w:val="24"/>
          <w:szCs w:val="24"/>
        </w:rPr>
        <w:t>. 8.</w:t>
      </w:r>
    </w:p>
    <w:p w14:paraId="1E1D490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Rajala, A. (2018). </w:t>
      </w:r>
      <w:r w:rsidRPr="00F153F6">
        <w:rPr>
          <w:rFonts w:ascii="Times New Roman" w:hAnsi="Times New Roman" w:cs="Times New Roman"/>
          <w:i/>
          <w:iCs/>
          <w:sz w:val="24"/>
          <w:szCs w:val="24"/>
        </w:rPr>
        <w:t>Exploring interorganizational interaction in customer–supplier relationships: Learning, persuasion, and coopetition</w:t>
      </w:r>
      <w:r w:rsidRPr="00F153F6">
        <w:rPr>
          <w:rFonts w:ascii="Times New Roman" w:hAnsi="Times New Roman" w:cs="Times New Roman"/>
          <w:sz w:val="24"/>
          <w:szCs w:val="24"/>
        </w:rPr>
        <w:t>. 173.</w:t>
      </w:r>
    </w:p>
    <w:p w14:paraId="6486AE9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Ranf, D. E., &amp; Herman, R. (2018). Knowledge Management Contributions in Project Management. </w:t>
      </w:r>
      <w:r w:rsidRPr="00F153F6">
        <w:rPr>
          <w:rFonts w:ascii="Times New Roman" w:hAnsi="Times New Roman" w:cs="Times New Roman"/>
          <w:i/>
          <w:iCs/>
          <w:sz w:val="24"/>
          <w:szCs w:val="24"/>
        </w:rPr>
        <w:t>Land Forces Academy Review</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23</w:t>
      </w:r>
      <w:r w:rsidRPr="00F153F6">
        <w:rPr>
          <w:rFonts w:ascii="Times New Roman" w:hAnsi="Times New Roman" w:cs="Times New Roman"/>
          <w:sz w:val="24"/>
          <w:szCs w:val="24"/>
        </w:rPr>
        <w:t>(4), 288–293. https://doi.org/10.2478/raft-2018-0036</w:t>
      </w:r>
    </w:p>
    <w:p w14:paraId="1DE3A62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Rao, H. (2017). </w:t>
      </w:r>
      <w:r w:rsidRPr="00F153F6">
        <w:rPr>
          <w:rFonts w:ascii="Times New Roman" w:hAnsi="Times New Roman" w:cs="Times New Roman"/>
          <w:i/>
          <w:iCs/>
          <w:sz w:val="24"/>
          <w:szCs w:val="24"/>
        </w:rPr>
        <w:t>Interorganizational Ecology—The Blackwell Companion to Organizations—Wiley Online Library</w:t>
      </w:r>
      <w:r w:rsidRPr="00F153F6">
        <w:rPr>
          <w:rFonts w:ascii="Times New Roman" w:hAnsi="Times New Roman" w:cs="Times New Roman"/>
          <w:sz w:val="24"/>
          <w:szCs w:val="24"/>
        </w:rPr>
        <w:t>. https://onlinelibrary.wiley.com/doi/abs/10.1002/9781405164061.ch23</w:t>
      </w:r>
    </w:p>
    <w:p w14:paraId="416ADA5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Razmerita, L., Kirchner, K., &amp; Nabeth, T. (2014). Social Media in Organizations: Leveraging Personal and Collective Knowledge Processes. </w:t>
      </w:r>
      <w:r w:rsidRPr="00F153F6">
        <w:rPr>
          <w:rFonts w:ascii="Times New Roman" w:hAnsi="Times New Roman" w:cs="Times New Roman"/>
          <w:i/>
          <w:iCs/>
          <w:sz w:val="24"/>
          <w:szCs w:val="24"/>
        </w:rPr>
        <w:t>Journal of Organizational Computing and Electronic Commerce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24</w:t>
      </w:r>
      <w:r w:rsidRPr="00F153F6">
        <w:rPr>
          <w:rFonts w:ascii="Times New Roman" w:hAnsi="Times New Roman" w:cs="Times New Roman"/>
          <w:sz w:val="24"/>
          <w:szCs w:val="24"/>
        </w:rPr>
        <w:t>(1), 74–93. https://doi.org/10.1080/10919392.2014.866504</w:t>
      </w:r>
    </w:p>
    <w:p w14:paraId="3B47658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Rice, R. E., Evans, S. K., Pearce, K. E., Sivunen, A., Vitak, J., &amp; Treem, J. W. (2017). Organizational Media Affordances: Operationalization and Associations with Media Use. </w:t>
      </w:r>
      <w:r w:rsidRPr="00F153F6">
        <w:rPr>
          <w:rFonts w:ascii="Times New Roman" w:hAnsi="Times New Roman" w:cs="Times New Roman"/>
          <w:i/>
          <w:iCs/>
          <w:sz w:val="24"/>
          <w:szCs w:val="24"/>
        </w:rPr>
        <w:t>Journal of Communication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67</w:t>
      </w:r>
      <w:r w:rsidRPr="00F153F6">
        <w:rPr>
          <w:rFonts w:ascii="Times New Roman" w:hAnsi="Times New Roman" w:cs="Times New Roman"/>
          <w:sz w:val="24"/>
          <w:szCs w:val="24"/>
        </w:rPr>
        <w:t>(1), 106–130. Scopus. https://doi.org/10.1111/jcom.12273</w:t>
      </w:r>
    </w:p>
    <w:p w14:paraId="3D0F5DD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lastRenderedPageBreak/>
        <w:t xml:space="preserve">Ripamonti, S., &amp; Scaratti, G. (2012). Weak knowledge for strengthening competences: A practice-based approach in assessment management. </w:t>
      </w:r>
      <w:r w:rsidRPr="00F153F6">
        <w:rPr>
          <w:rFonts w:ascii="Times New Roman" w:hAnsi="Times New Roman" w:cs="Times New Roman"/>
          <w:i/>
          <w:iCs/>
          <w:sz w:val="24"/>
          <w:szCs w:val="24"/>
        </w:rPr>
        <w:t>Management Learning</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43</w:t>
      </w:r>
      <w:r w:rsidRPr="00F153F6">
        <w:rPr>
          <w:rFonts w:ascii="Times New Roman" w:hAnsi="Times New Roman" w:cs="Times New Roman"/>
          <w:sz w:val="24"/>
          <w:szCs w:val="24"/>
        </w:rPr>
        <w:t>(2), 183–197. https://doi.org/10.1177/1350507611429911</w:t>
      </w:r>
    </w:p>
    <w:p w14:paraId="118FBA8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Rivera, G., &amp; Cox, A. M. (2016). A Practice-Based Approach to Understanding Participation in Online Communities: The Practice Approach And Online Community Participation. </w:t>
      </w:r>
      <w:r w:rsidRPr="00F153F6">
        <w:rPr>
          <w:rFonts w:ascii="Times New Roman" w:hAnsi="Times New Roman" w:cs="Times New Roman"/>
          <w:i/>
          <w:iCs/>
          <w:sz w:val="24"/>
          <w:szCs w:val="24"/>
        </w:rPr>
        <w:t>Journal of Computer-Mediated Communication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21</w:t>
      </w:r>
      <w:r w:rsidRPr="00F153F6">
        <w:rPr>
          <w:rFonts w:ascii="Times New Roman" w:hAnsi="Times New Roman" w:cs="Times New Roman"/>
          <w:sz w:val="24"/>
          <w:szCs w:val="24"/>
        </w:rPr>
        <w:t>(1), 17–32. https://doi.org/10.1111/jcc4.12148</w:t>
      </w:r>
    </w:p>
    <w:p w14:paraId="51F29F9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Roberts, T. S. (Ed.). (2004). </w:t>
      </w:r>
      <w:r w:rsidRPr="00F153F6">
        <w:rPr>
          <w:rFonts w:ascii="Times New Roman" w:hAnsi="Times New Roman" w:cs="Times New Roman"/>
          <w:i/>
          <w:iCs/>
          <w:sz w:val="24"/>
          <w:szCs w:val="24"/>
        </w:rPr>
        <w:t>Online collaborative learning: Theory and practice</w:t>
      </w:r>
      <w:r w:rsidRPr="00F153F6">
        <w:rPr>
          <w:rFonts w:ascii="Times New Roman" w:hAnsi="Times New Roman" w:cs="Times New Roman"/>
          <w:sz w:val="24"/>
          <w:szCs w:val="24"/>
        </w:rPr>
        <w:t>. Information Science Pub.</w:t>
      </w:r>
    </w:p>
    <w:p w14:paraId="63E1043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Rodrigues, M., &amp; Franco, M. (2018). Importance of living labs in urban Entrepreneurship:A Portuguese case study. </w:t>
      </w:r>
      <w:r w:rsidRPr="00F153F6">
        <w:rPr>
          <w:rFonts w:ascii="Times New Roman" w:hAnsi="Times New Roman" w:cs="Times New Roman"/>
          <w:i/>
          <w:iCs/>
          <w:sz w:val="24"/>
          <w:szCs w:val="24"/>
        </w:rPr>
        <w:t>Journal of Cleaner Production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180</w:t>
      </w:r>
      <w:r w:rsidRPr="00F153F6">
        <w:rPr>
          <w:rFonts w:ascii="Times New Roman" w:hAnsi="Times New Roman" w:cs="Times New Roman"/>
          <w:sz w:val="24"/>
          <w:szCs w:val="24"/>
        </w:rPr>
        <w:t>, 780–789. https://doi.org/10.1016/j.jclepro.2018.01.150</w:t>
      </w:r>
    </w:p>
    <w:p w14:paraId="4A6BEA8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Romm, N. R. A. (2014). Conducting Focus Groups in Terms of an Appreciation of Indigenous Ways of Knowing: Some Examples from South Africa. </w:t>
      </w:r>
      <w:r w:rsidRPr="00F153F6">
        <w:rPr>
          <w:rFonts w:ascii="Times New Roman" w:hAnsi="Times New Roman" w:cs="Times New Roman"/>
          <w:i/>
          <w:iCs/>
          <w:sz w:val="24"/>
          <w:szCs w:val="24"/>
        </w:rPr>
        <w:t>Forum Qualitative Sozialforschung / Forum: Qualitative Social Research</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16</w:t>
      </w:r>
      <w:r w:rsidRPr="00F153F6">
        <w:rPr>
          <w:rFonts w:ascii="Times New Roman" w:hAnsi="Times New Roman" w:cs="Times New Roman"/>
          <w:sz w:val="24"/>
          <w:szCs w:val="24"/>
        </w:rPr>
        <w:t>(1). https://doi.org/10.17169/fqs-16.1.2087</w:t>
      </w:r>
    </w:p>
    <w:p w14:paraId="2911257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Ruijsink, S., &amp; Smith, A. (2016). </w:t>
      </w:r>
      <w:r w:rsidRPr="00F153F6">
        <w:rPr>
          <w:rFonts w:ascii="Times New Roman" w:hAnsi="Times New Roman" w:cs="Times New Roman"/>
          <w:i/>
          <w:iCs/>
          <w:sz w:val="24"/>
          <w:szCs w:val="24"/>
        </w:rPr>
        <w:t>Transformative Social Innovation: European Network of Living Labs</w:t>
      </w:r>
      <w:r w:rsidRPr="00F153F6">
        <w:rPr>
          <w:rFonts w:ascii="Times New Roman" w:hAnsi="Times New Roman" w:cs="Times New Roman"/>
          <w:sz w:val="24"/>
          <w:szCs w:val="24"/>
        </w:rPr>
        <w:t>. http://www.transitsocialinnovation.eu/content/original/Book%20covers/Local%20PDFs/194%20ENoLL-living%20lab-Ehvn_Mstr-SUMMARY.pdf</w:t>
      </w:r>
    </w:p>
    <w:p w14:paraId="11D8348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Saide, S., &amp; Sheng, M. L. (2021). Knowledge exploration–exploitation and information technology: Crisis management of teaching–learning scenario in the COVID-19 outbreak. </w:t>
      </w:r>
      <w:r w:rsidRPr="00F153F6">
        <w:rPr>
          <w:rFonts w:ascii="Times New Roman" w:hAnsi="Times New Roman" w:cs="Times New Roman"/>
          <w:i/>
          <w:iCs/>
          <w:sz w:val="24"/>
          <w:szCs w:val="24"/>
        </w:rPr>
        <w:t>Technology Analysis &amp; Strategic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33</w:t>
      </w:r>
      <w:r w:rsidRPr="00F153F6">
        <w:rPr>
          <w:rFonts w:ascii="Times New Roman" w:hAnsi="Times New Roman" w:cs="Times New Roman"/>
          <w:sz w:val="24"/>
          <w:szCs w:val="24"/>
        </w:rPr>
        <w:t>(8), 927–942. https://doi.org/10.1080/09537325.2020.1854714</w:t>
      </w:r>
    </w:p>
    <w:p w14:paraId="2E65070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Salinas, L. (2018). </w:t>
      </w:r>
      <w:r w:rsidRPr="00F153F6">
        <w:rPr>
          <w:rFonts w:ascii="Times New Roman" w:hAnsi="Times New Roman" w:cs="Times New Roman"/>
          <w:i/>
          <w:iCs/>
          <w:sz w:val="24"/>
          <w:szCs w:val="24"/>
        </w:rPr>
        <w:t>What is the value of Knowledge Exchange?</w:t>
      </w:r>
      <w:r w:rsidRPr="00F153F6">
        <w:rPr>
          <w:rFonts w:ascii="Times New Roman" w:hAnsi="Times New Roman" w:cs="Times New Roman"/>
          <w:sz w:val="24"/>
          <w:szCs w:val="24"/>
        </w:rPr>
        <w:t xml:space="preserve"> </w:t>
      </w:r>
      <w:r w:rsidRPr="00F153F6">
        <w:rPr>
          <w:rFonts w:ascii="Times New Roman" w:hAnsi="Times New Roman" w:cs="Times New Roman"/>
          <w:sz w:val="24"/>
          <w:szCs w:val="24"/>
        </w:rPr>
        <w:lastRenderedPageBreak/>
        <w:t>http://ualresearchonline.arts.ac.uk/12449/1/salinas2018whatisthevalueofkecumulus.pdf</w:t>
      </w:r>
    </w:p>
    <w:p w14:paraId="74CA558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Salleh, S. M., Yusof, H. S. M., Mohammed, N. H., Zahari, A. S. M., &amp; Hamzah, S. F. M. (2020). Knowledge Sharing in Online Community: A Review. </w:t>
      </w:r>
      <w:r w:rsidRPr="00F153F6">
        <w:rPr>
          <w:rFonts w:ascii="Times New Roman" w:hAnsi="Times New Roman" w:cs="Times New Roman"/>
          <w:i/>
          <w:iCs/>
          <w:sz w:val="24"/>
          <w:szCs w:val="24"/>
        </w:rPr>
        <w:t>Journal of Physics: Conference Series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1529</w:t>
      </w:r>
      <w:r w:rsidRPr="00F153F6">
        <w:rPr>
          <w:rFonts w:ascii="Times New Roman" w:hAnsi="Times New Roman" w:cs="Times New Roman"/>
          <w:sz w:val="24"/>
          <w:szCs w:val="24"/>
        </w:rPr>
        <w:t>, 022052. https://doi.org/10.1088/1742-6596/1529/2/022052</w:t>
      </w:r>
    </w:p>
    <w:p w14:paraId="1140F82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Santonen, W. T., Creazzo, L., Griffon, A., Bódi, Z., &amp; Aversano, P. (2017). </w:t>
      </w:r>
      <w:r w:rsidRPr="00F153F6">
        <w:rPr>
          <w:rFonts w:ascii="Times New Roman" w:hAnsi="Times New Roman" w:cs="Times New Roman"/>
          <w:i/>
          <w:iCs/>
          <w:sz w:val="24"/>
          <w:szCs w:val="24"/>
        </w:rPr>
        <w:t>Cities as Living Labs – Increasing the impact of investment in the circular economy for sustainable cities</w:t>
      </w:r>
      <w:r w:rsidRPr="00F153F6">
        <w:rPr>
          <w:rFonts w:ascii="Times New Roman" w:hAnsi="Times New Roman" w:cs="Times New Roman"/>
          <w:sz w:val="24"/>
          <w:szCs w:val="24"/>
        </w:rPr>
        <w:t>. 95.</w:t>
      </w:r>
    </w:p>
    <w:p w14:paraId="047D132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Sapuarachchi, D. B. (2021). Cultural distance and inter-organizational knowledge transfer: A case study of a multinational company. </w:t>
      </w:r>
      <w:r w:rsidRPr="00F153F6">
        <w:rPr>
          <w:rFonts w:ascii="Times New Roman" w:hAnsi="Times New Roman" w:cs="Times New Roman"/>
          <w:i/>
          <w:iCs/>
          <w:sz w:val="24"/>
          <w:szCs w:val="24"/>
        </w:rPr>
        <w:t>Journal of Knowledge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25</w:t>
      </w:r>
      <w:r w:rsidRPr="00F153F6">
        <w:rPr>
          <w:rFonts w:ascii="Times New Roman" w:hAnsi="Times New Roman" w:cs="Times New Roman"/>
          <w:sz w:val="24"/>
          <w:szCs w:val="24"/>
        </w:rPr>
        <w:t>(9), 2316–2333. https://doi.org/10.1108/JKM-06-2020-0439</w:t>
      </w:r>
    </w:p>
    <w:p w14:paraId="4D54022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Saunders, M. N. K., Lewis, P., &amp; Thornhill, A. (2015). </w:t>
      </w:r>
      <w:r w:rsidRPr="00F153F6">
        <w:rPr>
          <w:rFonts w:ascii="Times New Roman" w:hAnsi="Times New Roman" w:cs="Times New Roman"/>
          <w:i/>
          <w:iCs/>
          <w:sz w:val="24"/>
          <w:szCs w:val="24"/>
        </w:rPr>
        <w:t>Research methods for business students</w:t>
      </w:r>
      <w:r w:rsidRPr="00F153F6">
        <w:rPr>
          <w:rFonts w:ascii="Times New Roman" w:hAnsi="Times New Roman" w:cs="Times New Roman"/>
          <w:sz w:val="24"/>
          <w:szCs w:val="24"/>
        </w:rPr>
        <w:t xml:space="preserve"> (Seventh edition). Pearson Education.</w:t>
      </w:r>
    </w:p>
    <w:p w14:paraId="2AE457B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Schaffers, H., &amp; Kulkki, S. (2007). </w:t>
      </w:r>
      <w:r w:rsidRPr="00F153F6">
        <w:rPr>
          <w:rFonts w:ascii="Times New Roman" w:hAnsi="Times New Roman" w:cs="Times New Roman"/>
          <w:i/>
          <w:iCs/>
          <w:sz w:val="24"/>
          <w:szCs w:val="24"/>
        </w:rPr>
        <w:t>An open innovation concept fostering rural development</w:t>
      </w:r>
      <w:r w:rsidRPr="00F153F6">
        <w:rPr>
          <w:rFonts w:ascii="Times New Roman" w:hAnsi="Times New Roman" w:cs="Times New Roman"/>
          <w:sz w:val="24"/>
          <w:szCs w:val="24"/>
        </w:rPr>
        <w:t>. 10.</w:t>
      </w:r>
    </w:p>
    <w:p w14:paraId="1506838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Schatzki, T. R., Knorr Cetina, K., Savigny, E. von, &amp; Knorr-Cetina, K. (2005). </w:t>
      </w:r>
      <w:r w:rsidRPr="00F153F6">
        <w:rPr>
          <w:rFonts w:ascii="Times New Roman" w:hAnsi="Times New Roman" w:cs="Times New Roman"/>
          <w:i/>
          <w:iCs/>
          <w:sz w:val="24"/>
          <w:szCs w:val="24"/>
        </w:rPr>
        <w:t>The Practice Turn in Contemporary Theory</w:t>
      </w:r>
      <w:r w:rsidRPr="00F153F6">
        <w:rPr>
          <w:rFonts w:ascii="Times New Roman" w:hAnsi="Times New Roman" w:cs="Times New Roman"/>
          <w:sz w:val="24"/>
          <w:szCs w:val="24"/>
        </w:rPr>
        <w:t>. Taylor and Francis.</w:t>
      </w:r>
    </w:p>
    <w:p w14:paraId="35F1207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Schauer, A., Vasconcelos, A. C., &amp; Sen, B. (2015). The ShaRInK framework: A holistic perspective on key categories of influences shaping individual perceptions of knowledge sharing. </w:t>
      </w:r>
      <w:r w:rsidRPr="00F153F6">
        <w:rPr>
          <w:rFonts w:ascii="Times New Roman" w:hAnsi="Times New Roman" w:cs="Times New Roman"/>
          <w:i/>
          <w:iCs/>
          <w:sz w:val="24"/>
          <w:szCs w:val="24"/>
        </w:rPr>
        <w:t>Journal of Knowledge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19</w:t>
      </w:r>
      <w:r w:rsidRPr="00F153F6">
        <w:rPr>
          <w:rFonts w:ascii="Times New Roman" w:hAnsi="Times New Roman" w:cs="Times New Roman"/>
          <w:sz w:val="24"/>
          <w:szCs w:val="24"/>
        </w:rPr>
        <w:t>(4), 770–790. https://doi.org/10.1108/JKM-12-2014-0519</w:t>
      </w:r>
    </w:p>
    <w:p w14:paraId="7E77858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Schermerhorn, J. R. (1975). Determinants of Interorganizational Cooperation. </w:t>
      </w:r>
      <w:r w:rsidRPr="00F153F6">
        <w:rPr>
          <w:rFonts w:ascii="Times New Roman" w:hAnsi="Times New Roman" w:cs="Times New Roman"/>
          <w:i/>
          <w:iCs/>
          <w:sz w:val="24"/>
          <w:szCs w:val="24"/>
        </w:rPr>
        <w:t>The Academy of Management Journal</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18</w:t>
      </w:r>
      <w:r w:rsidRPr="00F153F6">
        <w:rPr>
          <w:rFonts w:ascii="Times New Roman" w:hAnsi="Times New Roman" w:cs="Times New Roman"/>
          <w:sz w:val="24"/>
          <w:szCs w:val="24"/>
        </w:rPr>
        <w:t>(4), 846–856. https://doi.org/10.2307/255382</w:t>
      </w:r>
    </w:p>
    <w:p w14:paraId="4A4AF93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Schichtel, M. (2010). Core-competence skills in e-mentoring for medical educators: A conceptual exploration. </w:t>
      </w:r>
      <w:r w:rsidRPr="00F153F6">
        <w:rPr>
          <w:rFonts w:ascii="Times New Roman" w:hAnsi="Times New Roman" w:cs="Times New Roman"/>
          <w:i/>
          <w:iCs/>
          <w:sz w:val="24"/>
          <w:szCs w:val="24"/>
        </w:rPr>
        <w:t>Medical Teacher</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32</w:t>
      </w:r>
      <w:r w:rsidRPr="00F153F6">
        <w:rPr>
          <w:rFonts w:ascii="Times New Roman" w:hAnsi="Times New Roman" w:cs="Times New Roman"/>
          <w:sz w:val="24"/>
          <w:szCs w:val="24"/>
        </w:rPr>
        <w:t xml:space="preserve">(7), e248–e262. </w:t>
      </w:r>
      <w:r w:rsidRPr="00F153F6">
        <w:rPr>
          <w:rFonts w:ascii="Times New Roman" w:hAnsi="Times New Roman" w:cs="Times New Roman"/>
          <w:sz w:val="24"/>
          <w:szCs w:val="24"/>
        </w:rPr>
        <w:lastRenderedPageBreak/>
        <w:t>https://doi.org/10.3109/0142159X.2010.489126</w:t>
      </w:r>
    </w:p>
    <w:p w14:paraId="3946A29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Schultze, U., &amp; Stabell, C. (2004). Knowing What You Don’t Know? Discourses and Contradictions in Knowledge Management Research. </w:t>
      </w:r>
      <w:r w:rsidRPr="00F153F6">
        <w:rPr>
          <w:rFonts w:ascii="Times New Roman" w:hAnsi="Times New Roman" w:cs="Times New Roman"/>
          <w:i/>
          <w:iCs/>
          <w:sz w:val="24"/>
          <w:szCs w:val="24"/>
        </w:rPr>
        <w:t>Journal of Management Studies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41</w:t>
      </w:r>
      <w:r w:rsidRPr="00F153F6">
        <w:rPr>
          <w:rFonts w:ascii="Times New Roman" w:hAnsi="Times New Roman" w:cs="Times New Roman"/>
          <w:sz w:val="24"/>
          <w:szCs w:val="24"/>
        </w:rPr>
        <w:t>(4), 549–573. https://doi.org/10.1111/j.1467-6486.2004.00444.x</w:t>
      </w:r>
    </w:p>
    <w:p w14:paraId="65D87A3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Schuurman, D., Baccarne, B., Marez, L. D., Veeckman, C., &amp; Ballon, P. (2014). </w:t>
      </w:r>
      <w:r w:rsidRPr="00F153F6">
        <w:rPr>
          <w:rFonts w:ascii="Times New Roman" w:hAnsi="Times New Roman" w:cs="Times New Roman"/>
          <w:i/>
          <w:iCs/>
          <w:sz w:val="24"/>
          <w:szCs w:val="24"/>
        </w:rPr>
        <w:t>Living Labs as open innovation systems for knowledge exchange: Solutions for sustainable innovation development</w:t>
      </w:r>
      <w:r w:rsidRPr="00F153F6">
        <w:rPr>
          <w:rFonts w:ascii="Times New Roman" w:hAnsi="Times New Roman" w:cs="Times New Roman"/>
          <w:sz w:val="24"/>
          <w:szCs w:val="24"/>
        </w:rPr>
        <w:t>. https://doi.org/10.1504/IJBIR.2016.074832</w:t>
      </w:r>
    </w:p>
    <w:p w14:paraId="3CD6218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Schuurman, D., Baccarne, B., Marez, L. D., Veeckman, C., &amp; Ballon, P. (2016). Living Labs as open innovation systems for knowledge exchange: Solutions for sustainable innovation development. </w:t>
      </w:r>
      <w:r w:rsidRPr="00F153F6">
        <w:rPr>
          <w:rFonts w:ascii="Times New Roman" w:hAnsi="Times New Roman" w:cs="Times New Roman"/>
          <w:i/>
          <w:iCs/>
          <w:sz w:val="24"/>
          <w:szCs w:val="24"/>
        </w:rPr>
        <w:t>International Journal of Business Innovation and Research</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10</w:t>
      </w:r>
      <w:r w:rsidRPr="00F153F6">
        <w:rPr>
          <w:rFonts w:ascii="Times New Roman" w:hAnsi="Times New Roman" w:cs="Times New Roman"/>
          <w:sz w:val="24"/>
          <w:szCs w:val="24"/>
        </w:rPr>
        <w:t>(2/3), 322. https://doi.org/10.1504/IJBIR.2016.074832</w:t>
      </w:r>
    </w:p>
    <w:p w14:paraId="7DD1B1D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Schuurman, D., Marez, L. D., &amp; Ballon, P. (2015). </w:t>
      </w:r>
      <w:r w:rsidRPr="00F153F6">
        <w:rPr>
          <w:rFonts w:ascii="Times New Roman" w:hAnsi="Times New Roman" w:cs="Times New Roman"/>
          <w:i/>
          <w:iCs/>
          <w:sz w:val="24"/>
          <w:szCs w:val="24"/>
        </w:rPr>
        <w:t>Living Labs: A systematic literature review</w:t>
      </w:r>
      <w:r w:rsidRPr="00F153F6">
        <w:rPr>
          <w:rFonts w:ascii="Times New Roman" w:hAnsi="Times New Roman" w:cs="Times New Roman"/>
          <w:sz w:val="24"/>
          <w:szCs w:val="24"/>
        </w:rPr>
        <w:t>. 17.</w:t>
      </w:r>
    </w:p>
    <w:p w14:paraId="70A0E8A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Schuurman, D., Marez, L. D., &amp; Ballon, P. (2016). The Impact of Living Lab Methodology on Open Innovation Contributions and Outcomes. </w:t>
      </w:r>
      <w:r w:rsidRPr="00F153F6">
        <w:rPr>
          <w:rFonts w:ascii="Times New Roman" w:hAnsi="Times New Roman" w:cs="Times New Roman"/>
          <w:i/>
          <w:iCs/>
          <w:sz w:val="24"/>
          <w:szCs w:val="24"/>
        </w:rPr>
        <w:t>Technology Innovation Management Review</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6</w:t>
      </w:r>
      <w:r w:rsidRPr="00F153F6">
        <w:rPr>
          <w:rFonts w:ascii="Times New Roman" w:hAnsi="Times New Roman" w:cs="Times New Roman"/>
          <w:sz w:val="24"/>
          <w:szCs w:val="24"/>
        </w:rPr>
        <w:t>(1), 10.</w:t>
      </w:r>
    </w:p>
    <w:p w14:paraId="680A8DF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Scott, J. (2014). </w:t>
      </w:r>
      <w:r w:rsidRPr="00F153F6">
        <w:rPr>
          <w:rFonts w:ascii="Times New Roman" w:hAnsi="Times New Roman" w:cs="Times New Roman"/>
          <w:i/>
          <w:iCs/>
          <w:sz w:val="24"/>
          <w:szCs w:val="24"/>
        </w:rPr>
        <w:t>A Matter of Record: Documentary Sources in Social Research</w:t>
      </w:r>
      <w:r w:rsidRPr="00F153F6">
        <w:rPr>
          <w:rFonts w:ascii="Times New Roman" w:hAnsi="Times New Roman" w:cs="Times New Roman"/>
          <w:sz w:val="24"/>
          <w:szCs w:val="24"/>
        </w:rPr>
        <w:t>. John Wiley &amp; Sons.</w:t>
      </w:r>
    </w:p>
    <w:p w14:paraId="77F4E5D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Sefollahi, N. (2018). </w:t>
      </w:r>
      <w:r w:rsidRPr="00F153F6">
        <w:rPr>
          <w:rFonts w:ascii="Times New Roman" w:hAnsi="Times New Roman" w:cs="Times New Roman"/>
          <w:i/>
          <w:iCs/>
          <w:sz w:val="24"/>
          <w:szCs w:val="24"/>
        </w:rPr>
        <w:t>THE IMPORTANCE OF ICT ON KNOWLEDGE MANAGEMENT IN ORGANIZATIONS</w:t>
      </w:r>
      <w:r w:rsidRPr="00F153F6">
        <w:rPr>
          <w:rFonts w:ascii="Times New Roman" w:hAnsi="Times New Roman" w:cs="Times New Roman"/>
          <w:sz w:val="24"/>
          <w:szCs w:val="24"/>
        </w:rPr>
        <w:t>. 18.</w:t>
      </w:r>
    </w:p>
    <w:p w14:paraId="092344C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Seidel, J. L., &amp; Kelle, U. (1995). </w:t>
      </w:r>
      <w:r w:rsidRPr="00F153F6">
        <w:rPr>
          <w:rFonts w:ascii="Times New Roman" w:hAnsi="Times New Roman" w:cs="Times New Roman"/>
          <w:i/>
          <w:iCs/>
          <w:sz w:val="24"/>
          <w:szCs w:val="24"/>
        </w:rPr>
        <w:t>Different Functions of Coding in the Analysis of Textual Data</w:t>
      </w:r>
      <w:r w:rsidRPr="00F153F6">
        <w:rPr>
          <w:rFonts w:ascii="Times New Roman" w:hAnsi="Times New Roman" w:cs="Times New Roman"/>
          <w:sz w:val="24"/>
          <w:szCs w:val="24"/>
        </w:rPr>
        <w:t>.</w:t>
      </w:r>
    </w:p>
    <w:p w14:paraId="2912329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Seidel, S., &amp; Urquhart, C. (2016). On Emergence and Forcing in Information Systems Grounded Theory Studies: The Case of Strauss and Corbin. In L. P. Willcocks, C. Sauer, &amp; M. C. Lacity (Eds.), </w:t>
      </w:r>
      <w:r w:rsidRPr="00F153F6">
        <w:rPr>
          <w:rFonts w:ascii="Times New Roman" w:hAnsi="Times New Roman" w:cs="Times New Roman"/>
          <w:i/>
          <w:iCs/>
          <w:sz w:val="24"/>
          <w:szCs w:val="24"/>
        </w:rPr>
        <w:t>Enacting Research Methods in Information Systems: Volume 1</w:t>
      </w:r>
      <w:r w:rsidRPr="00F153F6">
        <w:rPr>
          <w:rFonts w:ascii="Times New Roman" w:hAnsi="Times New Roman" w:cs="Times New Roman"/>
          <w:sz w:val="24"/>
          <w:szCs w:val="24"/>
        </w:rPr>
        <w:t xml:space="preserve"> (pp. 157–209). Springer International Publishing. https://doi.org/10.1007/978-3-319-</w:t>
      </w:r>
      <w:r w:rsidRPr="00F153F6">
        <w:rPr>
          <w:rFonts w:ascii="Times New Roman" w:hAnsi="Times New Roman" w:cs="Times New Roman"/>
          <w:sz w:val="24"/>
          <w:szCs w:val="24"/>
        </w:rPr>
        <w:lastRenderedPageBreak/>
        <w:t>29266-3_8</w:t>
      </w:r>
    </w:p>
    <w:p w14:paraId="3A2B18A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Sein, M. K., &amp; Harindranath, G. (2004). Conceptualizing the ICT Artifact: Toward Understanding the Role of ICT in National Development. </w:t>
      </w:r>
      <w:r w:rsidRPr="00F153F6">
        <w:rPr>
          <w:rFonts w:ascii="Times New Roman" w:hAnsi="Times New Roman" w:cs="Times New Roman"/>
          <w:i/>
          <w:iCs/>
          <w:sz w:val="24"/>
          <w:szCs w:val="24"/>
        </w:rPr>
        <w:t>The Information Society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20</w:t>
      </w:r>
      <w:r w:rsidRPr="00F153F6">
        <w:rPr>
          <w:rFonts w:ascii="Times New Roman" w:hAnsi="Times New Roman" w:cs="Times New Roman"/>
          <w:sz w:val="24"/>
          <w:szCs w:val="24"/>
        </w:rPr>
        <w:t>(1), 15–24. https://doi.org/10.1080/01972240490269942</w:t>
      </w:r>
    </w:p>
    <w:p w14:paraId="225DA40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Seppänen, R. (2008). </w:t>
      </w:r>
      <w:r w:rsidRPr="00F153F6">
        <w:rPr>
          <w:rFonts w:ascii="Times New Roman" w:hAnsi="Times New Roman" w:cs="Times New Roman"/>
          <w:i/>
          <w:iCs/>
          <w:sz w:val="24"/>
          <w:szCs w:val="24"/>
        </w:rPr>
        <w:t>Trust in inter-organizational relationships</w:t>
      </w:r>
      <w:r w:rsidRPr="00F153F6">
        <w:rPr>
          <w:rFonts w:ascii="Times New Roman" w:hAnsi="Times New Roman" w:cs="Times New Roman"/>
          <w:sz w:val="24"/>
          <w:szCs w:val="24"/>
        </w:rPr>
        <w:t>. Lappeenrannan Teknillinen Yliopisto.</w:t>
      </w:r>
    </w:p>
    <w:p w14:paraId="7D6B30F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Shaheen, O. (2017). </w:t>
      </w:r>
      <w:r w:rsidRPr="00F153F6">
        <w:rPr>
          <w:rFonts w:ascii="Times New Roman" w:hAnsi="Times New Roman" w:cs="Times New Roman"/>
          <w:i/>
          <w:iCs/>
          <w:sz w:val="24"/>
          <w:szCs w:val="24"/>
        </w:rPr>
        <w:t>Knowledge and knowledge management in organization: Identifying the critical role of IT in the knowledge management process</w:t>
      </w:r>
      <w:r w:rsidRPr="00F153F6">
        <w:rPr>
          <w:rFonts w:ascii="Times New Roman" w:hAnsi="Times New Roman" w:cs="Times New Roman"/>
          <w:sz w:val="24"/>
          <w:szCs w:val="24"/>
        </w:rPr>
        <w:t>. 25.</w:t>
      </w:r>
    </w:p>
    <w:p w14:paraId="1442F81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Shams, S. M. R., Vrontis, D., Weber, Y., Tsoukatos, E., &amp; Ferraris, A. (2019). </w:t>
      </w:r>
      <w:r w:rsidRPr="00F153F6">
        <w:rPr>
          <w:rFonts w:ascii="Times New Roman" w:hAnsi="Times New Roman" w:cs="Times New Roman"/>
          <w:i/>
          <w:iCs/>
          <w:sz w:val="24"/>
          <w:szCs w:val="24"/>
        </w:rPr>
        <w:t>Cross-Functional Knowledge Management: The International Landscape</w:t>
      </w:r>
      <w:r w:rsidRPr="00F153F6">
        <w:rPr>
          <w:rFonts w:ascii="Times New Roman" w:hAnsi="Times New Roman" w:cs="Times New Roman"/>
          <w:sz w:val="24"/>
          <w:szCs w:val="24"/>
        </w:rPr>
        <w:t>. Routledge.</w:t>
      </w:r>
    </w:p>
    <w:p w14:paraId="6835057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Sharma, G., &amp; Bansal, P. (Tima). (2020). Cocreating Rigorous and Relevant Knowledge. </w:t>
      </w:r>
      <w:r w:rsidRPr="00F153F6">
        <w:rPr>
          <w:rFonts w:ascii="Times New Roman" w:hAnsi="Times New Roman" w:cs="Times New Roman"/>
          <w:i/>
          <w:iCs/>
          <w:sz w:val="24"/>
          <w:szCs w:val="24"/>
        </w:rPr>
        <w:t>Academy of Management Journal</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63</w:t>
      </w:r>
      <w:r w:rsidRPr="00F153F6">
        <w:rPr>
          <w:rFonts w:ascii="Times New Roman" w:hAnsi="Times New Roman" w:cs="Times New Roman"/>
          <w:sz w:val="24"/>
          <w:szCs w:val="24"/>
        </w:rPr>
        <w:t>(2), 386–410. https://doi.org/10.5465/amj.2016.0487</w:t>
      </w:r>
    </w:p>
    <w:p w14:paraId="551E8D8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Shi, W. (Stone), Sun, J., &amp; Prescott, J. E. (2012). A Temporal Perspective of Merger and Acquisition and Strategic Alliance Initiatives: Review and Future Direction. </w:t>
      </w:r>
      <w:r w:rsidRPr="00F153F6">
        <w:rPr>
          <w:rFonts w:ascii="Times New Roman" w:hAnsi="Times New Roman" w:cs="Times New Roman"/>
          <w:i/>
          <w:iCs/>
          <w:sz w:val="24"/>
          <w:szCs w:val="24"/>
        </w:rPr>
        <w:t>Journal of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38</w:t>
      </w:r>
      <w:r w:rsidRPr="00F153F6">
        <w:rPr>
          <w:rFonts w:ascii="Times New Roman" w:hAnsi="Times New Roman" w:cs="Times New Roman"/>
          <w:sz w:val="24"/>
          <w:szCs w:val="24"/>
        </w:rPr>
        <w:t>(1), 164–209. https://doi.org/10.1177/0149206311424942</w:t>
      </w:r>
    </w:p>
    <w:p w14:paraId="102846D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Shin, D. (2019). A living lab as socio-technical ecosystem: Evaluating the Korean living lab of internet of things. </w:t>
      </w:r>
      <w:r w:rsidRPr="00F153F6">
        <w:rPr>
          <w:rFonts w:ascii="Times New Roman" w:hAnsi="Times New Roman" w:cs="Times New Roman"/>
          <w:i/>
          <w:iCs/>
          <w:sz w:val="24"/>
          <w:szCs w:val="24"/>
        </w:rPr>
        <w:t>Government Information Quarterly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36</w:t>
      </w:r>
      <w:r w:rsidRPr="00F153F6">
        <w:rPr>
          <w:rFonts w:ascii="Times New Roman" w:hAnsi="Times New Roman" w:cs="Times New Roman"/>
          <w:sz w:val="24"/>
          <w:szCs w:val="24"/>
        </w:rPr>
        <w:t>(2), 264–275. https://doi.org/10.1016/j.giq.2018.08.001</w:t>
      </w:r>
    </w:p>
    <w:p w14:paraId="743274E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Silver, M. S., &amp; Markus, M. L. (2013). </w:t>
      </w:r>
      <w:r w:rsidRPr="00F153F6">
        <w:rPr>
          <w:rFonts w:ascii="Times New Roman" w:hAnsi="Times New Roman" w:cs="Times New Roman"/>
          <w:i/>
          <w:iCs/>
          <w:sz w:val="24"/>
          <w:szCs w:val="24"/>
        </w:rPr>
        <w:t>Conceptualizing the SocioTechnical (ST) Artifact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7</w:t>
      </w:r>
      <w:r w:rsidRPr="00F153F6">
        <w:rPr>
          <w:rFonts w:ascii="Times New Roman" w:hAnsi="Times New Roman" w:cs="Times New Roman"/>
          <w:sz w:val="24"/>
          <w:szCs w:val="24"/>
        </w:rPr>
        <w:t>(1), 8.</w:t>
      </w:r>
    </w:p>
    <w:p w14:paraId="4EBCAB9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Simon, H. A. (1957). </w:t>
      </w:r>
      <w:r w:rsidRPr="00F153F6">
        <w:rPr>
          <w:rFonts w:ascii="Times New Roman" w:hAnsi="Times New Roman" w:cs="Times New Roman"/>
          <w:i/>
          <w:iCs/>
          <w:sz w:val="24"/>
          <w:szCs w:val="24"/>
        </w:rPr>
        <w:t>Administrative_Behavior__4th_Edition_by_Herbert_A_Simon_-_Masterpiece_On_Decision-Making_Within_Organizations.pdf</w:t>
      </w:r>
      <w:r w:rsidRPr="00F153F6">
        <w:rPr>
          <w:rFonts w:ascii="Times New Roman" w:hAnsi="Times New Roman" w:cs="Times New Roman"/>
          <w:sz w:val="24"/>
          <w:szCs w:val="24"/>
        </w:rPr>
        <w:t>. https://s3.amazonaws.com/academia.edu.documents/31129363/Administrative_Behavior__4th_Edition_by_Herbert_A_Simon_-_Masterpiece_On_Decision-</w:t>
      </w:r>
      <w:r w:rsidRPr="00F153F6">
        <w:rPr>
          <w:rFonts w:ascii="Times New Roman" w:hAnsi="Times New Roman" w:cs="Times New Roman"/>
          <w:sz w:val="24"/>
          <w:szCs w:val="24"/>
        </w:rPr>
        <w:lastRenderedPageBreak/>
        <w:t>Making_Within_Organizations.pdf?response-content-disposition=inline%3B%20filename%3DAdministrative_behavior.pdf&amp;X-Amz-Algorithm=AWS4-HMAC-SHA256&amp;X-Amz-Credential=AKIAIWOWYYGZ2Y53UL3A%2F20191021%2Fus-east-1%2Fs3%2Faws4_request&amp;X-Amz-Date=20191021T230601Z&amp;X-Amz-Expires=3600&amp;X-Amz-SignedHeaders=host&amp;X-Amz-Signature=b45e43e5b955e4b802268eeae87940f75f6c73674a492dffc1505cb3b68b4963</w:t>
      </w:r>
    </w:p>
    <w:p w14:paraId="370FDE0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Simon, H. A. (1960). </w:t>
      </w:r>
      <w:r w:rsidRPr="00F153F6">
        <w:rPr>
          <w:rFonts w:ascii="Times New Roman" w:hAnsi="Times New Roman" w:cs="Times New Roman"/>
          <w:i/>
          <w:iCs/>
          <w:sz w:val="24"/>
          <w:szCs w:val="24"/>
        </w:rPr>
        <w:t>The new science of management decision</w:t>
      </w:r>
      <w:r w:rsidRPr="00F153F6">
        <w:rPr>
          <w:rFonts w:ascii="Times New Roman" w:hAnsi="Times New Roman" w:cs="Times New Roman"/>
          <w:sz w:val="24"/>
          <w:szCs w:val="24"/>
        </w:rPr>
        <w:t xml:space="preserve"> (pp. xii, 50). Harper &amp; Brothers. https://doi.org/10.1037/13978-000</w:t>
      </w:r>
    </w:p>
    <w:p w14:paraId="76C59D6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Sloan, L., &amp; Quan-Haase, A. (2016). </w:t>
      </w:r>
      <w:r w:rsidRPr="00F153F6">
        <w:rPr>
          <w:rFonts w:ascii="Times New Roman" w:hAnsi="Times New Roman" w:cs="Times New Roman"/>
          <w:i/>
          <w:iCs/>
          <w:sz w:val="24"/>
          <w:szCs w:val="24"/>
        </w:rPr>
        <w:t>The SAGE Handbook of Social Media Research Methods</w:t>
      </w:r>
      <w:r w:rsidRPr="00F153F6">
        <w:rPr>
          <w:rFonts w:ascii="Times New Roman" w:hAnsi="Times New Roman" w:cs="Times New Roman"/>
          <w:sz w:val="24"/>
          <w:szCs w:val="24"/>
        </w:rPr>
        <w:t>. SAGE Publications Ltd. https://doi.org/10.4135/9781473983847</w:t>
      </w:r>
    </w:p>
    <w:p w14:paraId="1633DFE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Smith, P., Haslam, S. A., &amp; Nielsen, J. F. (2018). In Search of Identity Leadership: An ethnographic study of emergent influence in an interorganizational R&amp;D team. </w:t>
      </w:r>
      <w:r w:rsidRPr="00F153F6">
        <w:rPr>
          <w:rFonts w:ascii="Times New Roman" w:hAnsi="Times New Roman" w:cs="Times New Roman"/>
          <w:i/>
          <w:iCs/>
          <w:sz w:val="24"/>
          <w:szCs w:val="24"/>
        </w:rPr>
        <w:t>Organization Studies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39</w:t>
      </w:r>
      <w:r w:rsidRPr="00F153F6">
        <w:rPr>
          <w:rFonts w:ascii="Times New Roman" w:hAnsi="Times New Roman" w:cs="Times New Roman"/>
          <w:sz w:val="24"/>
          <w:szCs w:val="24"/>
        </w:rPr>
        <w:t>(10), 1425–1447. https://doi.org/10.1177/0170840617727781</w:t>
      </w:r>
    </w:p>
    <w:p w14:paraId="5F22051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Spacey, J. (2016). </w:t>
      </w:r>
      <w:r w:rsidRPr="00F153F6">
        <w:rPr>
          <w:rFonts w:ascii="Times New Roman" w:hAnsi="Times New Roman" w:cs="Times New Roman"/>
          <w:i/>
          <w:iCs/>
          <w:sz w:val="24"/>
          <w:szCs w:val="24"/>
        </w:rPr>
        <w:t>IT vs ICT</w:t>
      </w:r>
      <w:r w:rsidRPr="00F153F6">
        <w:rPr>
          <w:rFonts w:ascii="Times New Roman" w:hAnsi="Times New Roman" w:cs="Times New Roman"/>
          <w:sz w:val="24"/>
          <w:szCs w:val="24"/>
        </w:rPr>
        <w:t>. Simplicable. https://simplicable.com/new/it-vs-ict</w:t>
      </w:r>
    </w:p>
    <w:p w14:paraId="3729876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Spender, J. ‐C. (1996). Organizational knowledge, learning and memory: Three concepts in search of a theory. </w:t>
      </w:r>
      <w:r w:rsidRPr="00F153F6">
        <w:rPr>
          <w:rFonts w:ascii="Times New Roman" w:hAnsi="Times New Roman" w:cs="Times New Roman"/>
          <w:i/>
          <w:iCs/>
          <w:sz w:val="24"/>
          <w:szCs w:val="24"/>
        </w:rPr>
        <w:t>Journal of Organizational Change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9</w:t>
      </w:r>
      <w:r w:rsidRPr="00F153F6">
        <w:rPr>
          <w:rFonts w:ascii="Times New Roman" w:hAnsi="Times New Roman" w:cs="Times New Roman"/>
          <w:sz w:val="24"/>
          <w:szCs w:val="24"/>
        </w:rPr>
        <w:t>(1), 63–78. https://doi.org/10.1108/09534819610156813</w:t>
      </w:r>
    </w:p>
    <w:p w14:paraId="4F3CBB5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Spiegler, I. (2000). Knowledge Management: A New Idea Or a Recycled Concept? </w:t>
      </w:r>
      <w:r w:rsidRPr="00F153F6">
        <w:rPr>
          <w:rFonts w:ascii="Times New Roman" w:hAnsi="Times New Roman" w:cs="Times New Roman"/>
          <w:i/>
          <w:iCs/>
          <w:sz w:val="24"/>
          <w:szCs w:val="24"/>
        </w:rPr>
        <w:t>CAIS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w:t>
      </w:r>
      <w:r w:rsidRPr="00F153F6">
        <w:rPr>
          <w:rFonts w:ascii="Times New Roman" w:hAnsi="Times New Roman" w:cs="Times New Roman"/>
          <w:sz w:val="24"/>
          <w:szCs w:val="24"/>
        </w:rPr>
        <w:t>, 14. https://doi.org/10.17705/1cais.00314</w:t>
      </w:r>
    </w:p>
    <w:p w14:paraId="67EC87B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Stake, R. E. (2005). Qualitative Case Studies. In </w:t>
      </w:r>
      <w:r w:rsidRPr="00F153F6">
        <w:rPr>
          <w:rFonts w:ascii="Times New Roman" w:hAnsi="Times New Roman" w:cs="Times New Roman"/>
          <w:i/>
          <w:iCs/>
          <w:sz w:val="24"/>
          <w:szCs w:val="24"/>
        </w:rPr>
        <w:t>The Sage handbook of qualitative research, 3rd ed</w:t>
      </w:r>
      <w:r w:rsidRPr="00F153F6">
        <w:rPr>
          <w:rFonts w:ascii="Times New Roman" w:hAnsi="Times New Roman" w:cs="Times New Roman"/>
          <w:sz w:val="24"/>
          <w:szCs w:val="24"/>
        </w:rPr>
        <w:t xml:space="preserve"> (pp. 443–466). Sage Publications Ltd.</w:t>
      </w:r>
    </w:p>
    <w:p w14:paraId="781E983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Stendal, K., Thapa, D., &amp; Lanamaki, A. (2016). Analyzing the Concept of Affordances in Information Systems. </w:t>
      </w:r>
      <w:r w:rsidRPr="00F153F6">
        <w:rPr>
          <w:rFonts w:ascii="Times New Roman" w:hAnsi="Times New Roman" w:cs="Times New Roman"/>
          <w:i/>
          <w:iCs/>
          <w:sz w:val="24"/>
          <w:szCs w:val="24"/>
        </w:rPr>
        <w:t xml:space="preserve">2016 49th Hawaii International Conference on System Sciences </w:t>
      </w:r>
      <w:r w:rsidRPr="00F153F6">
        <w:rPr>
          <w:rFonts w:ascii="Times New Roman" w:hAnsi="Times New Roman" w:cs="Times New Roman"/>
          <w:i/>
          <w:iCs/>
          <w:sz w:val="24"/>
          <w:szCs w:val="24"/>
        </w:rPr>
        <w:lastRenderedPageBreak/>
        <w:t>(HICSS)</w:t>
      </w:r>
      <w:r w:rsidRPr="00F153F6">
        <w:rPr>
          <w:rFonts w:ascii="Times New Roman" w:hAnsi="Times New Roman" w:cs="Times New Roman"/>
          <w:sz w:val="24"/>
          <w:szCs w:val="24"/>
        </w:rPr>
        <w:t>, 5270–5277. https://doi.org/10.1109/HICSS.2016.651</w:t>
      </w:r>
    </w:p>
    <w:p w14:paraId="48C387E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Stohr, E. A., &amp; Zhao, J. L. (2001). </w:t>
      </w:r>
      <w:r w:rsidRPr="00F153F6">
        <w:rPr>
          <w:rFonts w:ascii="Times New Roman" w:hAnsi="Times New Roman" w:cs="Times New Roman"/>
          <w:i/>
          <w:iCs/>
          <w:sz w:val="24"/>
          <w:szCs w:val="24"/>
        </w:rPr>
        <w:t>Workflow Automation: Overview and Research Issues</w:t>
      </w:r>
      <w:r w:rsidRPr="00F153F6">
        <w:rPr>
          <w:rFonts w:ascii="Times New Roman" w:hAnsi="Times New Roman" w:cs="Times New Roman"/>
          <w:sz w:val="24"/>
          <w:szCs w:val="24"/>
        </w:rPr>
        <w:t>. 16.</w:t>
      </w:r>
    </w:p>
    <w:p w14:paraId="1041425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Strati, A. (2007). Sensible Knowledge and Practice-based Learning. </w:t>
      </w:r>
      <w:r w:rsidRPr="00F153F6">
        <w:rPr>
          <w:rFonts w:ascii="Times New Roman" w:hAnsi="Times New Roman" w:cs="Times New Roman"/>
          <w:i/>
          <w:iCs/>
          <w:sz w:val="24"/>
          <w:szCs w:val="24"/>
        </w:rPr>
        <w:t>Management Learning</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38</w:t>
      </w:r>
      <w:r w:rsidRPr="00F153F6">
        <w:rPr>
          <w:rFonts w:ascii="Times New Roman" w:hAnsi="Times New Roman" w:cs="Times New Roman"/>
          <w:sz w:val="24"/>
          <w:szCs w:val="24"/>
        </w:rPr>
        <w:t>(1), 61–77. https://doi.org/10.1177/1350507607073023</w:t>
      </w:r>
    </w:p>
    <w:p w14:paraId="329A0D5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Strauss, A. L., &amp; Corbin, J. M. (1998). </w:t>
      </w:r>
      <w:r w:rsidRPr="00F153F6">
        <w:rPr>
          <w:rFonts w:ascii="Times New Roman" w:hAnsi="Times New Roman" w:cs="Times New Roman"/>
          <w:i/>
          <w:iCs/>
          <w:sz w:val="24"/>
          <w:szCs w:val="24"/>
        </w:rPr>
        <w:t>Basics of qualitative research: Techniques and procedures for developing grounded theory</w:t>
      </w:r>
      <w:r w:rsidRPr="00F153F6">
        <w:rPr>
          <w:rFonts w:ascii="Times New Roman" w:hAnsi="Times New Roman" w:cs="Times New Roman"/>
          <w:sz w:val="24"/>
          <w:szCs w:val="24"/>
        </w:rPr>
        <w:t xml:space="preserve"> (2nd ed). Sage Publications.</w:t>
      </w:r>
    </w:p>
    <w:p w14:paraId="5AFFB73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Strong, D., Volkoff, O., Johnson, S., Pelletier, L., Tulu, B., Bar-On, I., Trudel, J., &amp; Garber, L. (2014). A Theory of Organization-EHR Affordance Actualization. </w:t>
      </w:r>
      <w:r w:rsidRPr="00F153F6">
        <w:rPr>
          <w:rFonts w:ascii="Times New Roman" w:hAnsi="Times New Roman" w:cs="Times New Roman"/>
          <w:i/>
          <w:iCs/>
          <w:sz w:val="24"/>
          <w:szCs w:val="24"/>
        </w:rPr>
        <w:t>Journal of the Association for Information Systems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15</w:t>
      </w:r>
      <w:r w:rsidRPr="00F153F6">
        <w:rPr>
          <w:rFonts w:ascii="Times New Roman" w:hAnsi="Times New Roman" w:cs="Times New Roman"/>
          <w:sz w:val="24"/>
          <w:szCs w:val="24"/>
        </w:rPr>
        <w:t>(2), 53–85. https://doi.org/10.17705/1jais.00353</w:t>
      </w:r>
    </w:p>
    <w:p w14:paraId="1F24EB0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Su, C.-Y., Lin, B.-W., &amp; Chen, C.-J. (2016). Knowledge co-creation across national boundaries: Trends and firms’ strategies. </w:t>
      </w:r>
      <w:r w:rsidRPr="00F153F6">
        <w:rPr>
          <w:rFonts w:ascii="Times New Roman" w:hAnsi="Times New Roman" w:cs="Times New Roman"/>
          <w:i/>
          <w:iCs/>
          <w:sz w:val="24"/>
          <w:szCs w:val="24"/>
        </w:rPr>
        <w:t>Knowledge Management Research &amp; Practice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14</w:t>
      </w:r>
      <w:r w:rsidRPr="00F153F6">
        <w:rPr>
          <w:rFonts w:ascii="Times New Roman" w:hAnsi="Times New Roman" w:cs="Times New Roman"/>
          <w:sz w:val="24"/>
          <w:szCs w:val="24"/>
        </w:rPr>
        <w:t>(4), 457–469. https://doi.org/10.1057/kmrp.2015.14</w:t>
      </w:r>
    </w:p>
    <w:p w14:paraId="66589BBE"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Suh, A., &amp; Wagner, C. (2017). How gamification of an enterprise collaboration system increases knowledge contribution: An affordance approach. </w:t>
      </w:r>
      <w:r w:rsidRPr="00F153F6">
        <w:rPr>
          <w:rFonts w:ascii="Times New Roman" w:hAnsi="Times New Roman" w:cs="Times New Roman"/>
          <w:i/>
          <w:iCs/>
          <w:sz w:val="24"/>
          <w:szCs w:val="24"/>
        </w:rPr>
        <w:t>Journal of Knowledge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21</w:t>
      </w:r>
      <w:r w:rsidRPr="00F153F6">
        <w:rPr>
          <w:rFonts w:ascii="Times New Roman" w:hAnsi="Times New Roman" w:cs="Times New Roman"/>
          <w:sz w:val="24"/>
          <w:szCs w:val="24"/>
        </w:rPr>
        <w:t>(2), 416–431. https://doi.org/10.1108/JKM-10-2016-0429</w:t>
      </w:r>
    </w:p>
    <w:p w14:paraId="705BB71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Sullivan, B. N., Haunschild, P., &amp; Page, K. (2007). Organizations Non Gratae? The Impact of Unethical Corporate Acts on Interorganizational Networks. </w:t>
      </w:r>
      <w:r w:rsidRPr="00F153F6">
        <w:rPr>
          <w:rFonts w:ascii="Times New Roman" w:hAnsi="Times New Roman" w:cs="Times New Roman"/>
          <w:i/>
          <w:iCs/>
          <w:sz w:val="24"/>
          <w:szCs w:val="24"/>
        </w:rPr>
        <w:t>Organization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18</w:t>
      </w:r>
      <w:r w:rsidRPr="00F153F6">
        <w:rPr>
          <w:rFonts w:ascii="Times New Roman" w:hAnsi="Times New Roman" w:cs="Times New Roman"/>
          <w:sz w:val="24"/>
          <w:szCs w:val="24"/>
        </w:rPr>
        <w:t>(1), 55–70. https://doi.org/10.1287/orsc.1060.0229</w:t>
      </w:r>
    </w:p>
    <w:p w14:paraId="098AE85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Sun, Y., Zhou, X., Jeyaraj, A., Shang, R.-A., &amp; Hu, F. (2019). The impact of enterprise social media platforms on knowledge sharing: An affordance lens perspective. </w:t>
      </w:r>
      <w:r w:rsidRPr="00F153F6">
        <w:rPr>
          <w:rFonts w:ascii="Times New Roman" w:hAnsi="Times New Roman" w:cs="Times New Roman"/>
          <w:i/>
          <w:iCs/>
          <w:sz w:val="24"/>
          <w:szCs w:val="24"/>
        </w:rPr>
        <w:t>Journal of Enterprise Information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32</w:t>
      </w:r>
      <w:r w:rsidRPr="00F153F6">
        <w:rPr>
          <w:rFonts w:ascii="Times New Roman" w:hAnsi="Times New Roman" w:cs="Times New Roman"/>
          <w:sz w:val="24"/>
          <w:szCs w:val="24"/>
        </w:rPr>
        <w:t>(2), 233–250. https://doi.org/10.1108/JEIM-10-2018-0232</w:t>
      </w:r>
    </w:p>
    <w:p w14:paraId="3100DB8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Tacer, B., Ruzzier, M., &amp; Nagy, T. (2018). User-driven innovation: Scale development and validation. </w:t>
      </w:r>
      <w:r w:rsidRPr="00F153F6">
        <w:rPr>
          <w:rFonts w:ascii="Times New Roman" w:hAnsi="Times New Roman" w:cs="Times New Roman"/>
          <w:i/>
          <w:iCs/>
          <w:sz w:val="24"/>
          <w:szCs w:val="24"/>
        </w:rPr>
        <w:t>Economic Research-Ekonomska Istraživanja</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31</w:t>
      </w:r>
      <w:r w:rsidRPr="00F153F6">
        <w:rPr>
          <w:rFonts w:ascii="Times New Roman" w:hAnsi="Times New Roman" w:cs="Times New Roman"/>
          <w:sz w:val="24"/>
          <w:szCs w:val="24"/>
        </w:rPr>
        <w:t xml:space="preserve">(1), 1472–1487. </w:t>
      </w:r>
      <w:r w:rsidRPr="00F153F6">
        <w:rPr>
          <w:rFonts w:ascii="Times New Roman" w:hAnsi="Times New Roman" w:cs="Times New Roman"/>
          <w:sz w:val="24"/>
          <w:szCs w:val="24"/>
        </w:rPr>
        <w:lastRenderedPageBreak/>
        <w:t>https://doi.org/10.1080/1331677X.2018.1484784</w:t>
      </w:r>
    </w:p>
    <w:p w14:paraId="08F2962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Taherdoost, H. (2016). Sampling Methods in Research Methodology; How to Choose a Sampling Technique for Research. </w:t>
      </w:r>
      <w:r w:rsidRPr="00F153F6">
        <w:rPr>
          <w:rFonts w:ascii="Times New Roman" w:hAnsi="Times New Roman" w:cs="Times New Roman"/>
          <w:i/>
          <w:iCs/>
          <w:sz w:val="24"/>
          <w:szCs w:val="24"/>
        </w:rPr>
        <w:t>SSRN Electronic Journal</w:t>
      </w:r>
      <w:r w:rsidRPr="00F153F6">
        <w:rPr>
          <w:rFonts w:ascii="Times New Roman" w:hAnsi="Times New Roman" w:cs="Times New Roman"/>
          <w:sz w:val="24"/>
          <w:szCs w:val="24"/>
        </w:rPr>
        <w:t>. https://doi.org/10.2139/ssrn.3205035</w:t>
      </w:r>
    </w:p>
    <w:p w14:paraId="5D77DE7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Takimura, M., Da Silva, A. L., &amp; Freitas De Paula, V. A. (2017). The Life Cycle of Interorganizational Relationships: A Study of a Wholesaler and Its Suppliers. </w:t>
      </w:r>
      <w:r w:rsidRPr="00F153F6">
        <w:rPr>
          <w:rFonts w:ascii="Times New Roman" w:hAnsi="Times New Roman" w:cs="Times New Roman"/>
          <w:i/>
          <w:iCs/>
          <w:sz w:val="24"/>
          <w:szCs w:val="24"/>
        </w:rPr>
        <w:t>Academy of Management Proceedings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2017</w:t>
      </w:r>
      <w:r w:rsidRPr="00F153F6">
        <w:rPr>
          <w:rFonts w:ascii="Times New Roman" w:hAnsi="Times New Roman" w:cs="Times New Roman"/>
          <w:sz w:val="24"/>
          <w:szCs w:val="24"/>
        </w:rPr>
        <w:t>(1), 14154. https://doi.org/10.5465/AMBPP.2017.14154abstract</w:t>
      </w:r>
    </w:p>
    <w:p w14:paraId="5A9D615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Tchounikine, P. (2017). Designing for Appropriation: A Theoretical Account. </w:t>
      </w:r>
      <w:r w:rsidRPr="00F153F6">
        <w:rPr>
          <w:rFonts w:ascii="Times New Roman" w:hAnsi="Times New Roman" w:cs="Times New Roman"/>
          <w:i/>
          <w:iCs/>
          <w:sz w:val="24"/>
          <w:szCs w:val="24"/>
        </w:rPr>
        <w:t>Human–Computer Interaction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32</w:t>
      </w:r>
      <w:r w:rsidRPr="00F153F6">
        <w:rPr>
          <w:rFonts w:ascii="Times New Roman" w:hAnsi="Times New Roman" w:cs="Times New Roman"/>
          <w:sz w:val="24"/>
          <w:szCs w:val="24"/>
        </w:rPr>
        <w:t>(4), 155–195. https://doi.org/10.1080/07370024.2016.1203263</w:t>
      </w:r>
    </w:p>
    <w:p w14:paraId="62ABA9E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The Helsinki Manifesto. (2006). </w:t>
      </w:r>
      <w:r w:rsidRPr="00F153F6">
        <w:rPr>
          <w:rFonts w:ascii="Times New Roman" w:hAnsi="Times New Roman" w:cs="Times New Roman"/>
          <w:i/>
          <w:iCs/>
          <w:sz w:val="24"/>
          <w:szCs w:val="24"/>
        </w:rPr>
        <w:t>We have to move fast, before it is too late</w:t>
      </w:r>
      <w:r w:rsidRPr="00F153F6">
        <w:rPr>
          <w:rFonts w:ascii="Times New Roman" w:hAnsi="Times New Roman" w:cs="Times New Roman"/>
          <w:sz w:val="24"/>
          <w:szCs w:val="24"/>
        </w:rPr>
        <w:t>. http://elivinglab.org/files/Helsinki_Manifesto_201106.pdf</w:t>
      </w:r>
    </w:p>
    <w:p w14:paraId="6EA213AD"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Thomas, G. (2015). </w:t>
      </w:r>
      <w:r w:rsidRPr="00F153F6">
        <w:rPr>
          <w:rFonts w:ascii="Times New Roman" w:hAnsi="Times New Roman" w:cs="Times New Roman"/>
          <w:i/>
          <w:iCs/>
          <w:sz w:val="24"/>
          <w:szCs w:val="24"/>
        </w:rPr>
        <w:t>How to Do Your Case Study</w:t>
      </w:r>
      <w:r w:rsidRPr="00F153F6">
        <w:rPr>
          <w:rFonts w:ascii="Times New Roman" w:hAnsi="Times New Roman" w:cs="Times New Roman"/>
          <w:sz w:val="24"/>
          <w:szCs w:val="24"/>
        </w:rPr>
        <w:t>. SAGE.</w:t>
      </w:r>
    </w:p>
    <w:p w14:paraId="5AD9D15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Tidström, A., &amp; Åhman, S. (2006). The process of ending inter‐organizational cooperation. </w:t>
      </w:r>
      <w:r w:rsidRPr="00F153F6">
        <w:rPr>
          <w:rFonts w:ascii="Times New Roman" w:hAnsi="Times New Roman" w:cs="Times New Roman"/>
          <w:i/>
          <w:iCs/>
          <w:sz w:val="24"/>
          <w:szCs w:val="24"/>
        </w:rPr>
        <w:t>Journal of Business &amp; Industrial Marketing</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21</w:t>
      </w:r>
      <w:r w:rsidRPr="00F153F6">
        <w:rPr>
          <w:rFonts w:ascii="Times New Roman" w:hAnsi="Times New Roman" w:cs="Times New Roman"/>
          <w:sz w:val="24"/>
          <w:szCs w:val="24"/>
        </w:rPr>
        <w:t>(5), 281–290. https://doi.org/10.1108/08858620610681588</w:t>
      </w:r>
    </w:p>
    <w:p w14:paraId="71414D1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Timperley, H. S. (2005). Distributed leadership: Developing theory from practice. </w:t>
      </w:r>
      <w:r w:rsidRPr="00F153F6">
        <w:rPr>
          <w:rFonts w:ascii="Times New Roman" w:hAnsi="Times New Roman" w:cs="Times New Roman"/>
          <w:i/>
          <w:iCs/>
          <w:sz w:val="24"/>
          <w:szCs w:val="24"/>
        </w:rPr>
        <w:t>Journal of Curriculum Studies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37</w:t>
      </w:r>
      <w:r w:rsidRPr="00F153F6">
        <w:rPr>
          <w:rFonts w:ascii="Times New Roman" w:hAnsi="Times New Roman" w:cs="Times New Roman"/>
          <w:sz w:val="24"/>
          <w:szCs w:val="24"/>
        </w:rPr>
        <w:t>(4), 395–420. https://doi.org/10.1080/00220270500038545</w:t>
      </w:r>
    </w:p>
    <w:p w14:paraId="71389FE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Treem, J. W., &amp; Leonardi, P. M. (2013). Social Media Use in Organizations: Exploring the Affordances of Visibility, Editability, Persistence, and Association. </w:t>
      </w:r>
      <w:r w:rsidRPr="00F153F6">
        <w:rPr>
          <w:rFonts w:ascii="Times New Roman" w:hAnsi="Times New Roman" w:cs="Times New Roman"/>
          <w:i/>
          <w:iCs/>
          <w:sz w:val="24"/>
          <w:szCs w:val="24"/>
        </w:rPr>
        <w:t>Annals of the International Communication Association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36</w:t>
      </w:r>
      <w:r w:rsidRPr="00F153F6">
        <w:rPr>
          <w:rFonts w:ascii="Times New Roman" w:hAnsi="Times New Roman" w:cs="Times New Roman"/>
          <w:sz w:val="24"/>
          <w:szCs w:val="24"/>
        </w:rPr>
        <w:t>(1), 143–189. https://doi.org/10.1080/23808985.2013.11679130</w:t>
      </w:r>
    </w:p>
    <w:p w14:paraId="245AAA9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Trochim, W. M. (2002). </w:t>
      </w:r>
      <w:r w:rsidRPr="00F153F6">
        <w:rPr>
          <w:rFonts w:ascii="Times New Roman" w:hAnsi="Times New Roman" w:cs="Times New Roman"/>
          <w:i/>
          <w:iCs/>
          <w:sz w:val="24"/>
          <w:szCs w:val="24"/>
        </w:rPr>
        <w:t>Research Methods Knowledge Base</w:t>
      </w:r>
      <w:r w:rsidRPr="00F153F6">
        <w:rPr>
          <w:rFonts w:ascii="Times New Roman" w:hAnsi="Times New Roman" w:cs="Times New Roman"/>
          <w:sz w:val="24"/>
          <w:szCs w:val="24"/>
        </w:rPr>
        <w:t>. 34.</w:t>
      </w:r>
    </w:p>
    <w:p w14:paraId="454F6F0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Tsoukas, H. (1996). The firm as a distributed knowledge system: A constructionist approach. </w:t>
      </w:r>
      <w:r w:rsidRPr="00F153F6">
        <w:rPr>
          <w:rFonts w:ascii="Times New Roman" w:hAnsi="Times New Roman" w:cs="Times New Roman"/>
          <w:i/>
          <w:iCs/>
          <w:sz w:val="24"/>
          <w:szCs w:val="24"/>
        </w:rPr>
        <w:lastRenderedPageBreak/>
        <w:t>Strategic Management Journal</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17</w:t>
      </w:r>
      <w:r w:rsidRPr="00F153F6">
        <w:rPr>
          <w:rFonts w:ascii="Times New Roman" w:hAnsi="Times New Roman" w:cs="Times New Roman"/>
          <w:sz w:val="24"/>
          <w:szCs w:val="24"/>
        </w:rPr>
        <w:t>(S2), 11–25. https://doi.org/10.1002/smj.4250171104</w:t>
      </w:r>
    </w:p>
    <w:p w14:paraId="1363F36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Tuomela, R. (2013). </w:t>
      </w:r>
      <w:r w:rsidRPr="00F153F6">
        <w:rPr>
          <w:rFonts w:ascii="Times New Roman" w:hAnsi="Times New Roman" w:cs="Times New Roman"/>
          <w:i/>
          <w:iCs/>
          <w:sz w:val="24"/>
          <w:szCs w:val="24"/>
        </w:rPr>
        <w:t>Cooperation: A Philosophical Study</w:t>
      </w:r>
      <w:r w:rsidRPr="00F153F6">
        <w:rPr>
          <w:rFonts w:ascii="Times New Roman" w:hAnsi="Times New Roman" w:cs="Times New Roman"/>
          <w:sz w:val="24"/>
          <w:szCs w:val="24"/>
        </w:rPr>
        <w:t>. Springer Science &amp; Business Media.</w:t>
      </w:r>
    </w:p>
    <w:p w14:paraId="7C7E952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Uden, L., &amp; He, W. (2017). How the Internet of Things can help knowledge management: A case study from the automotive domain. </w:t>
      </w:r>
      <w:r w:rsidRPr="00F153F6">
        <w:rPr>
          <w:rFonts w:ascii="Times New Roman" w:hAnsi="Times New Roman" w:cs="Times New Roman"/>
          <w:i/>
          <w:iCs/>
          <w:sz w:val="24"/>
          <w:szCs w:val="24"/>
        </w:rPr>
        <w:t>Journal of Knowledge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21</w:t>
      </w:r>
      <w:r w:rsidRPr="00F153F6">
        <w:rPr>
          <w:rFonts w:ascii="Times New Roman" w:hAnsi="Times New Roman" w:cs="Times New Roman"/>
          <w:sz w:val="24"/>
          <w:szCs w:val="24"/>
        </w:rPr>
        <w:t>(1), 57–70. https://doi.org/10.1108/JKM-07-2015-0291</w:t>
      </w:r>
    </w:p>
    <w:p w14:paraId="1F2D035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Valdez-Juárez, L. E., García-Pérez-De-Lema, D., &amp; Maldonado-Guzmán, G. (2018). ICT and KM, Drivers of Innovation and Profitability in SMEs. </w:t>
      </w:r>
      <w:r w:rsidRPr="00F153F6">
        <w:rPr>
          <w:rFonts w:ascii="Times New Roman" w:hAnsi="Times New Roman" w:cs="Times New Roman"/>
          <w:i/>
          <w:iCs/>
          <w:sz w:val="24"/>
          <w:szCs w:val="24"/>
        </w:rPr>
        <w:t>Journal of Information and Knowledge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17</w:t>
      </w:r>
      <w:r w:rsidRPr="00F153F6">
        <w:rPr>
          <w:rFonts w:ascii="Times New Roman" w:hAnsi="Times New Roman" w:cs="Times New Roman"/>
          <w:sz w:val="24"/>
          <w:szCs w:val="24"/>
        </w:rPr>
        <w:t>(1). Scopus. https://doi.org/10.1142/S0219649218500077</w:t>
      </w:r>
    </w:p>
    <w:p w14:paraId="1CE5D1FC" w14:textId="7593469F"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Mareeuw, F., Vaandrager, L., Klerkx, L., Naaldenberg, J., &amp; Koelen, M. (2015). Beyond bridging the know-do gap: A qualitative study of systemic interaction to foster knowledge exchange in the public health sector in The Netherlands. </w:t>
      </w:r>
      <w:r w:rsidRPr="00F153F6">
        <w:rPr>
          <w:rFonts w:ascii="Times New Roman" w:hAnsi="Times New Roman" w:cs="Times New Roman"/>
          <w:i/>
          <w:iCs/>
          <w:sz w:val="24"/>
          <w:szCs w:val="24"/>
        </w:rPr>
        <w:t>BMC Public Health</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15</w:t>
      </w:r>
      <w:r w:rsidRPr="00F153F6">
        <w:rPr>
          <w:rFonts w:ascii="Times New Roman" w:hAnsi="Times New Roman" w:cs="Times New Roman"/>
          <w:sz w:val="24"/>
          <w:szCs w:val="24"/>
        </w:rPr>
        <w:t>(1), 922. https://doi.org/10.1186/s12889-015-2271-7</w:t>
      </w:r>
    </w:p>
    <w:p w14:paraId="37B57EEC" w14:textId="356F1E52"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Niekerk, J. C., &amp; Roode, J. (2009). </w:t>
      </w:r>
      <w:r w:rsidRPr="00F153F6">
        <w:rPr>
          <w:rFonts w:ascii="Times New Roman" w:hAnsi="Times New Roman" w:cs="Times New Roman"/>
          <w:i/>
          <w:iCs/>
          <w:sz w:val="24"/>
          <w:szCs w:val="24"/>
        </w:rPr>
        <w:t>Glaserian and Straussian grounded theory: Similar or completely different?</w:t>
      </w:r>
      <w:r w:rsidRPr="00F153F6">
        <w:rPr>
          <w:rFonts w:ascii="Times New Roman" w:hAnsi="Times New Roman" w:cs="Times New Roman"/>
          <w:sz w:val="24"/>
          <w:szCs w:val="24"/>
        </w:rPr>
        <w:t xml:space="preserve"> 8.</w:t>
      </w:r>
    </w:p>
    <w:p w14:paraId="48D2FD6C" w14:textId="73977A7F"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Vuuren, S. J. (2011). </w:t>
      </w:r>
      <w:r w:rsidRPr="00F153F6">
        <w:rPr>
          <w:rFonts w:ascii="Times New Roman" w:hAnsi="Times New Roman" w:cs="Times New Roman"/>
          <w:i/>
          <w:iCs/>
          <w:sz w:val="24"/>
          <w:szCs w:val="24"/>
        </w:rPr>
        <w:t>Inter-Organisational Knowledge Sharing in the Public Sector: The Role of Social Capital and Information and Communication Technology</w:t>
      </w:r>
      <w:r w:rsidRPr="00F153F6">
        <w:rPr>
          <w:rFonts w:ascii="Times New Roman" w:hAnsi="Times New Roman" w:cs="Times New Roman"/>
          <w:sz w:val="24"/>
          <w:szCs w:val="24"/>
        </w:rPr>
        <w:t>. 374.</w:t>
      </w:r>
    </w:p>
    <w:p w14:paraId="6151025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Veeckman, C., Schuurman, D., Leminen, S., &amp; Westerlund, M. (2013). Linking Living Lab Characteristics and Their Outcomes: Towards a Conceptual Framework. </w:t>
      </w:r>
      <w:r w:rsidRPr="00F153F6">
        <w:rPr>
          <w:rFonts w:ascii="Times New Roman" w:hAnsi="Times New Roman" w:cs="Times New Roman"/>
          <w:i/>
          <w:iCs/>
          <w:sz w:val="24"/>
          <w:szCs w:val="24"/>
        </w:rPr>
        <w:t>Technology Innovation Management Review</w:t>
      </w:r>
      <w:r w:rsidRPr="00F153F6">
        <w:rPr>
          <w:rFonts w:ascii="Times New Roman" w:hAnsi="Times New Roman" w:cs="Times New Roman"/>
          <w:sz w:val="24"/>
          <w:szCs w:val="24"/>
        </w:rPr>
        <w:t>, 10.</w:t>
      </w:r>
    </w:p>
    <w:p w14:paraId="7BD3588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Velichety, S., Ram, S., &amp; Bockstedt, J. (2019). Quality Assessment of Peer-Produced Content in Knowledge Repositories using Development and Coordination Activities. </w:t>
      </w:r>
      <w:r w:rsidRPr="00F153F6">
        <w:rPr>
          <w:rFonts w:ascii="Times New Roman" w:hAnsi="Times New Roman" w:cs="Times New Roman"/>
          <w:i/>
          <w:iCs/>
          <w:sz w:val="24"/>
          <w:szCs w:val="24"/>
        </w:rPr>
        <w:t>Journal of Management Information Systems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36</w:t>
      </w:r>
      <w:r w:rsidRPr="00F153F6">
        <w:rPr>
          <w:rFonts w:ascii="Times New Roman" w:hAnsi="Times New Roman" w:cs="Times New Roman"/>
          <w:sz w:val="24"/>
          <w:szCs w:val="24"/>
        </w:rPr>
        <w:t>(2), 478–512. https://doi.org/10.1080/07421222.2019.1598692</w:t>
      </w:r>
    </w:p>
    <w:p w14:paraId="75F7671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Vermeulen, F., &amp; Barkema, H. (2001). Learning Through Acquisitions. </w:t>
      </w:r>
      <w:r w:rsidRPr="00F153F6">
        <w:rPr>
          <w:rFonts w:ascii="Times New Roman" w:hAnsi="Times New Roman" w:cs="Times New Roman"/>
          <w:i/>
          <w:iCs/>
          <w:sz w:val="24"/>
          <w:szCs w:val="24"/>
        </w:rPr>
        <w:t xml:space="preserve">Academy of </w:t>
      </w:r>
      <w:r w:rsidRPr="00F153F6">
        <w:rPr>
          <w:rFonts w:ascii="Times New Roman" w:hAnsi="Times New Roman" w:cs="Times New Roman"/>
          <w:i/>
          <w:iCs/>
          <w:sz w:val="24"/>
          <w:szCs w:val="24"/>
        </w:rPr>
        <w:lastRenderedPageBreak/>
        <w:t>Management Journal</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44</w:t>
      </w:r>
      <w:r w:rsidRPr="00F153F6">
        <w:rPr>
          <w:rFonts w:ascii="Times New Roman" w:hAnsi="Times New Roman" w:cs="Times New Roman"/>
          <w:sz w:val="24"/>
          <w:szCs w:val="24"/>
        </w:rPr>
        <w:t>(3), 457–476. https://doi.org/10.5465/3069364</w:t>
      </w:r>
    </w:p>
    <w:p w14:paraId="2F39CA1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Villena, V. H., Choi, T. Y., &amp; Revilla, E. (2019). Revisiting Interorganizational Trust: Is More Always Better or Could More Be Worse? </w:t>
      </w:r>
      <w:r w:rsidRPr="00F153F6">
        <w:rPr>
          <w:rFonts w:ascii="Times New Roman" w:hAnsi="Times New Roman" w:cs="Times New Roman"/>
          <w:i/>
          <w:iCs/>
          <w:sz w:val="24"/>
          <w:szCs w:val="24"/>
        </w:rPr>
        <w:t>Journal of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45</w:t>
      </w:r>
      <w:r w:rsidRPr="00F153F6">
        <w:rPr>
          <w:rFonts w:ascii="Times New Roman" w:hAnsi="Times New Roman" w:cs="Times New Roman"/>
          <w:sz w:val="24"/>
          <w:szCs w:val="24"/>
        </w:rPr>
        <w:t>(2), 752–785. https://doi.org/10.1177/0149206316680031</w:t>
      </w:r>
    </w:p>
    <w:p w14:paraId="570BE41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Volkoff, O., &amp; Strong, D. M. (2013). Critical Realism and Affordances: Theorizing It-Associated Organizational Change Processes. </w:t>
      </w:r>
      <w:r w:rsidRPr="00F153F6">
        <w:rPr>
          <w:rFonts w:ascii="Times New Roman" w:hAnsi="Times New Roman" w:cs="Times New Roman"/>
          <w:i/>
          <w:iCs/>
          <w:sz w:val="24"/>
          <w:szCs w:val="24"/>
        </w:rPr>
        <w:t>MIS Quarterly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37</w:t>
      </w:r>
      <w:r w:rsidRPr="00F153F6">
        <w:rPr>
          <w:rFonts w:ascii="Times New Roman" w:hAnsi="Times New Roman" w:cs="Times New Roman"/>
          <w:sz w:val="24"/>
          <w:szCs w:val="24"/>
        </w:rPr>
        <w:t>(3), 819–834.</w:t>
      </w:r>
    </w:p>
    <w:p w14:paraId="7E3A6EF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Volkoff, O., &amp; Strong, D. M. (2017). Affordance theory and how to use it in IS research. In R. D. Galliers &amp; M.-K. Stein (Eds.), </w:t>
      </w:r>
      <w:r w:rsidRPr="00F153F6">
        <w:rPr>
          <w:rFonts w:ascii="Times New Roman" w:hAnsi="Times New Roman" w:cs="Times New Roman"/>
          <w:i/>
          <w:iCs/>
          <w:sz w:val="24"/>
          <w:szCs w:val="24"/>
        </w:rPr>
        <w:t>The Routledge Companion to Management Information Systems</w:t>
      </w:r>
      <w:r w:rsidRPr="00F153F6">
        <w:rPr>
          <w:rFonts w:ascii="Times New Roman" w:hAnsi="Times New Roman" w:cs="Times New Roman"/>
          <w:sz w:val="24"/>
          <w:szCs w:val="24"/>
        </w:rPr>
        <w:t xml:space="preserve"> (1st ed., pp. 232–245). Routledge. https://doi.org/10.4324/9781315619361-18</w:t>
      </w:r>
    </w:p>
    <w:p w14:paraId="22BF07E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Volkoff, O., Strong, D. M., &amp; Elmes, M. B. (2007). Technological Embeddedness and Organizational Change. </w:t>
      </w:r>
      <w:r w:rsidRPr="00F153F6">
        <w:rPr>
          <w:rFonts w:ascii="Times New Roman" w:hAnsi="Times New Roman" w:cs="Times New Roman"/>
          <w:i/>
          <w:iCs/>
          <w:sz w:val="24"/>
          <w:szCs w:val="24"/>
        </w:rPr>
        <w:t>Organization Science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18</w:t>
      </w:r>
      <w:r w:rsidRPr="00F153F6">
        <w:rPr>
          <w:rFonts w:ascii="Times New Roman" w:hAnsi="Times New Roman" w:cs="Times New Roman"/>
          <w:sz w:val="24"/>
          <w:szCs w:val="24"/>
        </w:rPr>
        <w:t>(5), 832–848. https://doi.org/10.1287/orsc.1070.0288</w:t>
      </w:r>
    </w:p>
    <w:p w14:paraId="159F794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Waddock, S. A. (1989). Understanding Social Partnerships: An Evolutionary Model of Partnership Organizations. </w:t>
      </w:r>
      <w:r w:rsidRPr="00F153F6">
        <w:rPr>
          <w:rFonts w:ascii="Times New Roman" w:hAnsi="Times New Roman" w:cs="Times New Roman"/>
          <w:i/>
          <w:iCs/>
          <w:sz w:val="24"/>
          <w:szCs w:val="24"/>
        </w:rPr>
        <w:t>Administration &amp; Society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21</w:t>
      </w:r>
      <w:r w:rsidRPr="00F153F6">
        <w:rPr>
          <w:rFonts w:ascii="Times New Roman" w:hAnsi="Times New Roman" w:cs="Times New Roman"/>
          <w:sz w:val="24"/>
          <w:szCs w:val="24"/>
        </w:rPr>
        <w:t>(1), 78–100. https://doi.org/10.1177/009539978902100105</w:t>
      </w:r>
    </w:p>
    <w:p w14:paraId="21FD118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Walsham, G. (2001). Knowledge Management: The Benefits and Limitations of Computer Systems. </w:t>
      </w:r>
      <w:r w:rsidRPr="00F153F6">
        <w:rPr>
          <w:rFonts w:ascii="Times New Roman" w:hAnsi="Times New Roman" w:cs="Times New Roman"/>
          <w:i/>
          <w:iCs/>
          <w:sz w:val="24"/>
          <w:szCs w:val="24"/>
        </w:rPr>
        <w:t>European Management Journal</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19</w:t>
      </w:r>
      <w:r w:rsidRPr="00F153F6">
        <w:rPr>
          <w:rFonts w:ascii="Times New Roman" w:hAnsi="Times New Roman" w:cs="Times New Roman"/>
          <w:sz w:val="24"/>
          <w:szCs w:val="24"/>
        </w:rPr>
        <w:t>(6), 599–608. https://doi.org/10.1016/S0263-2373(01)00085-8</w:t>
      </w:r>
    </w:p>
    <w:p w14:paraId="0497503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Walt, J. S. van der, &amp; Buitendag, A. A. K. (2009). </w:t>
      </w:r>
      <w:r w:rsidRPr="00F153F6">
        <w:rPr>
          <w:rFonts w:ascii="Times New Roman" w:hAnsi="Times New Roman" w:cs="Times New Roman"/>
          <w:i/>
          <w:iCs/>
          <w:sz w:val="24"/>
          <w:szCs w:val="24"/>
        </w:rPr>
        <w:t>Community Living Lab as a Collaborative Innovation Environment</w:t>
      </w:r>
      <w:r w:rsidRPr="00F153F6">
        <w:rPr>
          <w:rFonts w:ascii="Times New Roman" w:hAnsi="Times New Roman" w:cs="Times New Roman"/>
          <w:sz w:val="24"/>
          <w:szCs w:val="24"/>
        </w:rPr>
        <w:t>. Informing Science.</w:t>
      </w:r>
    </w:p>
    <w:p w14:paraId="3BED7A2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Walter, J., Lechner, C., &amp; Kellermanns, F. W. (2007). Knowledge transfer between and within alliance partners: Private versus collective benefits of social capital. </w:t>
      </w:r>
      <w:r w:rsidRPr="00F153F6">
        <w:rPr>
          <w:rFonts w:ascii="Times New Roman" w:hAnsi="Times New Roman" w:cs="Times New Roman"/>
          <w:i/>
          <w:iCs/>
          <w:sz w:val="24"/>
          <w:szCs w:val="24"/>
        </w:rPr>
        <w:t>Journal of Business Research</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60</w:t>
      </w:r>
      <w:r w:rsidRPr="00F153F6">
        <w:rPr>
          <w:rFonts w:ascii="Times New Roman" w:hAnsi="Times New Roman" w:cs="Times New Roman"/>
          <w:sz w:val="24"/>
          <w:szCs w:val="24"/>
        </w:rPr>
        <w:t>(7), 698–710. https://doi.org/10.1016/j.jbusres.2007.01.026</w:t>
      </w:r>
    </w:p>
    <w:p w14:paraId="207486D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Wang, H., Wang, J., &amp; Tang, Q. (2018). A Review of Application of Affordance Theory in </w:t>
      </w:r>
      <w:r w:rsidRPr="00F153F6">
        <w:rPr>
          <w:rFonts w:ascii="Times New Roman" w:hAnsi="Times New Roman" w:cs="Times New Roman"/>
          <w:sz w:val="24"/>
          <w:szCs w:val="24"/>
        </w:rPr>
        <w:lastRenderedPageBreak/>
        <w:t xml:space="preserve">Information Systems. </w:t>
      </w:r>
      <w:r w:rsidRPr="00F153F6">
        <w:rPr>
          <w:rFonts w:ascii="Times New Roman" w:hAnsi="Times New Roman" w:cs="Times New Roman"/>
          <w:i/>
          <w:iCs/>
          <w:sz w:val="24"/>
          <w:szCs w:val="24"/>
        </w:rPr>
        <w:t>Journal of Service Science and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11</w:t>
      </w:r>
      <w:r w:rsidRPr="00F153F6">
        <w:rPr>
          <w:rFonts w:ascii="Times New Roman" w:hAnsi="Times New Roman" w:cs="Times New Roman"/>
          <w:sz w:val="24"/>
          <w:szCs w:val="24"/>
        </w:rPr>
        <w:t>(1), Article 1. https://doi.org/10.4236/jssm.2018.111006</w:t>
      </w:r>
    </w:p>
    <w:p w14:paraId="3165709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Wang, Y., &amp; Lim, S. S. (2021). Nomadic life archiving across platforms: Hyperlinked storage and compartmentalized sharing. </w:t>
      </w:r>
      <w:r w:rsidRPr="00F153F6">
        <w:rPr>
          <w:rFonts w:ascii="Times New Roman" w:hAnsi="Times New Roman" w:cs="Times New Roman"/>
          <w:i/>
          <w:iCs/>
          <w:sz w:val="24"/>
          <w:szCs w:val="24"/>
        </w:rPr>
        <w:t>New Media &amp; Society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23</w:t>
      </w:r>
      <w:r w:rsidRPr="00F153F6">
        <w:rPr>
          <w:rFonts w:ascii="Times New Roman" w:hAnsi="Times New Roman" w:cs="Times New Roman"/>
          <w:sz w:val="24"/>
          <w:szCs w:val="24"/>
        </w:rPr>
        <w:t>(4), 796–815. https://doi.org/10.1177/1461444820953507</w:t>
      </w:r>
    </w:p>
    <w:p w14:paraId="1B9D618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Ward, V., House, A., &amp; Hamer, S. (2009). Developing a Framework for Transferring Knowledge Into Action: A Thematic Analysis of the Literature. </w:t>
      </w:r>
      <w:r w:rsidRPr="00F153F6">
        <w:rPr>
          <w:rFonts w:ascii="Times New Roman" w:hAnsi="Times New Roman" w:cs="Times New Roman"/>
          <w:i/>
          <w:iCs/>
          <w:sz w:val="24"/>
          <w:szCs w:val="24"/>
        </w:rPr>
        <w:t>Journal of Health Services Research &amp; Policy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14</w:t>
      </w:r>
      <w:r w:rsidRPr="00F153F6">
        <w:rPr>
          <w:rFonts w:ascii="Times New Roman" w:hAnsi="Times New Roman" w:cs="Times New Roman"/>
          <w:sz w:val="24"/>
          <w:szCs w:val="24"/>
        </w:rPr>
        <w:t>(3), 156–164. https://doi.org/10.1258/jhsrp.2009.008120</w:t>
      </w:r>
    </w:p>
    <w:p w14:paraId="7FB3E1AA"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Ward, V., Smith, S., House, A., &amp; Hamer, S. (2012). Exploring knowledge exchange: A useful framework for practice and policy. </w:t>
      </w:r>
      <w:r w:rsidRPr="00F153F6">
        <w:rPr>
          <w:rFonts w:ascii="Times New Roman" w:hAnsi="Times New Roman" w:cs="Times New Roman"/>
          <w:i/>
          <w:iCs/>
          <w:sz w:val="24"/>
          <w:szCs w:val="24"/>
        </w:rPr>
        <w:t>Social Science &amp; Medicine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74</w:t>
      </w:r>
      <w:r w:rsidRPr="00F153F6">
        <w:rPr>
          <w:rFonts w:ascii="Times New Roman" w:hAnsi="Times New Roman" w:cs="Times New Roman"/>
          <w:sz w:val="24"/>
          <w:szCs w:val="24"/>
        </w:rPr>
        <w:t>(3), 297–304. https://doi.org/10.1016/j.socscimed.2011.09.021</w:t>
      </w:r>
    </w:p>
    <w:p w14:paraId="32E5449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Weigel, G., &amp; Waldburger, D. (2004). </w:t>
      </w:r>
      <w:r w:rsidRPr="00F153F6">
        <w:rPr>
          <w:rFonts w:ascii="Times New Roman" w:hAnsi="Times New Roman" w:cs="Times New Roman"/>
          <w:i/>
          <w:iCs/>
          <w:sz w:val="24"/>
          <w:szCs w:val="24"/>
        </w:rPr>
        <w:t>ICT4D - Connecting People for a Better World: Lessons, Innovations and Perspectives of Information and Communication Technologies in Development</w:t>
      </w:r>
      <w:r w:rsidRPr="00F153F6">
        <w:rPr>
          <w:rFonts w:ascii="Times New Roman" w:hAnsi="Times New Roman" w:cs="Times New Roman"/>
          <w:sz w:val="24"/>
          <w:szCs w:val="24"/>
        </w:rPr>
        <w:t>. Swiss Agency for Development and Cooperation, Global Knowledge Partnership.</w:t>
      </w:r>
    </w:p>
    <w:p w14:paraId="2085759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Weir, D., &amp; Hutchings, K. (2005). Cultural embeddedness and contextual constraints: Knowledge sharing in Chinese and Arab cultures. </w:t>
      </w:r>
      <w:r w:rsidRPr="00F153F6">
        <w:rPr>
          <w:rFonts w:ascii="Times New Roman" w:hAnsi="Times New Roman" w:cs="Times New Roman"/>
          <w:i/>
          <w:iCs/>
          <w:sz w:val="24"/>
          <w:szCs w:val="24"/>
        </w:rPr>
        <w:t>Knowledge and Process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12</w:t>
      </w:r>
      <w:r w:rsidRPr="00F153F6">
        <w:rPr>
          <w:rFonts w:ascii="Times New Roman" w:hAnsi="Times New Roman" w:cs="Times New Roman"/>
          <w:sz w:val="24"/>
          <w:szCs w:val="24"/>
        </w:rPr>
        <w:t>(2), 89–98. https://doi.org/10.1002/kpm.222</w:t>
      </w:r>
    </w:p>
    <w:p w14:paraId="3AFC79FF"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Wenger, E. (2000). Communities of Practice and Social Learning Systems. </w:t>
      </w:r>
      <w:r w:rsidRPr="00F153F6">
        <w:rPr>
          <w:rFonts w:ascii="Times New Roman" w:hAnsi="Times New Roman" w:cs="Times New Roman"/>
          <w:i/>
          <w:iCs/>
          <w:sz w:val="24"/>
          <w:szCs w:val="24"/>
        </w:rPr>
        <w:t>Organization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7</w:t>
      </w:r>
      <w:r w:rsidRPr="00F153F6">
        <w:rPr>
          <w:rFonts w:ascii="Times New Roman" w:hAnsi="Times New Roman" w:cs="Times New Roman"/>
          <w:sz w:val="24"/>
          <w:szCs w:val="24"/>
        </w:rPr>
        <w:t>(2), 225–246. https://doi.org/10.1177/135050840072002</w:t>
      </w:r>
    </w:p>
    <w:p w14:paraId="02E0ED3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Wenger, E. (2010). </w:t>
      </w:r>
      <w:r w:rsidRPr="00F153F6">
        <w:rPr>
          <w:rFonts w:ascii="Times New Roman" w:hAnsi="Times New Roman" w:cs="Times New Roman"/>
          <w:i/>
          <w:iCs/>
          <w:sz w:val="24"/>
          <w:szCs w:val="24"/>
        </w:rPr>
        <w:t>Knowledgeability in landscapes of practice</w:t>
      </w:r>
      <w:r w:rsidRPr="00F153F6">
        <w:rPr>
          <w:rFonts w:ascii="Times New Roman" w:hAnsi="Times New Roman" w:cs="Times New Roman"/>
          <w:sz w:val="24"/>
          <w:szCs w:val="24"/>
        </w:rPr>
        <w:t>. SHRE conference, Newport, Wales.</w:t>
      </w:r>
    </w:p>
    <w:p w14:paraId="09F894E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Wenger, E. (2011). Communities of Practice—A prief introduction. </w:t>
      </w:r>
      <w:r w:rsidRPr="00F153F6">
        <w:rPr>
          <w:rFonts w:ascii="Times New Roman" w:hAnsi="Times New Roman" w:cs="Times New Roman"/>
          <w:i/>
          <w:iCs/>
          <w:sz w:val="24"/>
          <w:szCs w:val="24"/>
        </w:rPr>
        <w:t>Communities of Practice</w:t>
      </w:r>
      <w:r w:rsidRPr="00F153F6">
        <w:rPr>
          <w:rFonts w:ascii="Times New Roman" w:hAnsi="Times New Roman" w:cs="Times New Roman"/>
          <w:sz w:val="24"/>
          <w:szCs w:val="24"/>
        </w:rPr>
        <w:t>, 7.</w:t>
      </w:r>
    </w:p>
    <w:p w14:paraId="2074E71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lastRenderedPageBreak/>
        <w:t xml:space="preserve">Wenger-Trayner, E., Fenton-O’Creevy, M., Hutchinson, S., Kubiak, C., &amp; Wenger-Trayner, B. (2014). </w:t>
      </w:r>
      <w:r w:rsidRPr="00F153F6">
        <w:rPr>
          <w:rFonts w:ascii="Times New Roman" w:hAnsi="Times New Roman" w:cs="Times New Roman"/>
          <w:i/>
          <w:iCs/>
          <w:sz w:val="24"/>
          <w:szCs w:val="24"/>
        </w:rPr>
        <w:t>Learning in Landscapes of Practice: Boundaries, Identity, and Knowledgeability in Practice-Based Learning</w:t>
      </w:r>
      <w:r w:rsidRPr="00F153F6">
        <w:rPr>
          <w:rFonts w:ascii="Times New Roman" w:hAnsi="Times New Roman" w:cs="Times New Roman"/>
          <w:sz w:val="24"/>
          <w:szCs w:val="24"/>
        </w:rPr>
        <w:t>. Taylor &amp; Francis Group. http://ebookcentral.proquest.com/lib/sheffield/detail.action?docID=1753258</w:t>
      </w:r>
    </w:p>
    <w:p w14:paraId="3FD23C4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Wenger-Trayner, E., &amp; Wenger-Trayner, B. (2014). Learning in a landscape of practice: A Framework. In </w:t>
      </w:r>
      <w:r w:rsidRPr="00F153F6">
        <w:rPr>
          <w:rFonts w:ascii="Times New Roman" w:hAnsi="Times New Roman" w:cs="Times New Roman"/>
          <w:i/>
          <w:iCs/>
          <w:sz w:val="24"/>
          <w:szCs w:val="24"/>
        </w:rPr>
        <w:t>Learning in landscapes of practice</w:t>
      </w:r>
      <w:r w:rsidRPr="00F153F6">
        <w:rPr>
          <w:rFonts w:ascii="Times New Roman" w:hAnsi="Times New Roman" w:cs="Times New Roman"/>
          <w:sz w:val="24"/>
          <w:szCs w:val="24"/>
        </w:rPr>
        <w:t xml:space="preserve"> (pp. 13–29). Routledge.</w:t>
      </w:r>
    </w:p>
    <w:p w14:paraId="7F5F661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Werder, K., Helms, R. W., &amp; Jansen, S. (2014). </w:t>
      </w:r>
      <w:r w:rsidRPr="00F153F6">
        <w:rPr>
          <w:rFonts w:ascii="Times New Roman" w:hAnsi="Times New Roman" w:cs="Times New Roman"/>
          <w:i/>
          <w:iCs/>
          <w:sz w:val="24"/>
          <w:szCs w:val="24"/>
        </w:rPr>
        <w:t>SOCIAL MEDIA FOR SUCCESS: A STRATEGIC FRAMEWORK</w:t>
      </w:r>
      <w:r w:rsidRPr="00F153F6">
        <w:rPr>
          <w:rFonts w:ascii="Times New Roman" w:hAnsi="Times New Roman" w:cs="Times New Roman"/>
          <w:sz w:val="24"/>
          <w:szCs w:val="24"/>
        </w:rPr>
        <w:t>. https://madoc.bib.uni-mannheim.de/36684/1/20140515_PACIS2014_Template_initial_Social_media_for_Success_FINAL.pdf</w:t>
      </w:r>
    </w:p>
    <w:p w14:paraId="09DB7C7C"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Werr, A., &amp; Stjernberg, T. (2003). Exploring Management Consulting Firms as Knowledge Systems. </w:t>
      </w:r>
      <w:r w:rsidRPr="00F153F6">
        <w:rPr>
          <w:rFonts w:ascii="Times New Roman" w:hAnsi="Times New Roman" w:cs="Times New Roman"/>
          <w:i/>
          <w:iCs/>
          <w:sz w:val="24"/>
          <w:szCs w:val="24"/>
        </w:rPr>
        <w:t>Organization Studies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24</w:t>
      </w:r>
      <w:r w:rsidRPr="00F153F6">
        <w:rPr>
          <w:rFonts w:ascii="Times New Roman" w:hAnsi="Times New Roman" w:cs="Times New Roman"/>
          <w:sz w:val="24"/>
          <w:szCs w:val="24"/>
        </w:rPr>
        <w:t>(6), 881–908. https://doi.org/10.1177/0170840603024006004</w:t>
      </w:r>
    </w:p>
    <w:p w14:paraId="44436083"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Westerlund, M., &amp; Leminen, S. (2011). Managing the Challenges of Becoming an Open Innovation Company: Experiences from Living Labs. </w:t>
      </w:r>
      <w:r w:rsidRPr="00F153F6">
        <w:rPr>
          <w:rFonts w:ascii="Times New Roman" w:hAnsi="Times New Roman" w:cs="Times New Roman"/>
          <w:i/>
          <w:iCs/>
          <w:sz w:val="24"/>
          <w:szCs w:val="24"/>
        </w:rPr>
        <w:t>Technology Innovation Management Review</w:t>
      </w:r>
      <w:r w:rsidRPr="00F153F6">
        <w:rPr>
          <w:rFonts w:ascii="Times New Roman" w:hAnsi="Times New Roman" w:cs="Times New Roman"/>
          <w:sz w:val="24"/>
          <w:szCs w:val="24"/>
        </w:rPr>
        <w:t>, 7.</w:t>
      </w:r>
    </w:p>
    <w:p w14:paraId="67DA55A8"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Westra, D., Ruwaard, D., Carree, M., &amp; Angeli, F. (2016). Individual and Organizational Characteristics of Inter-Organizational Cooperation in Health Care. </w:t>
      </w:r>
      <w:r w:rsidRPr="00F153F6">
        <w:rPr>
          <w:rFonts w:ascii="Times New Roman" w:hAnsi="Times New Roman" w:cs="Times New Roman"/>
          <w:i/>
          <w:iCs/>
          <w:sz w:val="24"/>
          <w:szCs w:val="24"/>
        </w:rPr>
        <w:t>Academy of Management Proceedings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2016</w:t>
      </w:r>
      <w:r w:rsidRPr="00F153F6">
        <w:rPr>
          <w:rFonts w:ascii="Times New Roman" w:hAnsi="Times New Roman" w:cs="Times New Roman"/>
          <w:sz w:val="24"/>
          <w:szCs w:val="24"/>
        </w:rPr>
        <w:t>(1), 12224. https://doi.org/10.5465/ambpp.2016.12224abstract</w:t>
      </w:r>
    </w:p>
    <w:p w14:paraId="3E15069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Wiig, K. M. (1993). </w:t>
      </w:r>
      <w:r w:rsidRPr="00F153F6">
        <w:rPr>
          <w:rFonts w:ascii="Times New Roman" w:hAnsi="Times New Roman" w:cs="Times New Roman"/>
          <w:i/>
          <w:iCs/>
          <w:sz w:val="24"/>
          <w:szCs w:val="24"/>
        </w:rPr>
        <w:t>Knowledge Management Foundations: Thinking about Thinking : How People and Organizations Create, Represent and Use Knowledge / K.M. Wiig.</w:t>
      </w:r>
    </w:p>
    <w:p w14:paraId="47AAB2A9"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Wijk, R. V., Bosch, F. A. J. V. D., &amp; Volberda, H. W. (2015). Organizing Knowledge in Social, Alliance, and Organizational Networks. In </w:t>
      </w:r>
      <w:r w:rsidRPr="00F153F6">
        <w:rPr>
          <w:rFonts w:ascii="Times New Roman" w:hAnsi="Times New Roman" w:cs="Times New Roman"/>
          <w:i/>
          <w:iCs/>
          <w:sz w:val="24"/>
          <w:szCs w:val="24"/>
        </w:rPr>
        <w:t>Handbook of Organizational Learning and Knowledge Management</w:t>
      </w:r>
      <w:r w:rsidRPr="00F153F6">
        <w:rPr>
          <w:rFonts w:ascii="Times New Roman" w:hAnsi="Times New Roman" w:cs="Times New Roman"/>
          <w:sz w:val="24"/>
          <w:szCs w:val="24"/>
        </w:rPr>
        <w:t xml:space="preserve"> (pp. 477–504). John Wiley &amp; Sons, Ltd. </w:t>
      </w:r>
      <w:r w:rsidRPr="00F153F6">
        <w:rPr>
          <w:rFonts w:ascii="Times New Roman" w:hAnsi="Times New Roman" w:cs="Times New Roman"/>
          <w:sz w:val="24"/>
          <w:szCs w:val="24"/>
        </w:rPr>
        <w:lastRenderedPageBreak/>
        <w:t>https://doi.org/10.1002/9781119207245.ch22</w:t>
      </w:r>
    </w:p>
    <w:p w14:paraId="7A94D52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Wilkinson, C. R., &amp; De Angeli, A. (2014). Applying user centred and participatory design approaches to commercial product development. </w:t>
      </w:r>
      <w:r w:rsidRPr="00F153F6">
        <w:rPr>
          <w:rFonts w:ascii="Times New Roman" w:hAnsi="Times New Roman" w:cs="Times New Roman"/>
          <w:i/>
          <w:iCs/>
          <w:sz w:val="24"/>
          <w:szCs w:val="24"/>
        </w:rPr>
        <w:t>Design Studies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35</w:t>
      </w:r>
      <w:r w:rsidRPr="00F153F6">
        <w:rPr>
          <w:rFonts w:ascii="Times New Roman" w:hAnsi="Times New Roman" w:cs="Times New Roman"/>
          <w:sz w:val="24"/>
          <w:szCs w:val="24"/>
        </w:rPr>
        <w:t>(6), 614–631. https://doi.org/10.1016/j.destud.2014.06.001</w:t>
      </w:r>
    </w:p>
    <w:p w14:paraId="3AC16E17"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Wingens, M. (1990). Toward a General Utilization Theory: A Systems Theory Reformulation of the Two-Communities Metaphor. </w:t>
      </w:r>
      <w:r w:rsidRPr="00F153F6">
        <w:rPr>
          <w:rFonts w:ascii="Times New Roman" w:hAnsi="Times New Roman" w:cs="Times New Roman"/>
          <w:i/>
          <w:iCs/>
          <w:sz w:val="24"/>
          <w:szCs w:val="24"/>
        </w:rPr>
        <w:t>Knowledge</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12</w:t>
      </w:r>
      <w:r w:rsidRPr="00F153F6">
        <w:rPr>
          <w:rFonts w:ascii="Times New Roman" w:hAnsi="Times New Roman" w:cs="Times New Roman"/>
          <w:sz w:val="24"/>
          <w:szCs w:val="24"/>
        </w:rPr>
        <w:t>(1), 27–42. https://doi.org/10.1177/107554709001200103</w:t>
      </w:r>
    </w:p>
    <w:p w14:paraId="29A94232"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Wise, E., &amp; Høgenhaven, C. (2008). </w:t>
      </w:r>
      <w:r w:rsidRPr="00F153F6">
        <w:rPr>
          <w:rFonts w:ascii="Times New Roman" w:hAnsi="Times New Roman" w:cs="Times New Roman"/>
          <w:i/>
          <w:iCs/>
          <w:sz w:val="24"/>
          <w:szCs w:val="24"/>
        </w:rPr>
        <w:t>User-Driven Innovation: Context and Cases in the Nordic Region</w:t>
      </w:r>
      <w:r w:rsidRPr="00F153F6">
        <w:rPr>
          <w:rFonts w:ascii="Times New Roman" w:hAnsi="Times New Roman" w:cs="Times New Roman"/>
          <w:sz w:val="24"/>
          <w:szCs w:val="24"/>
        </w:rPr>
        <w:t>. http://www.diva-portal.org/smash/get/diva2:707144/FULLTEXT01.pdf</w:t>
      </w:r>
    </w:p>
    <w:p w14:paraId="0EC7CBCC" w14:textId="0BE6F032" w:rsidR="00926863" w:rsidRPr="00F153F6" w:rsidRDefault="00926863" w:rsidP="00926863">
      <w:pPr>
        <w:spacing w:after="0" w:line="480" w:lineRule="auto"/>
        <w:ind w:left="720" w:hanging="720"/>
        <w:rPr>
          <w:rFonts w:ascii="Times New Roman" w:hAnsi="Times New Roman" w:cs="Times New Roman"/>
          <w:sz w:val="24"/>
          <w:szCs w:val="24"/>
          <w:lang w:eastAsia="zh-CN"/>
        </w:rPr>
      </w:pPr>
      <w:r w:rsidRPr="00F153F6">
        <w:rPr>
          <w:rFonts w:ascii="Times New Roman" w:hAnsi="Times New Roman" w:cs="Times New Roman"/>
          <w:sz w:val="24"/>
          <w:szCs w:val="24"/>
          <w:lang w:eastAsia="zh-CN"/>
        </w:rPr>
        <w:t xml:space="preserve">Wu, C. H., Kao, S. C., &amp; Shih, L. H. (2010). Assessing the suitability of process and information technology in supporting tacit knowledge transfer. </w:t>
      </w:r>
      <w:r w:rsidRPr="00F153F6">
        <w:rPr>
          <w:rFonts w:ascii="Times New Roman" w:hAnsi="Times New Roman" w:cs="Times New Roman"/>
          <w:i/>
          <w:iCs/>
          <w:sz w:val="24"/>
          <w:szCs w:val="24"/>
          <w:lang w:eastAsia="zh-CN"/>
        </w:rPr>
        <w:t>Behaviour &amp; Information Technology</w:t>
      </w:r>
      <w:r w:rsidRPr="00F153F6">
        <w:rPr>
          <w:rFonts w:ascii="Times New Roman" w:hAnsi="Times New Roman" w:cs="Times New Roman"/>
          <w:sz w:val="24"/>
          <w:szCs w:val="24"/>
          <w:lang w:eastAsia="zh-CN"/>
        </w:rPr>
        <w:t>, 29(5), 513-525.</w:t>
      </w:r>
    </w:p>
    <w:p w14:paraId="5D5D49D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Yakhlef, A. (2010). The corporeality of practice-based learning. </w:t>
      </w:r>
      <w:r w:rsidRPr="00F153F6">
        <w:rPr>
          <w:rFonts w:ascii="Times New Roman" w:hAnsi="Times New Roman" w:cs="Times New Roman"/>
          <w:i/>
          <w:iCs/>
          <w:sz w:val="24"/>
          <w:szCs w:val="24"/>
        </w:rPr>
        <w:t>Organization Studies</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31</w:t>
      </w:r>
      <w:r w:rsidRPr="00F153F6">
        <w:rPr>
          <w:rFonts w:ascii="Times New Roman" w:hAnsi="Times New Roman" w:cs="Times New Roman"/>
          <w:sz w:val="24"/>
          <w:szCs w:val="24"/>
        </w:rPr>
        <w:t>(4), 409–430. https://doi.org/10.1177/0170840609357384</w:t>
      </w:r>
    </w:p>
    <w:p w14:paraId="5EE67021"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Yeong, A., &amp; Lim, T. T. (2010). Integrating knowledge management with project management for project success. </w:t>
      </w:r>
      <w:r w:rsidRPr="00F153F6">
        <w:rPr>
          <w:rFonts w:ascii="Times New Roman" w:hAnsi="Times New Roman" w:cs="Times New Roman"/>
          <w:i/>
          <w:iCs/>
          <w:sz w:val="24"/>
          <w:szCs w:val="24"/>
        </w:rPr>
        <w:t>Journal of Project, Program &amp; Portfolio Management</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w:t>
      </w:r>
      <w:r w:rsidRPr="00F153F6">
        <w:rPr>
          <w:rFonts w:ascii="Times New Roman" w:hAnsi="Times New Roman" w:cs="Times New Roman"/>
          <w:sz w:val="24"/>
          <w:szCs w:val="24"/>
        </w:rPr>
        <w:t>(2), Article 2. https://doi.org/10.5130/pppm.v1i2.1735</w:t>
      </w:r>
    </w:p>
    <w:p w14:paraId="49689694"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Yilmaz, G., &amp; Peña, J. (2014). The Influence of Social Categories and Interpersonal Behaviors on Future Intentions and Attitudes to Form Subgroups in Virtual Teams. </w:t>
      </w:r>
      <w:r w:rsidRPr="00F153F6">
        <w:rPr>
          <w:rFonts w:ascii="Times New Roman" w:hAnsi="Times New Roman" w:cs="Times New Roman"/>
          <w:i/>
          <w:iCs/>
          <w:sz w:val="24"/>
          <w:szCs w:val="24"/>
        </w:rPr>
        <w:t>Communication Research</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41</w:t>
      </w:r>
      <w:r w:rsidRPr="00F153F6">
        <w:rPr>
          <w:rFonts w:ascii="Times New Roman" w:hAnsi="Times New Roman" w:cs="Times New Roman"/>
          <w:sz w:val="24"/>
          <w:szCs w:val="24"/>
        </w:rPr>
        <w:t>(3), 333–352. https://doi.org/10.1177/0093650212443696</w:t>
      </w:r>
    </w:p>
    <w:p w14:paraId="4C657785"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Yin, R. K. (2003). </w:t>
      </w:r>
      <w:r w:rsidRPr="00F153F6">
        <w:rPr>
          <w:rFonts w:ascii="Times New Roman" w:hAnsi="Times New Roman" w:cs="Times New Roman"/>
          <w:i/>
          <w:iCs/>
          <w:sz w:val="24"/>
          <w:szCs w:val="24"/>
        </w:rPr>
        <w:t>Case Study Research: Design and Methods</w:t>
      </w:r>
      <w:r w:rsidRPr="00F153F6">
        <w:rPr>
          <w:rFonts w:ascii="Times New Roman" w:hAnsi="Times New Roman" w:cs="Times New Roman"/>
          <w:sz w:val="24"/>
          <w:szCs w:val="24"/>
        </w:rPr>
        <w:t>. SAGE.</w:t>
      </w:r>
    </w:p>
    <w:p w14:paraId="6BA6F54B"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Yin, R. K. (2014). </w:t>
      </w:r>
      <w:r w:rsidRPr="00F153F6">
        <w:rPr>
          <w:rFonts w:ascii="Times New Roman" w:hAnsi="Times New Roman" w:cs="Times New Roman"/>
          <w:i/>
          <w:iCs/>
          <w:sz w:val="24"/>
          <w:szCs w:val="24"/>
        </w:rPr>
        <w:t>Case Study Research Design and Methods (5th ed.)</w:t>
      </w:r>
      <w:r w:rsidRPr="00F153F6">
        <w:rPr>
          <w:rFonts w:ascii="Times New Roman" w:hAnsi="Times New Roman" w:cs="Times New Roman"/>
          <w:sz w:val="24"/>
          <w:szCs w:val="24"/>
        </w:rPr>
        <w:t>. Thousand Oak. https://cjpe.journalhosting.ucalgary.ca/cjpe/index.php/cjpe/article/view/257</w:t>
      </w:r>
    </w:p>
    <w:p w14:paraId="7F1D1F20"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Zamani, N. F., &amp; Izhar, T. A. T. (2017). Critical Success Factors for Knowledge Repository </w:t>
      </w:r>
      <w:r w:rsidRPr="00F153F6">
        <w:rPr>
          <w:rFonts w:ascii="Times New Roman" w:hAnsi="Times New Roman" w:cs="Times New Roman"/>
          <w:sz w:val="24"/>
          <w:szCs w:val="24"/>
        </w:rPr>
        <w:lastRenderedPageBreak/>
        <w:t xml:space="preserve">Implementation: Content, Technology and Promotion. </w:t>
      </w:r>
      <w:r w:rsidRPr="00F153F6">
        <w:rPr>
          <w:rFonts w:ascii="Times New Roman" w:hAnsi="Times New Roman" w:cs="Times New Roman"/>
          <w:i/>
          <w:iCs/>
          <w:sz w:val="24"/>
          <w:szCs w:val="24"/>
        </w:rPr>
        <w:t>International Journal of Management Science &amp; Technology Information</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26</w:t>
      </w:r>
      <w:r w:rsidRPr="00F153F6">
        <w:rPr>
          <w:rFonts w:ascii="Times New Roman" w:hAnsi="Times New Roman" w:cs="Times New Roman"/>
          <w:sz w:val="24"/>
          <w:szCs w:val="24"/>
        </w:rPr>
        <w:t>, 21–43.</w:t>
      </w:r>
    </w:p>
    <w:p w14:paraId="1B400996" w14:textId="77777777" w:rsidR="007156B1" w:rsidRPr="00F153F6" w:rsidRDefault="007156B1" w:rsidP="007156B1">
      <w:pPr>
        <w:pStyle w:val="Bibliography"/>
        <w:rPr>
          <w:rFonts w:ascii="Times New Roman" w:hAnsi="Times New Roman" w:cs="Times New Roman"/>
          <w:sz w:val="24"/>
          <w:szCs w:val="24"/>
        </w:rPr>
      </w:pPr>
      <w:r w:rsidRPr="00F153F6">
        <w:rPr>
          <w:rFonts w:ascii="Times New Roman" w:hAnsi="Times New Roman" w:cs="Times New Roman"/>
          <w:sz w:val="24"/>
          <w:szCs w:val="24"/>
        </w:rPr>
        <w:t xml:space="preserve">Zavratnik, V., Superina, A., &amp; Stojmenova Duh, E. (2019). Living Labs for Rural Areas: Contextualization of Living Lab Frameworks, Concepts and Practices. </w:t>
      </w:r>
      <w:r w:rsidRPr="00F153F6">
        <w:rPr>
          <w:rFonts w:ascii="Times New Roman" w:hAnsi="Times New Roman" w:cs="Times New Roman"/>
          <w:i/>
          <w:iCs/>
          <w:sz w:val="24"/>
          <w:szCs w:val="24"/>
        </w:rPr>
        <w:t>Sustainability</w:t>
      </w:r>
      <w:r w:rsidRPr="00F153F6">
        <w:rPr>
          <w:rFonts w:ascii="Times New Roman" w:hAnsi="Times New Roman" w:cs="Times New Roman"/>
          <w:sz w:val="24"/>
          <w:szCs w:val="24"/>
        </w:rPr>
        <w:t xml:space="preserve">, </w:t>
      </w:r>
      <w:r w:rsidRPr="00F153F6">
        <w:rPr>
          <w:rFonts w:ascii="Times New Roman" w:hAnsi="Times New Roman" w:cs="Times New Roman"/>
          <w:i/>
          <w:iCs/>
          <w:sz w:val="24"/>
          <w:szCs w:val="24"/>
        </w:rPr>
        <w:t>11</w:t>
      </w:r>
      <w:r w:rsidRPr="00F153F6">
        <w:rPr>
          <w:rFonts w:ascii="Times New Roman" w:hAnsi="Times New Roman" w:cs="Times New Roman"/>
          <w:sz w:val="24"/>
          <w:szCs w:val="24"/>
        </w:rPr>
        <w:t>(14), 3797. https://doi.org/10.3390/su11143797</w:t>
      </w:r>
    </w:p>
    <w:p w14:paraId="02BC75D2" w14:textId="77777777" w:rsidR="007156B1" w:rsidRPr="00F153F6" w:rsidRDefault="007156B1" w:rsidP="007156B1">
      <w:pPr>
        <w:pStyle w:val="Bibliography"/>
      </w:pPr>
      <w:r w:rsidRPr="00F153F6">
        <w:rPr>
          <w:rFonts w:ascii="Times New Roman" w:hAnsi="Times New Roman" w:cs="Times New Roman"/>
          <w:sz w:val="24"/>
          <w:szCs w:val="24"/>
        </w:rPr>
        <w:t xml:space="preserve">Zhu, Y., Zamani, E. D., Martins, J. T., &amp; Vasconcelos, A. C. (2021). ICT-Based Inter-organisational Knowledge Exchange: A Narrative Literature Review Approach. In D. Dennehy, A. Griva, N. Pouloudi, Y. K. Dwivedi, I. Pappas, &amp; M. Mäntymäki (Eds.), </w:t>
      </w:r>
      <w:r w:rsidRPr="00F153F6">
        <w:rPr>
          <w:rFonts w:ascii="Times New Roman" w:hAnsi="Times New Roman" w:cs="Times New Roman"/>
          <w:i/>
          <w:iCs/>
          <w:sz w:val="24"/>
          <w:szCs w:val="24"/>
        </w:rPr>
        <w:t>Responsible AI and Analytics for an Ethical and Inclusive Digitized Society</w:t>
      </w:r>
      <w:r w:rsidRPr="00F153F6">
        <w:rPr>
          <w:rFonts w:ascii="Times New Roman" w:hAnsi="Times New Roman" w:cs="Times New Roman"/>
          <w:sz w:val="24"/>
          <w:szCs w:val="24"/>
        </w:rPr>
        <w:t xml:space="preserve"> (pp. 411–422). Springer International Publishing. https://doi.org/10.1007/978-3-030-85447-8_35</w:t>
      </w:r>
    </w:p>
    <w:p w14:paraId="2DD76B7B" w14:textId="1A27A171" w:rsidR="0015201A" w:rsidRPr="0043432B" w:rsidRDefault="00E9772F" w:rsidP="004424B4">
      <w:pPr>
        <w:spacing w:after="160" w:line="360" w:lineRule="auto"/>
        <w:jc w:val="both"/>
        <w:rPr>
          <w:rFonts w:ascii="Times New Roman" w:hAnsi="Times New Roman" w:cs="Times New Roman"/>
        </w:rPr>
      </w:pPr>
      <w:r w:rsidRPr="00F153F6">
        <w:rPr>
          <w:rFonts w:ascii="Times New Roman" w:hAnsi="Times New Roman" w:cs="Times New Roman"/>
        </w:rPr>
        <w:fldChar w:fldCharType="end"/>
      </w:r>
      <w:bookmarkEnd w:id="260"/>
      <w:bookmarkEnd w:id="261"/>
      <w:bookmarkEnd w:id="262"/>
    </w:p>
    <w:sectPr w:rsidR="0015201A" w:rsidRPr="0043432B" w:rsidSect="0015201A">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F80BA" w14:textId="77777777" w:rsidR="0007583D" w:rsidRDefault="0007583D" w:rsidP="0015201A">
      <w:pPr>
        <w:spacing w:after="0" w:line="240" w:lineRule="auto"/>
      </w:pPr>
      <w:r>
        <w:separator/>
      </w:r>
    </w:p>
  </w:endnote>
  <w:endnote w:type="continuationSeparator" w:id="0">
    <w:p w14:paraId="24D77CD0" w14:textId="77777777" w:rsidR="0007583D" w:rsidRDefault="0007583D" w:rsidP="00152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987808"/>
      <w:docPartObj>
        <w:docPartGallery w:val="Page Numbers (Bottom of Page)"/>
        <w:docPartUnique/>
      </w:docPartObj>
    </w:sdtPr>
    <w:sdtEndPr>
      <w:rPr>
        <w:color w:val="7F7F7F" w:themeColor="background1" w:themeShade="7F"/>
        <w:spacing w:val="60"/>
      </w:rPr>
    </w:sdtEndPr>
    <w:sdtContent>
      <w:p w14:paraId="06493571" w14:textId="1A87CE36" w:rsidR="0015201A" w:rsidRDefault="0015201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8548D5D" w14:textId="77777777" w:rsidR="0015201A" w:rsidRDefault="00152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BBEDE" w14:textId="77777777" w:rsidR="0007583D" w:rsidRDefault="0007583D" w:rsidP="0015201A">
      <w:pPr>
        <w:spacing w:after="0" w:line="240" w:lineRule="auto"/>
      </w:pPr>
      <w:r>
        <w:separator/>
      </w:r>
    </w:p>
  </w:footnote>
  <w:footnote w:type="continuationSeparator" w:id="0">
    <w:p w14:paraId="4EFACECB" w14:textId="77777777" w:rsidR="0007583D" w:rsidRDefault="0007583D" w:rsidP="001520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780A"/>
    <w:multiLevelType w:val="multilevel"/>
    <w:tmpl w:val="35FA407C"/>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3E22918"/>
    <w:multiLevelType w:val="hybridMultilevel"/>
    <w:tmpl w:val="5A42031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801823"/>
    <w:multiLevelType w:val="hybridMultilevel"/>
    <w:tmpl w:val="414A3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EF22A44"/>
    <w:multiLevelType w:val="multilevel"/>
    <w:tmpl w:val="836C579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67A70BB"/>
    <w:multiLevelType w:val="hybridMultilevel"/>
    <w:tmpl w:val="F1D65D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40226F6"/>
    <w:multiLevelType w:val="multilevel"/>
    <w:tmpl w:val="D8C69EFC"/>
    <w:lvl w:ilvl="0">
      <w:start w:val="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5724029"/>
    <w:multiLevelType w:val="hybridMultilevel"/>
    <w:tmpl w:val="3614F77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5C7D7A6F"/>
    <w:multiLevelType w:val="hybridMultilevel"/>
    <w:tmpl w:val="76D2E3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647C39D8"/>
    <w:multiLevelType w:val="hybridMultilevel"/>
    <w:tmpl w:val="AD925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8D6D85"/>
    <w:multiLevelType w:val="hybridMultilevel"/>
    <w:tmpl w:val="E4B0B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89278905">
    <w:abstractNumId w:val="0"/>
  </w:num>
  <w:num w:numId="2" w16cid:durableId="1196886541">
    <w:abstractNumId w:val="8"/>
  </w:num>
  <w:num w:numId="3" w16cid:durableId="13730767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65628213">
    <w:abstractNumId w:val="9"/>
  </w:num>
  <w:num w:numId="5" w16cid:durableId="1305936199">
    <w:abstractNumId w:val="6"/>
  </w:num>
  <w:num w:numId="6" w16cid:durableId="188572640">
    <w:abstractNumId w:val="7"/>
  </w:num>
  <w:num w:numId="7" w16cid:durableId="1713071869">
    <w:abstractNumId w:val="3"/>
  </w:num>
  <w:num w:numId="8" w16cid:durableId="2073965124">
    <w:abstractNumId w:val="7"/>
  </w:num>
  <w:num w:numId="9" w16cid:durableId="1373732141">
    <w:abstractNumId w:val="1"/>
  </w:num>
  <w:num w:numId="10" w16cid:durableId="1689403671">
    <w:abstractNumId w:val="5"/>
  </w:num>
  <w:num w:numId="11" w16cid:durableId="716246323">
    <w:abstractNumId w:val="2"/>
  </w:num>
  <w:num w:numId="12" w16cid:durableId="4570728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5B2"/>
    <w:rsid w:val="000014A7"/>
    <w:rsid w:val="000303C2"/>
    <w:rsid w:val="00042F66"/>
    <w:rsid w:val="000430F9"/>
    <w:rsid w:val="000543CB"/>
    <w:rsid w:val="0005488B"/>
    <w:rsid w:val="000571B8"/>
    <w:rsid w:val="00072763"/>
    <w:rsid w:val="0007583D"/>
    <w:rsid w:val="00076A36"/>
    <w:rsid w:val="000863D5"/>
    <w:rsid w:val="00093002"/>
    <w:rsid w:val="000937FD"/>
    <w:rsid w:val="000A6A4E"/>
    <w:rsid w:val="000B317D"/>
    <w:rsid w:val="000B5D7A"/>
    <w:rsid w:val="000C0A2F"/>
    <w:rsid w:val="000D1800"/>
    <w:rsid w:val="000D3395"/>
    <w:rsid w:val="000E21B3"/>
    <w:rsid w:val="000F055B"/>
    <w:rsid w:val="000F0A7E"/>
    <w:rsid w:val="000F52FB"/>
    <w:rsid w:val="000F78E8"/>
    <w:rsid w:val="00100D13"/>
    <w:rsid w:val="00101A31"/>
    <w:rsid w:val="0010651F"/>
    <w:rsid w:val="0010678A"/>
    <w:rsid w:val="00113BF9"/>
    <w:rsid w:val="00114C7C"/>
    <w:rsid w:val="00116210"/>
    <w:rsid w:val="0012090B"/>
    <w:rsid w:val="001244BB"/>
    <w:rsid w:val="00127C7F"/>
    <w:rsid w:val="00130E43"/>
    <w:rsid w:val="001330C5"/>
    <w:rsid w:val="001447BA"/>
    <w:rsid w:val="00147292"/>
    <w:rsid w:val="0015201A"/>
    <w:rsid w:val="0015549F"/>
    <w:rsid w:val="001574C9"/>
    <w:rsid w:val="00160B8E"/>
    <w:rsid w:val="001862E7"/>
    <w:rsid w:val="00190821"/>
    <w:rsid w:val="0019270F"/>
    <w:rsid w:val="00192D45"/>
    <w:rsid w:val="00193C37"/>
    <w:rsid w:val="001943EF"/>
    <w:rsid w:val="001A1839"/>
    <w:rsid w:val="001B1388"/>
    <w:rsid w:val="001B26B9"/>
    <w:rsid w:val="001D0E24"/>
    <w:rsid w:val="001D3EDE"/>
    <w:rsid w:val="001F2CAB"/>
    <w:rsid w:val="001F4535"/>
    <w:rsid w:val="002054F8"/>
    <w:rsid w:val="00205CF8"/>
    <w:rsid w:val="00206572"/>
    <w:rsid w:val="0021534F"/>
    <w:rsid w:val="00220D04"/>
    <w:rsid w:val="002245EA"/>
    <w:rsid w:val="00225BA4"/>
    <w:rsid w:val="00230179"/>
    <w:rsid w:val="002355FF"/>
    <w:rsid w:val="00245D41"/>
    <w:rsid w:val="002651EF"/>
    <w:rsid w:val="00266DAA"/>
    <w:rsid w:val="00277343"/>
    <w:rsid w:val="00282BA6"/>
    <w:rsid w:val="00287480"/>
    <w:rsid w:val="00297C18"/>
    <w:rsid w:val="002A2675"/>
    <w:rsid w:val="002A7A15"/>
    <w:rsid w:val="002B0826"/>
    <w:rsid w:val="002B2AC1"/>
    <w:rsid w:val="002B34B6"/>
    <w:rsid w:val="002B457C"/>
    <w:rsid w:val="002B635D"/>
    <w:rsid w:val="002B6FF0"/>
    <w:rsid w:val="002C15BD"/>
    <w:rsid w:val="002C1A2F"/>
    <w:rsid w:val="002D1400"/>
    <w:rsid w:val="002D2931"/>
    <w:rsid w:val="002D694E"/>
    <w:rsid w:val="002E5E64"/>
    <w:rsid w:val="002F02CE"/>
    <w:rsid w:val="002F35B9"/>
    <w:rsid w:val="00301EFF"/>
    <w:rsid w:val="00305689"/>
    <w:rsid w:val="003064F6"/>
    <w:rsid w:val="00306F62"/>
    <w:rsid w:val="0031025C"/>
    <w:rsid w:val="0031058E"/>
    <w:rsid w:val="00311590"/>
    <w:rsid w:val="00336724"/>
    <w:rsid w:val="00343BA1"/>
    <w:rsid w:val="00350815"/>
    <w:rsid w:val="003516BF"/>
    <w:rsid w:val="00354762"/>
    <w:rsid w:val="003651D4"/>
    <w:rsid w:val="00372419"/>
    <w:rsid w:val="00374083"/>
    <w:rsid w:val="003801E9"/>
    <w:rsid w:val="00397C61"/>
    <w:rsid w:val="003A1F47"/>
    <w:rsid w:val="003A3C24"/>
    <w:rsid w:val="003B79BF"/>
    <w:rsid w:val="003B7E07"/>
    <w:rsid w:val="003C18C2"/>
    <w:rsid w:val="003C29C3"/>
    <w:rsid w:val="003C373E"/>
    <w:rsid w:val="003C4A3D"/>
    <w:rsid w:val="003C6802"/>
    <w:rsid w:val="003D0A72"/>
    <w:rsid w:val="003D2D32"/>
    <w:rsid w:val="003D2FC9"/>
    <w:rsid w:val="003D6A11"/>
    <w:rsid w:val="003E46C7"/>
    <w:rsid w:val="003E53BD"/>
    <w:rsid w:val="003F1AE3"/>
    <w:rsid w:val="003F4D50"/>
    <w:rsid w:val="003F6426"/>
    <w:rsid w:val="00406033"/>
    <w:rsid w:val="004105DF"/>
    <w:rsid w:val="004202E6"/>
    <w:rsid w:val="00431FAC"/>
    <w:rsid w:val="0043432B"/>
    <w:rsid w:val="004424B4"/>
    <w:rsid w:val="0045180C"/>
    <w:rsid w:val="00451A4C"/>
    <w:rsid w:val="00460DCC"/>
    <w:rsid w:val="00465BEC"/>
    <w:rsid w:val="0047116C"/>
    <w:rsid w:val="00471B9A"/>
    <w:rsid w:val="00475024"/>
    <w:rsid w:val="00475BD5"/>
    <w:rsid w:val="00475DE6"/>
    <w:rsid w:val="004842BD"/>
    <w:rsid w:val="00485155"/>
    <w:rsid w:val="00487A7C"/>
    <w:rsid w:val="00487C80"/>
    <w:rsid w:val="004966C0"/>
    <w:rsid w:val="00497166"/>
    <w:rsid w:val="004A5785"/>
    <w:rsid w:val="004B42EA"/>
    <w:rsid w:val="004B52B4"/>
    <w:rsid w:val="004C2D3B"/>
    <w:rsid w:val="004C748E"/>
    <w:rsid w:val="004D1CEF"/>
    <w:rsid w:val="004D2DC1"/>
    <w:rsid w:val="004D54B3"/>
    <w:rsid w:val="004E6B45"/>
    <w:rsid w:val="004F1ADF"/>
    <w:rsid w:val="0050627D"/>
    <w:rsid w:val="00512955"/>
    <w:rsid w:val="005207A0"/>
    <w:rsid w:val="00521E4A"/>
    <w:rsid w:val="00523FB2"/>
    <w:rsid w:val="00525A18"/>
    <w:rsid w:val="00526880"/>
    <w:rsid w:val="005447F7"/>
    <w:rsid w:val="00550021"/>
    <w:rsid w:val="005549E4"/>
    <w:rsid w:val="00567607"/>
    <w:rsid w:val="00575369"/>
    <w:rsid w:val="005761F3"/>
    <w:rsid w:val="0058396B"/>
    <w:rsid w:val="005847DD"/>
    <w:rsid w:val="005A19B2"/>
    <w:rsid w:val="005A3DC1"/>
    <w:rsid w:val="005B0BD1"/>
    <w:rsid w:val="005C3C6F"/>
    <w:rsid w:val="005C5663"/>
    <w:rsid w:val="005C5CEA"/>
    <w:rsid w:val="005C5F17"/>
    <w:rsid w:val="005C7B1B"/>
    <w:rsid w:val="005D1228"/>
    <w:rsid w:val="005D659B"/>
    <w:rsid w:val="005E4052"/>
    <w:rsid w:val="005E5673"/>
    <w:rsid w:val="005F0C66"/>
    <w:rsid w:val="005F1339"/>
    <w:rsid w:val="00604ED2"/>
    <w:rsid w:val="00605574"/>
    <w:rsid w:val="006165B2"/>
    <w:rsid w:val="00620FA0"/>
    <w:rsid w:val="00625C0E"/>
    <w:rsid w:val="0063077F"/>
    <w:rsid w:val="00633A5E"/>
    <w:rsid w:val="00643D53"/>
    <w:rsid w:val="006471B9"/>
    <w:rsid w:val="00647E2D"/>
    <w:rsid w:val="0065122F"/>
    <w:rsid w:val="006537A3"/>
    <w:rsid w:val="0065555F"/>
    <w:rsid w:val="00656920"/>
    <w:rsid w:val="0066337A"/>
    <w:rsid w:val="00663E11"/>
    <w:rsid w:val="00665B6F"/>
    <w:rsid w:val="00666755"/>
    <w:rsid w:val="00666957"/>
    <w:rsid w:val="0067642F"/>
    <w:rsid w:val="0067715B"/>
    <w:rsid w:val="00680441"/>
    <w:rsid w:val="00680985"/>
    <w:rsid w:val="00680B06"/>
    <w:rsid w:val="00682A8A"/>
    <w:rsid w:val="0068434D"/>
    <w:rsid w:val="006855CC"/>
    <w:rsid w:val="0069097A"/>
    <w:rsid w:val="00692A3C"/>
    <w:rsid w:val="00692ACD"/>
    <w:rsid w:val="00694E1E"/>
    <w:rsid w:val="0069722C"/>
    <w:rsid w:val="00697B25"/>
    <w:rsid w:val="006A08E3"/>
    <w:rsid w:val="006A6C81"/>
    <w:rsid w:val="006B4940"/>
    <w:rsid w:val="006C0596"/>
    <w:rsid w:val="006D4F18"/>
    <w:rsid w:val="006E357C"/>
    <w:rsid w:val="006E6DC8"/>
    <w:rsid w:val="006F4A61"/>
    <w:rsid w:val="0070497A"/>
    <w:rsid w:val="00710662"/>
    <w:rsid w:val="00713D25"/>
    <w:rsid w:val="007148BA"/>
    <w:rsid w:val="00715669"/>
    <w:rsid w:val="007156B1"/>
    <w:rsid w:val="00717115"/>
    <w:rsid w:val="00721305"/>
    <w:rsid w:val="0072145E"/>
    <w:rsid w:val="00722DA0"/>
    <w:rsid w:val="0073180E"/>
    <w:rsid w:val="007318E5"/>
    <w:rsid w:val="007335B8"/>
    <w:rsid w:val="007352B9"/>
    <w:rsid w:val="007362AB"/>
    <w:rsid w:val="00740903"/>
    <w:rsid w:val="007518F3"/>
    <w:rsid w:val="00751F28"/>
    <w:rsid w:val="00755339"/>
    <w:rsid w:val="00767A91"/>
    <w:rsid w:val="00787482"/>
    <w:rsid w:val="00790F64"/>
    <w:rsid w:val="007945B2"/>
    <w:rsid w:val="007971E1"/>
    <w:rsid w:val="007972FC"/>
    <w:rsid w:val="007B6A6D"/>
    <w:rsid w:val="007C03D2"/>
    <w:rsid w:val="007C491F"/>
    <w:rsid w:val="007C6057"/>
    <w:rsid w:val="007C68AA"/>
    <w:rsid w:val="007D4DCD"/>
    <w:rsid w:val="007F0625"/>
    <w:rsid w:val="007F25F9"/>
    <w:rsid w:val="007F47ED"/>
    <w:rsid w:val="007F5D08"/>
    <w:rsid w:val="00800412"/>
    <w:rsid w:val="00802C1D"/>
    <w:rsid w:val="008039B7"/>
    <w:rsid w:val="00806C75"/>
    <w:rsid w:val="00811F3D"/>
    <w:rsid w:val="008272D9"/>
    <w:rsid w:val="0083214D"/>
    <w:rsid w:val="00843882"/>
    <w:rsid w:val="00845905"/>
    <w:rsid w:val="00846ECE"/>
    <w:rsid w:val="00854D53"/>
    <w:rsid w:val="00860139"/>
    <w:rsid w:val="008633DD"/>
    <w:rsid w:val="00864AE8"/>
    <w:rsid w:val="00865FFB"/>
    <w:rsid w:val="008748BF"/>
    <w:rsid w:val="00880C24"/>
    <w:rsid w:val="008817B9"/>
    <w:rsid w:val="008870B9"/>
    <w:rsid w:val="0089572E"/>
    <w:rsid w:val="00896E4F"/>
    <w:rsid w:val="008B1A6D"/>
    <w:rsid w:val="008B1A79"/>
    <w:rsid w:val="008B480B"/>
    <w:rsid w:val="008B5B41"/>
    <w:rsid w:val="008B77BE"/>
    <w:rsid w:val="008E05D7"/>
    <w:rsid w:val="008E370E"/>
    <w:rsid w:val="008E3FDE"/>
    <w:rsid w:val="008E7CA6"/>
    <w:rsid w:val="008F0B10"/>
    <w:rsid w:val="008F2B70"/>
    <w:rsid w:val="008F5348"/>
    <w:rsid w:val="00901E4A"/>
    <w:rsid w:val="00904B0B"/>
    <w:rsid w:val="00907821"/>
    <w:rsid w:val="00907D3D"/>
    <w:rsid w:val="009121CF"/>
    <w:rsid w:val="0092437E"/>
    <w:rsid w:val="00926863"/>
    <w:rsid w:val="00934283"/>
    <w:rsid w:val="009347C0"/>
    <w:rsid w:val="009353B2"/>
    <w:rsid w:val="009364EB"/>
    <w:rsid w:val="009446DC"/>
    <w:rsid w:val="0096409C"/>
    <w:rsid w:val="00964DE8"/>
    <w:rsid w:val="00965FB2"/>
    <w:rsid w:val="00970E32"/>
    <w:rsid w:val="00975561"/>
    <w:rsid w:val="009763EB"/>
    <w:rsid w:val="0098012A"/>
    <w:rsid w:val="00980873"/>
    <w:rsid w:val="00981127"/>
    <w:rsid w:val="00983463"/>
    <w:rsid w:val="00983A80"/>
    <w:rsid w:val="00985293"/>
    <w:rsid w:val="009937AE"/>
    <w:rsid w:val="00996D94"/>
    <w:rsid w:val="009A1BAB"/>
    <w:rsid w:val="009A6F10"/>
    <w:rsid w:val="009B0E2A"/>
    <w:rsid w:val="009C2735"/>
    <w:rsid w:val="009C3760"/>
    <w:rsid w:val="009D0FD8"/>
    <w:rsid w:val="009D35E8"/>
    <w:rsid w:val="009D419D"/>
    <w:rsid w:val="009E17A3"/>
    <w:rsid w:val="009E1D22"/>
    <w:rsid w:val="009E32A5"/>
    <w:rsid w:val="009E3522"/>
    <w:rsid w:val="009E37F6"/>
    <w:rsid w:val="009F13B0"/>
    <w:rsid w:val="009F496F"/>
    <w:rsid w:val="00A02337"/>
    <w:rsid w:val="00A05D50"/>
    <w:rsid w:val="00A0628B"/>
    <w:rsid w:val="00A10896"/>
    <w:rsid w:val="00A235AB"/>
    <w:rsid w:val="00A3353D"/>
    <w:rsid w:val="00A34E84"/>
    <w:rsid w:val="00A55433"/>
    <w:rsid w:val="00A559DB"/>
    <w:rsid w:val="00A60B4B"/>
    <w:rsid w:val="00A60F36"/>
    <w:rsid w:val="00A64573"/>
    <w:rsid w:val="00A66FBA"/>
    <w:rsid w:val="00A761C5"/>
    <w:rsid w:val="00A763C9"/>
    <w:rsid w:val="00A94C4D"/>
    <w:rsid w:val="00A96C20"/>
    <w:rsid w:val="00A9714E"/>
    <w:rsid w:val="00A9747A"/>
    <w:rsid w:val="00AA2EEC"/>
    <w:rsid w:val="00AB264C"/>
    <w:rsid w:val="00AC2626"/>
    <w:rsid w:val="00AC5AB3"/>
    <w:rsid w:val="00AD768E"/>
    <w:rsid w:val="00AD7BA8"/>
    <w:rsid w:val="00AE320E"/>
    <w:rsid w:val="00AE6C02"/>
    <w:rsid w:val="00AF21EC"/>
    <w:rsid w:val="00AF52E7"/>
    <w:rsid w:val="00AF6D39"/>
    <w:rsid w:val="00B014F7"/>
    <w:rsid w:val="00B0470B"/>
    <w:rsid w:val="00B04C10"/>
    <w:rsid w:val="00B04DFB"/>
    <w:rsid w:val="00B1042E"/>
    <w:rsid w:val="00B1082B"/>
    <w:rsid w:val="00B149A3"/>
    <w:rsid w:val="00B16A6D"/>
    <w:rsid w:val="00B33C28"/>
    <w:rsid w:val="00B4040A"/>
    <w:rsid w:val="00B4068A"/>
    <w:rsid w:val="00B4177F"/>
    <w:rsid w:val="00B4798E"/>
    <w:rsid w:val="00B52CE7"/>
    <w:rsid w:val="00B54178"/>
    <w:rsid w:val="00B5430E"/>
    <w:rsid w:val="00B60B18"/>
    <w:rsid w:val="00B73834"/>
    <w:rsid w:val="00B7426D"/>
    <w:rsid w:val="00B75452"/>
    <w:rsid w:val="00B7577B"/>
    <w:rsid w:val="00B87039"/>
    <w:rsid w:val="00B918CF"/>
    <w:rsid w:val="00B931E4"/>
    <w:rsid w:val="00B94D80"/>
    <w:rsid w:val="00B97646"/>
    <w:rsid w:val="00BA6D47"/>
    <w:rsid w:val="00BB09F5"/>
    <w:rsid w:val="00BB41CF"/>
    <w:rsid w:val="00BB5976"/>
    <w:rsid w:val="00BC3415"/>
    <w:rsid w:val="00BC4C23"/>
    <w:rsid w:val="00BC552E"/>
    <w:rsid w:val="00BD2C7B"/>
    <w:rsid w:val="00BD3316"/>
    <w:rsid w:val="00BD6FB4"/>
    <w:rsid w:val="00BE0E3D"/>
    <w:rsid w:val="00BE567F"/>
    <w:rsid w:val="00BE5D0A"/>
    <w:rsid w:val="00BE6A66"/>
    <w:rsid w:val="00BF4542"/>
    <w:rsid w:val="00BF50A2"/>
    <w:rsid w:val="00C03D67"/>
    <w:rsid w:val="00C03E68"/>
    <w:rsid w:val="00C057EB"/>
    <w:rsid w:val="00C14A0E"/>
    <w:rsid w:val="00C24FEB"/>
    <w:rsid w:val="00C27212"/>
    <w:rsid w:val="00C317B8"/>
    <w:rsid w:val="00C42CB0"/>
    <w:rsid w:val="00C43C29"/>
    <w:rsid w:val="00C44356"/>
    <w:rsid w:val="00C463C4"/>
    <w:rsid w:val="00C6084B"/>
    <w:rsid w:val="00C62BEE"/>
    <w:rsid w:val="00C67311"/>
    <w:rsid w:val="00C80752"/>
    <w:rsid w:val="00C80D52"/>
    <w:rsid w:val="00C825D4"/>
    <w:rsid w:val="00C82F5B"/>
    <w:rsid w:val="00C83188"/>
    <w:rsid w:val="00C90B68"/>
    <w:rsid w:val="00C96CE3"/>
    <w:rsid w:val="00CA42BD"/>
    <w:rsid w:val="00CA4A97"/>
    <w:rsid w:val="00CA6A6A"/>
    <w:rsid w:val="00CA7EFE"/>
    <w:rsid w:val="00CB04D4"/>
    <w:rsid w:val="00CC30A4"/>
    <w:rsid w:val="00CC5D09"/>
    <w:rsid w:val="00CC6D56"/>
    <w:rsid w:val="00CD2473"/>
    <w:rsid w:val="00CD4963"/>
    <w:rsid w:val="00CD58A0"/>
    <w:rsid w:val="00CD7DC4"/>
    <w:rsid w:val="00CE13AA"/>
    <w:rsid w:val="00CE44B8"/>
    <w:rsid w:val="00CE606D"/>
    <w:rsid w:val="00CF127E"/>
    <w:rsid w:val="00CF17CA"/>
    <w:rsid w:val="00CF539F"/>
    <w:rsid w:val="00D02F8D"/>
    <w:rsid w:val="00D125F7"/>
    <w:rsid w:val="00D1344D"/>
    <w:rsid w:val="00D145D9"/>
    <w:rsid w:val="00D271ED"/>
    <w:rsid w:val="00D345CD"/>
    <w:rsid w:val="00D372C3"/>
    <w:rsid w:val="00D37B7A"/>
    <w:rsid w:val="00D514BA"/>
    <w:rsid w:val="00D60FAC"/>
    <w:rsid w:val="00D65CA5"/>
    <w:rsid w:val="00D710C2"/>
    <w:rsid w:val="00D81B64"/>
    <w:rsid w:val="00D82581"/>
    <w:rsid w:val="00D94282"/>
    <w:rsid w:val="00DA1FE5"/>
    <w:rsid w:val="00DA393A"/>
    <w:rsid w:val="00DB0A68"/>
    <w:rsid w:val="00DB0F1B"/>
    <w:rsid w:val="00DB1F92"/>
    <w:rsid w:val="00DB412E"/>
    <w:rsid w:val="00DB6467"/>
    <w:rsid w:val="00DB6FFF"/>
    <w:rsid w:val="00DC241F"/>
    <w:rsid w:val="00DC42BC"/>
    <w:rsid w:val="00DD16BB"/>
    <w:rsid w:val="00DD667F"/>
    <w:rsid w:val="00DE1ED8"/>
    <w:rsid w:val="00DE2967"/>
    <w:rsid w:val="00DE37CC"/>
    <w:rsid w:val="00DE53FA"/>
    <w:rsid w:val="00DF306A"/>
    <w:rsid w:val="00DF77A5"/>
    <w:rsid w:val="00E00ACE"/>
    <w:rsid w:val="00E03616"/>
    <w:rsid w:val="00E062BA"/>
    <w:rsid w:val="00E063F5"/>
    <w:rsid w:val="00E07B4A"/>
    <w:rsid w:val="00E1497A"/>
    <w:rsid w:val="00E35ED6"/>
    <w:rsid w:val="00E46DEA"/>
    <w:rsid w:val="00E471BB"/>
    <w:rsid w:val="00E50D9B"/>
    <w:rsid w:val="00E51D21"/>
    <w:rsid w:val="00E5278D"/>
    <w:rsid w:val="00E54117"/>
    <w:rsid w:val="00E54282"/>
    <w:rsid w:val="00E64650"/>
    <w:rsid w:val="00E665F0"/>
    <w:rsid w:val="00E66EA0"/>
    <w:rsid w:val="00E7101B"/>
    <w:rsid w:val="00E75433"/>
    <w:rsid w:val="00E83EF8"/>
    <w:rsid w:val="00E9207F"/>
    <w:rsid w:val="00E9772F"/>
    <w:rsid w:val="00E97F08"/>
    <w:rsid w:val="00EA348A"/>
    <w:rsid w:val="00EA3760"/>
    <w:rsid w:val="00EA4A79"/>
    <w:rsid w:val="00EB0DAC"/>
    <w:rsid w:val="00EB2C9B"/>
    <w:rsid w:val="00EC44B5"/>
    <w:rsid w:val="00EC7594"/>
    <w:rsid w:val="00ED1659"/>
    <w:rsid w:val="00ED5FA0"/>
    <w:rsid w:val="00ED627F"/>
    <w:rsid w:val="00EE277B"/>
    <w:rsid w:val="00EE45F4"/>
    <w:rsid w:val="00EF5252"/>
    <w:rsid w:val="00EF626F"/>
    <w:rsid w:val="00F00150"/>
    <w:rsid w:val="00F00E38"/>
    <w:rsid w:val="00F01E3E"/>
    <w:rsid w:val="00F02F0F"/>
    <w:rsid w:val="00F03088"/>
    <w:rsid w:val="00F10F74"/>
    <w:rsid w:val="00F15058"/>
    <w:rsid w:val="00F153F6"/>
    <w:rsid w:val="00F215EF"/>
    <w:rsid w:val="00F35E49"/>
    <w:rsid w:val="00F37C0F"/>
    <w:rsid w:val="00F4591E"/>
    <w:rsid w:val="00F4778A"/>
    <w:rsid w:val="00F522DA"/>
    <w:rsid w:val="00F56D3B"/>
    <w:rsid w:val="00F60D35"/>
    <w:rsid w:val="00F64F96"/>
    <w:rsid w:val="00F716D2"/>
    <w:rsid w:val="00F85358"/>
    <w:rsid w:val="00F85531"/>
    <w:rsid w:val="00F86D96"/>
    <w:rsid w:val="00FA0C8B"/>
    <w:rsid w:val="00FA2025"/>
    <w:rsid w:val="00FA27AD"/>
    <w:rsid w:val="00FA6038"/>
    <w:rsid w:val="00FC1396"/>
    <w:rsid w:val="00FC7487"/>
    <w:rsid w:val="00FD2F59"/>
    <w:rsid w:val="00FD66D5"/>
    <w:rsid w:val="00FD6AE0"/>
    <w:rsid w:val="00FE52DE"/>
    <w:rsid w:val="00FF75E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95EFE"/>
  <w15:chartTrackingRefBased/>
  <w15:docId w15:val="{C2F6F2F9-FBAB-4D3E-9F89-B8FAC25C5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44D"/>
    <w:pPr>
      <w:spacing w:after="200" w:line="276" w:lineRule="auto"/>
    </w:pPr>
    <w:rPr>
      <w:rFonts w:eastAsiaTheme="minorHAnsi"/>
      <w:lang w:eastAsia="en-US"/>
    </w:rPr>
  </w:style>
  <w:style w:type="paragraph" w:styleId="Heading1">
    <w:name w:val="heading 1"/>
    <w:basedOn w:val="Normal"/>
    <w:next w:val="Normal"/>
    <w:link w:val="Heading1Char"/>
    <w:uiPriority w:val="9"/>
    <w:qFormat/>
    <w:rsid w:val="002C1A2F"/>
    <w:pPr>
      <w:keepNext/>
      <w:keepLines/>
      <w:widowControl w:val="0"/>
      <w:spacing w:before="480" w:after="120" w:line="259" w:lineRule="auto"/>
      <w:jc w:val="both"/>
      <w:outlineLvl w:val="0"/>
    </w:pPr>
    <w:rPr>
      <w:rFonts w:ascii="Calibri" w:eastAsia="SimSun" w:hAnsi="Calibri" w:cs="Calibri"/>
      <w:b/>
      <w:sz w:val="48"/>
      <w:szCs w:val="48"/>
      <w:lang w:eastAsia="zh-CN"/>
    </w:rPr>
  </w:style>
  <w:style w:type="paragraph" w:styleId="Heading2">
    <w:name w:val="heading 2"/>
    <w:basedOn w:val="Normal"/>
    <w:next w:val="Normal"/>
    <w:link w:val="Heading2Char"/>
    <w:uiPriority w:val="9"/>
    <w:unhideWhenUsed/>
    <w:qFormat/>
    <w:rsid w:val="002C1A2F"/>
    <w:pPr>
      <w:keepNext/>
      <w:keepLines/>
      <w:widowControl w:val="0"/>
      <w:spacing w:before="360" w:after="80" w:line="259" w:lineRule="auto"/>
      <w:jc w:val="both"/>
      <w:outlineLvl w:val="1"/>
    </w:pPr>
    <w:rPr>
      <w:rFonts w:ascii="Calibri" w:eastAsia="SimSun" w:hAnsi="Calibri" w:cs="Calibri"/>
      <w:b/>
      <w:sz w:val="36"/>
      <w:szCs w:val="36"/>
      <w:lang w:eastAsia="zh-CN"/>
    </w:rPr>
  </w:style>
  <w:style w:type="paragraph" w:styleId="Heading3">
    <w:name w:val="heading 3"/>
    <w:basedOn w:val="Normal"/>
    <w:next w:val="Normal"/>
    <w:link w:val="Heading3Char"/>
    <w:uiPriority w:val="9"/>
    <w:unhideWhenUsed/>
    <w:qFormat/>
    <w:rsid w:val="002C1A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C1A2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1A2F"/>
    <w:pPr>
      <w:keepNext/>
      <w:keepLines/>
      <w:widowControl w:val="0"/>
      <w:spacing w:before="220" w:after="40" w:line="259" w:lineRule="auto"/>
      <w:jc w:val="both"/>
      <w:outlineLvl w:val="4"/>
    </w:pPr>
    <w:rPr>
      <w:rFonts w:ascii="Calibri" w:eastAsia="SimSun" w:hAnsi="Calibri" w:cs="Calibri"/>
      <w:b/>
      <w:lang w:eastAsia="zh-CN"/>
    </w:rPr>
  </w:style>
  <w:style w:type="paragraph" w:styleId="Heading6">
    <w:name w:val="heading 6"/>
    <w:basedOn w:val="Normal"/>
    <w:next w:val="Normal"/>
    <w:link w:val="Heading6Char"/>
    <w:uiPriority w:val="9"/>
    <w:semiHidden/>
    <w:unhideWhenUsed/>
    <w:qFormat/>
    <w:rsid w:val="002C1A2F"/>
    <w:pPr>
      <w:keepNext/>
      <w:keepLines/>
      <w:widowControl w:val="0"/>
      <w:spacing w:before="200" w:after="40" w:line="259" w:lineRule="auto"/>
      <w:jc w:val="both"/>
      <w:outlineLvl w:val="5"/>
    </w:pPr>
    <w:rPr>
      <w:rFonts w:ascii="Calibri" w:eastAsia="SimSun" w:hAnsi="Calibri" w:cs="Calibri"/>
      <w:b/>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357C"/>
    <w:rPr>
      <w:color w:val="0563C1" w:themeColor="hyperlink"/>
      <w:u w:val="single"/>
    </w:rPr>
  </w:style>
  <w:style w:type="character" w:customStyle="1" w:styleId="Heading1Char">
    <w:name w:val="Heading 1 Char"/>
    <w:basedOn w:val="DefaultParagraphFont"/>
    <w:link w:val="Heading1"/>
    <w:uiPriority w:val="9"/>
    <w:rsid w:val="002C1A2F"/>
    <w:rPr>
      <w:rFonts w:ascii="Calibri" w:eastAsia="SimSun" w:hAnsi="Calibri" w:cs="Calibri"/>
      <w:b/>
      <w:sz w:val="48"/>
      <w:szCs w:val="48"/>
    </w:rPr>
  </w:style>
  <w:style w:type="character" w:customStyle="1" w:styleId="Heading2Char">
    <w:name w:val="Heading 2 Char"/>
    <w:basedOn w:val="DefaultParagraphFont"/>
    <w:link w:val="Heading2"/>
    <w:uiPriority w:val="9"/>
    <w:rsid w:val="002C1A2F"/>
    <w:rPr>
      <w:rFonts w:ascii="Calibri" w:eastAsia="SimSun" w:hAnsi="Calibri" w:cs="Calibri"/>
      <w:b/>
      <w:sz w:val="36"/>
      <w:szCs w:val="36"/>
    </w:rPr>
  </w:style>
  <w:style w:type="paragraph" w:styleId="ListParagraph">
    <w:name w:val="List Paragraph"/>
    <w:basedOn w:val="Normal"/>
    <w:uiPriority w:val="34"/>
    <w:qFormat/>
    <w:rsid w:val="002C1A2F"/>
    <w:pPr>
      <w:widowControl w:val="0"/>
      <w:spacing w:after="160" w:line="259" w:lineRule="auto"/>
      <w:ind w:left="720"/>
      <w:contextualSpacing/>
      <w:jc w:val="both"/>
    </w:pPr>
    <w:rPr>
      <w:rFonts w:ascii="Calibri" w:eastAsia="SimSun" w:hAnsi="Calibri" w:cs="Calibri"/>
      <w:lang w:eastAsia="zh-CN"/>
    </w:rPr>
  </w:style>
  <w:style w:type="character" w:styleId="CommentReference">
    <w:name w:val="annotation reference"/>
    <w:basedOn w:val="DefaultParagraphFont"/>
    <w:uiPriority w:val="99"/>
    <w:semiHidden/>
    <w:unhideWhenUsed/>
    <w:qFormat/>
    <w:rsid w:val="002C1A2F"/>
    <w:rPr>
      <w:sz w:val="16"/>
      <w:szCs w:val="16"/>
    </w:rPr>
  </w:style>
  <w:style w:type="paragraph" w:styleId="CommentText">
    <w:name w:val="annotation text"/>
    <w:basedOn w:val="Normal"/>
    <w:link w:val="CommentTextChar"/>
    <w:uiPriority w:val="99"/>
    <w:unhideWhenUsed/>
    <w:rsid w:val="002C1A2F"/>
    <w:pPr>
      <w:widowControl w:val="0"/>
      <w:spacing w:after="160" w:line="240" w:lineRule="auto"/>
      <w:jc w:val="both"/>
    </w:pPr>
    <w:rPr>
      <w:rFonts w:ascii="Calibri" w:eastAsia="SimSun" w:hAnsi="Calibri" w:cs="Calibri"/>
      <w:sz w:val="20"/>
      <w:szCs w:val="20"/>
      <w:lang w:eastAsia="zh-CN"/>
    </w:rPr>
  </w:style>
  <w:style w:type="character" w:customStyle="1" w:styleId="CommentTextChar">
    <w:name w:val="Comment Text Char"/>
    <w:basedOn w:val="DefaultParagraphFont"/>
    <w:link w:val="CommentText"/>
    <w:uiPriority w:val="99"/>
    <w:rsid w:val="002C1A2F"/>
    <w:rPr>
      <w:rFonts w:ascii="Calibri" w:eastAsia="SimSun" w:hAnsi="Calibri" w:cs="Calibri"/>
      <w:sz w:val="20"/>
      <w:szCs w:val="20"/>
    </w:rPr>
  </w:style>
  <w:style w:type="character" w:customStyle="1" w:styleId="Heading3Char">
    <w:name w:val="Heading 3 Char"/>
    <w:basedOn w:val="DefaultParagraphFont"/>
    <w:link w:val="Heading3"/>
    <w:uiPriority w:val="9"/>
    <w:rsid w:val="002C1A2F"/>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uiPriority w:val="9"/>
    <w:rsid w:val="002C1A2F"/>
    <w:rPr>
      <w:rFonts w:asciiTheme="majorHAnsi" w:eastAsiaTheme="majorEastAsia" w:hAnsiTheme="majorHAnsi" w:cstheme="majorBidi"/>
      <w:i/>
      <w:iCs/>
      <w:color w:val="2F5496" w:themeColor="accent1" w:themeShade="BF"/>
      <w:lang w:eastAsia="en-US"/>
    </w:rPr>
  </w:style>
  <w:style w:type="character" w:customStyle="1" w:styleId="Heading5Char">
    <w:name w:val="Heading 5 Char"/>
    <w:basedOn w:val="DefaultParagraphFont"/>
    <w:link w:val="Heading5"/>
    <w:uiPriority w:val="9"/>
    <w:semiHidden/>
    <w:rsid w:val="002C1A2F"/>
    <w:rPr>
      <w:rFonts w:ascii="Calibri" w:eastAsia="SimSun" w:hAnsi="Calibri" w:cs="Calibri"/>
      <w:b/>
    </w:rPr>
  </w:style>
  <w:style w:type="character" w:customStyle="1" w:styleId="Heading6Char">
    <w:name w:val="Heading 6 Char"/>
    <w:basedOn w:val="DefaultParagraphFont"/>
    <w:link w:val="Heading6"/>
    <w:uiPriority w:val="9"/>
    <w:semiHidden/>
    <w:rsid w:val="002C1A2F"/>
    <w:rPr>
      <w:rFonts w:ascii="Calibri" w:eastAsia="SimSun" w:hAnsi="Calibri" w:cs="Calibri"/>
      <w:b/>
      <w:sz w:val="20"/>
      <w:szCs w:val="20"/>
    </w:rPr>
  </w:style>
  <w:style w:type="paragraph" w:styleId="Title">
    <w:name w:val="Title"/>
    <w:basedOn w:val="Normal"/>
    <w:next w:val="Normal"/>
    <w:link w:val="TitleChar"/>
    <w:uiPriority w:val="10"/>
    <w:qFormat/>
    <w:rsid w:val="002C1A2F"/>
    <w:pPr>
      <w:keepNext/>
      <w:keepLines/>
      <w:widowControl w:val="0"/>
      <w:spacing w:before="480" w:after="120" w:line="259" w:lineRule="auto"/>
      <w:jc w:val="both"/>
    </w:pPr>
    <w:rPr>
      <w:rFonts w:ascii="Calibri" w:eastAsia="SimSun" w:hAnsi="Calibri" w:cs="Calibri"/>
      <w:b/>
      <w:sz w:val="72"/>
      <w:szCs w:val="72"/>
      <w:lang w:eastAsia="zh-CN"/>
    </w:rPr>
  </w:style>
  <w:style w:type="character" w:customStyle="1" w:styleId="TitleChar">
    <w:name w:val="Title Char"/>
    <w:basedOn w:val="DefaultParagraphFont"/>
    <w:link w:val="Title"/>
    <w:uiPriority w:val="10"/>
    <w:rsid w:val="002C1A2F"/>
    <w:rPr>
      <w:rFonts w:ascii="Calibri" w:eastAsia="SimSun" w:hAnsi="Calibri" w:cs="Calibri"/>
      <w:b/>
      <w:sz w:val="72"/>
      <w:szCs w:val="72"/>
    </w:rPr>
  </w:style>
  <w:style w:type="paragraph" w:styleId="BalloonText">
    <w:name w:val="Balloon Text"/>
    <w:basedOn w:val="Normal"/>
    <w:link w:val="BalloonTextChar"/>
    <w:uiPriority w:val="99"/>
    <w:semiHidden/>
    <w:unhideWhenUsed/>
    <w:rsid w:val="002C1A2F"/>
    <w:pPr>
      <w:widowControl w:val="0"/>
      <w:spacing w:after="0" w:line="240" w:lineRule="auto"/>
      <w:jc w:val="both"/>
    </w:pPr>
    <w:rPr>
      <w:rFonts w:ascii="Segoe UI" w:eastAsia="SimSun" w:hAnsi="Segoe UI" w:cs="Segoe UI"/>
      <w:sz w:val="18"/>
      <w:szCs w:val="18"/>
      <w:lang w:eastAsia="zh-CN"/>
    </w:rPr>
  </w:style>
  <w:style w:type="character" w:customStyle="1" w:styleId="BalloonTextChar">
    <w:name w:val="Balloon Text Char"/>
    <w:basedOn w:val="DefaultParagraphFont"/>
    <w:link w:val="BalloonText"/>
    <w:uiPriority w:val="99"/>
    <w:semiHidden/>
    <w:rsid w:val="002C1A2F"/>
    <w:rPr>
      <w:rFonts w:ascii="Segoe UI" w:eastAsia="SimSun" w:hAnsi="Segoe UI" w:cs="Segoe UI"/>
      <w:sz w:val="18"/>
      <w:szCs w:val="18"/>
    </w:rPr>
  </w:style>
  <w:style w:type="paragraph" w:styleId="Subtitle">
    <w:name w:val="Subtitle"/>
    <w:basedOn w:val="Normal"/>
    <w:next w:val="Normal"/>
    <w:link w:val="SubtitleChar"/>
    <w:uiPriority w:val="11"/>
    <w:qFormat/>
    <w:rsid w:val="002C1A2F"/>
    <w:pPr>
      <w:keepNext/>
      <w:keepLines/>
      <w:widowControl w:val="0"/>
      <w:spacing w:before="360" w:after="80" w:line="259" w:lineRule="auto"/>
      <w:jc w:val="both"/>
    </w:pPr>
    <w:rPr>
      <w:rFonts w:ascii="Georgia" w:eastAsia="Georgia" w:hAnsi="Georgia" w:cs="Georgia"/>
      <w:i/>
      <w:color w:val="666666"/>
      <w:sz w:val="48"/>
      <w:szCs w:val="48"/>
      <w:lang w:eastAsia="zh-CN"/>
    </w:rPr>
  </w:style>
  <w:style w:type="character" w:customStyle="1" w:styleId="SubtitleChar">
    <w:name w:val="Subtitle Char"/>
    <w:basedOn w:val="DefaultParagraphFont"/>
    <w:link w:val="Subtitle"/>
    <w:uiPriority w:val="11"/>
    <w:rsid w:val="002C1A2F"/>
    <w:rPr>
      <w:rFonts w:ascii="Georgia" w:eastAsia="Georgia" w:hAnsi="Georgia" w:cs="Georgia"/>
      <w:i/>
      <w:color w:val="666666"/>
      <w:sz w:val="48"/>
      <w:szCs w:val="48"/>
    </w:rPr>
  </w:style>
  <w:style w:type="paragraph" w:styleId="Bibliography">
    <w:name w:val="Bibliography"/>
    <w:basedOn w:val="Normal"/>
    <w:next w:val="Normal"/>
    <w:uiPriority w:val="37"/>
    <w:unhideWhenUsed/>
    <w:rsid w:val="002C1A2F"/>
    <w:pPr>
      <w:widowControl w:val="0"/>
      <w:spacing w:after="0" w:line="480" w:lineRule="auto"/>
      <w:ind w:left="720" w:hanging="720"/>
      <w:jc w:val="both"/>
    </w:pPr>
    <w:rPr>
      <w:rFonts w:ascii="Calibri" w:eastAsia="SimSun" w:hAnsi="Calibri" w:cs="Calibri"/>
      <w:lang w:eastAsia="zh-CN"/>
    </w:rPr>
  </w:style>
  <w:style w:type="table" w:styleId="TableGrid">
    <w:name w:val="Table Grid"/>
    <w:basedOn w:val="TableNormal"/>
    <w:uiPriority w:val="39"/>
    <w:rsid w:val="002C1A2F"/>
    <w:pPr>
      <w:widowControl w:val="0"/>
      <w:spacing w:after="0" w:line="240" w:lineRule="auto"/>
      <w:jc w:val="both"/>
    </w:pPr>
    <w:rPr>
      <w:rFonts w:ascii="Calibri" w:eastAsia="SimSu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C1A2F"/>
    <w:pPr>
      <w:widowControl w:val="0"/>
      <w:spacing w:after="0" w:line="240" w:lineRule="auto"/>
      <w:jc w:val="both"/>
    </w:pPr>
    <w:rPr>
      <w:rFonts w:ascii="Calibri" w:eastAsia="SimSun" w:hAnsi="Calibri" w:cs="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uiPriority w:val="99"/>
    <w:semiHidden/>
    <w:unhideWhenUsed/>
    <w:rsid w:val="002C1A2F"/>
    <w:rPr>
      <w:b/>
      <w:bCs/>
    </w:rPr>
  </w:style>
  <w:style w:type="character" w:customStyle="1" w:styleId="CommentSubjectChar">
    <w:name w:val="Comment Subject Char"/>
    <w:basedOn w:val="CommentTextChar"/>
    <w:link w:val="CommentSubject"/>
    <w:uiPriority w:val="99"/>
    <w:semiHidden/>
    <w:rsid w:val="002C1A2F"/>
    <w:rPr>
      <w:rFonts w:ascii="Calibri" w:eastAsia="SimSun" w:hAnsi="Calibri" w:cs="Calibri"/>
      <w:b/>
      <w:bCs/>
      <w:sz w:val="20"/>
      <w:szCs w:val="20"/>
    </w:rPr>
  </w:style>
  <w:style w:type="table" w:styleId="PlainTable5">
    <w:name w:val="Plain Table 5"/>
    <w:basedOn w:val="TableNormal"/>
    <w:uiPriority w:val="45"/>
    <w:rsid w:val="002C1A2F"/>
    <w:pPr>
      <w:widowControl w:val="0"/>
      <w:spacing w:after="0" w:line="240" w:lineRule="auto"/>
      <w:jc w:val="both"/>
    </w:pPr>
    <w:rPr>
      <w:rFonts w:ascii="Calibri" w:eastAsia="SimSun" w:hAnsi="Calibri" w:cs="Calibr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2C1A2F"/>
    <w:pPr>
      <w:spacing w:after="0" w:line="240" w:lineRule="auto"/>
    </w:pPr>
    <w:rPr>
      <w:rFonts w:ascii="Calibri" w:eastAsia="SimSun" w:hAnsi="Calibri" w:cs="Calibri"/>
    </w:rPr>
  </w:style>
  <w:style w:type="paragraph" w:styleId="TOCHeading">
    <w:name w:val="TOC Heading"/>
    <w:basedOn w:val="Heading1"/>
    <w:next w:val="Normal"/>
    <w:uiPriority w:val="39"/>
    <w:unhideWhenUsed/>
    <w:qFormat/>
    <w:rsid w:val="002C1A2F"/>
    <w:pPr>
      <w:widowControl/>
      <w:spacing w:before="240" w:after="0"/>
      <w:jc w:val="left"/>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5B0BD1"/>
    <w:pPr>
      <w:widowControl w:val="0"/>
      <w:tabs>
        <w:tab w:val="right" w:leader="dot" w:pos="9016"/>
      </w:tabs>
      <w:spacing w:after="100" w:line="360" w:lineRule="auto"/>
      <w:jc w:val="both"/>
    </w:pPr>
    <w:rPr>
      <w:rFonts w:ascii="Calibri" w:eastAsia="SimSun" w:hAnsi="Calibri" w:cs="Calibri"/>
      <w:lang w:eastAsia="zh-CN"/>
    </w:rPr>
  </w:style>
  <w:style w:type="paragraph" w:styleId="TOC2">
    <w:name w:val="toc 2"/>
    <w:basedOn w:val="Normal"/>
    <w:next w:val="Normal"/>
    <w:autoRedefine/>
    <w:uiPriority w:val="39"/>
    <w:unhideWhenUsed/>
    <w:rsid w:val="00AC2626"/>
    <w:pPr>
      <w:widowControl w:val="0"/>
      <w:tabs>
        <w:tab w:val="right" w:leader="dot" w:pos="9016"/>
      </w:tabs>
      <w:spacing w:after="100" w:line="259" w:lineRule="auto"/>
      <w:ind w:left="220"/>
      <w:jc w:val="both"/>
    </w:pPr>
    <w:rPr>
      <w:rFonts w:ascii="Calibri" w:eastAsia="SimSun" w:hAnsi="Calibri" w:cs="Calibri"/>
      <w:lang w:eastAsia="zh-CN"/>
    </w:rPr>
  </w:style>
  <w:style w:type="paragraph" w:styleId="TOC3">
    <w:name w:val="toc 3"/>
    <w:basedOn w:val="Normal"/>
    <w:next w:val="Normal"/>
    <w:autoRedefine/>
    <w:uiPriority w:val="39"/>
    <w:unhideWhenUsed/>
    <w:rsid w:val="002C1A2F"/>
    <w:pPr>
      <w:widowControl w:val="0"/>
      <w:spacing w:after="100" w:line="259" w:lineRule="auto"/>
      <w:ind w:left="440"/>
      <w:jc w:val="both"/>
    </w:pPr>
    <w:rPr>
      <w:rFonts w:ascii="Calibri" w:eastAsia="SimSun" w:hAnsi="Calibri" w:cs="Calibri"/>
      <w:lang w:eastAsia="zh-CN"/>
    </w:rPr>
  </w:style>
  <w:style w:type="paragraph" w:styleId="Header">
    <w:name w:val="header"/>
    <w:basedOn w:val="Normal"/>
    <w:link w:val="HeaderChar"/>
    <w:uiPriority w:val="99"/>
    <w:unhideWhenUsed/>
    <w:rsid w:val="002C1A2F"/>
    <w:pPr>
      <w:widowControl w:val="0"/>
      <w:tabs>
        <w:tab w:val="center" w:pos="4680"/>
        <w:tab w:val="right" w:pos="9360"/>
      </w:tabs>
      <w:spacing w:after="0" w:line="240" w:lineRule="auto"/>
      <w:jc w:val="both"/>
    </w:pPr>
    <w:rPr>
      <w:rFonts w:ascii="Calibri" w:eastAsia="SimSun" w:hAnsi="Calibri" w:cs="Calibri"/>
      <w:lang w:eastAsia="zh-CN"/>
    </w:rPr>
  </w:style>
  <w:style w:type="character" w:customStyle="1" w:styleId="HeaderChar">
    <w:name w:val="Header Char"/>
    <w:basedOn w:val="DefaultParagraphFont"/>
    <w:link w:val="Header"/>
    <w:uiPriority w:val="99"/>
    <w:rsid w:val="002C1A2F"/>
    <w:rPr>
      <w:rFonts w:ascii="Calibri" w:eastAsia="SimSun" w:hAnsi="Calibri" w:cs="Calibri"/>
    </w:rPr>
  </w:style>
  <w:style w:type="paragraph" w:styleId="Footer">
    <w:name w:val="footer"/>
    <w:basedOn w:val="Normal"/>
    <w:link w:val="FooterChar"/>
    <w:uiPriority w:val="99"/>
    <w:unhideWhenUsed/>
    <w:rsid w:val="002C1A2F"/>
    <w:pPr>
      <w:widowControl w:val="0"/>
      <w:tabs>
        <w:tab w:val="center" w:pos="4680"/>
        <w:tab w:val="right" w:pos="9360"/>
      </w:tabs>
      <w:spacing w:after="0" w:line="240" w:lineRule="auto"/>
      <w:jc w:val="both"/>
    </w:pPr>
    <w:rPr>
      <w:rFonts w:ascii="Calibri" w:eastAsia="SimSun" w:hAnsi="Calibri" w:cs="Calibri"/>
      <w:lang w:eastAsia="zh-CN"/>
    </w:rPr>
  </w:style>
  <w:style w:type="character" w:customStyle="1" w:styleId="FooterChar">
    <w:name w:val="Footer Char"/>
    <w:basedOn w:val="DefaultParagraphFont"/>
    <w:link w:val="Footer"/>
    <w:uiPriority w:val="99"/>
    <w:rsid w:val="002C1A2F"/>
    <w:rPr>
      <w:rFonts w:ascii="Calibri" w:eastAsia="SimSun" w:hAnsi="Calibri" w:cs="Calibri"/>
    </w:rPr>
  </w:style>
  <w:style w:type="character" w:styleId="FollowedHyperlink">
    <w:name w:val="FollowedHyperlink"/>
    <w:basedOn w:val="DefaultParagraphFont"/>
    <w:uiPriority w:val="99"/>
    <w:semiHidden/>
    <w:unhideWhenUsed/>
    <w:rsid w:val="002C1A2F"/>
    <w:rPr>
      <w:color w:val="954F72" w:themeColor="followedHyperlink"/>
      <w:u w:val="single"/>
    </w:rPr>
  </w:style>
  <w:style w:type="table" w:styleId="PlainTable3">
    <w:name w:val="Plain Table 3"/>
    <w:basedOn w:val="TableNormal"/>
    <w:uiPriority w:val="43"/>
    <w:rsid w:val="002C1A2F"/>
    <w:pPr>
      <w:widowControl w:val="0"/>
      <w:spacing w:after="0" w:line="240" w:lineRule="auto"/>
      <w:jc w:val="both"/>
    </w:pPr>
    <w:rPr>
      <w:rFonts w:ascii="Calibri" w:eastAsia="SimSun" w:hAnsi="Calibri" w:cs="Calibr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C1A2F"/>
    <w:pPr>
      <w:widowControl w:val="0"/>
      <w:spacing w:after="0" w:line="240" w:lineRule="auto"/>
      <w:jc w:val="both"/>
    </w:pPr>
    <w:rPr>
      <w:rFonts w:ascii="Calibri" w:eastAsia="SimSun" w:hAnsi="Calibri" w:cs="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2C1A2F"/>
    <w:rPr>
      <w:color w:val="605E5C"/>
      <w:shd w:val="clear" w:color="auto" w:fill="E1DFDD"/>
    </w:rPr>
  </w:style>
  <w:style w:type="paragraph" w:customStyle="1" w:styleId="msonormal0">
    <w:name w:val="msonormal"/>
    <w:basedOn w:val="Normal"/>
    <w:rsid w:val="002C1A2F"/>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Caption">
    <w:name w:val="caption"/>
    <w:basedOn w:val="Normal"/>
    <w:next w:val="Normal"/>
    <w:uiPriority w:val="35"/>
    <w:unhideWhenUsed/>
    <w:qFormat/>
    <w:rsid w:val="002C1A2F"/>
    <w:pPr>
      <w:spacing w:line="240" w:lineRule="auto"/>
    </w:pPr>
    <w:rPr>
      <w:rFonts w:eastAsiaTheme="minorEastAsia"/>
      <w:i/>
      <w:iCs/>
      <w:color w:val="44546A" w:themeColor="text2"/>
      <w:sz w:val="18"/>
      <w:szCs w:val="18"/>
      <w:lang w:eastAsia="zh-CN"/>
    </w:rPr>
  </w:style>
  <w:style w:type="paragraph" w:styleId="Date">
    <w:name w:val="Date"/>
    <w:basedOn w:val="Normal"/>
    <w:next w:val="Normal"/>
    <w:link w:val="DateChar"/>
    <w:uiPriority w:val="99"/>
    <w:semiHidden/>
    <w:unhideWhenUsed/>
    <w:rsid w:val="002C1A2F"/>
    <w:pPr>
      <w:spacing w:after="0" w:line="240" w:lineRule="auto"/>
    </w:pPr>
    <w:rPr>
      <w:rFonts w:ascii="Times New Roman" w:eastAsia="Times New Roman" w:hAnsi="Times New Roman" w:cs="Times New Roman"/>
      <w:sz w:val="24"/>
      <w:szCs w:val="24"/>
      <w:lang w:eastAsia="zh-CN"/>
    </w:rPr>
  </w:style>
  <w:style w:type="character" w:customStyle="1" w:styleId="DateChar">
    <w:name w:val="Date Char"/>
    <w:basedOn w:val="DefaultParagraphFont"/>
    <w:link w:val="Date"/>
    <w:uiPriority w:val="99"/>
    <w:semiHidden/>
    <w:rsid w:val="002C1A2F"/>
    <w:rPr>
      <w:rFonts w:ascii="Times New Roman" w:eastAsia="Times New Roman" w:hAnsi="Times New Roman" w:cs="Times New Roman"/>
      <w:sz w:val="24"/>
      <w:szCs w:val="24"/>
    </w:rPr>
  </w:style>
  <w:style w:type="paragraph" w:styleId="NormalWeb">
    <w:name w:val="Normal (Web)"/>
    <w:basedOn w:val="Normal"/>
    <w:uiPriority w:val="99"/>
    <w:semiHidden/>
    <w:unhideWhenUsed/>
    <w:rsid w:val="002C1A2F"/>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PageNumber">
    <w:name w:val="page number"/>
    <w:basedOn w:val="DefaultParagraphFont"/>
    <w:uiPriority w:val="99"/>
    <w:semiHidden/>
    <w:unhideWhenUsed/>
    <w:rsid w:val="002C1A2F"/>
  </w:style>
  <w:style w:type="paragraph" w:styleId="TOC4">
    <w:name w:val="toc 4"/>
    <w:basedOn w:val="Normal"/>
    <w:next w:val="Normal"/>
    <w:autoRedefine/>
    <w:uiPriority w:val="39"/>
    <w:unhideWhenUsed/>
    <w:rsid w:val="002C1A2F"/>
    <w:pPr>
      <w:spacing w:after="100" w:line="259" w:lineRule="auto"/>
      <w:ind w:left="660"/>
    </w:pPr>
    <w:rPr>
      <w:rFonts w:eastAsiaTheme="minorEastAsia"/>
      <w:lang w:eastAsia="zh-CN"/>
    </w:rPr>
  </w:style>
  <w:style w:type="paragraph" w:styleId="TOC5">
    <w:name w:val="toc 5"/>
    <w:basedOn w:val="Normal"/>
    <w:next w:val="Normal"/>
    <w:autoRedefine/>
    <w:uiPriority w:val="39"/>
    <w:unhideWhenUsed/>
    <w:rsid w:val="002C1A2F"/>
    <w:pPr>
      <w:spacing w:after="100" w:line="259" w:lineRule="auto"/>
      <w:ind w:left="880"/>
    </w:pPr>
    <w:rPr>
      <w:rFonts w:eastAsiaTheme="minorEastAsia"/>
      <w:lang w:eastAsia="zh-CN"/>
    </w:rPr>
  </w:style>
  <w:style w:type="paragraph" w:styleId="TOC6">
    <w:name w:val="toc 6"/>
    <w:basedOn w:val="Normal"/>
    <w:next w:val="Normal"/>
    <w:autoRedefine/>
    <w:uiPriority w:val="39"/>
    <w:unhideWhenUsed/>
    <w:rsid w:val="002C1A2F"/>
    <w:pPr>
      <w:spacing w:after="100" w:line="259" w:lineRule="auto"/>
      <w:ind w:left="1100"/>
    </w:pPr>
    <w:rPr>
      <w:rFonts w:eastAsiaTheme="minorEastAsia"/>
      <w:lang w:eastAsia="zh-CN"/>
    </w:rPr>
  </w:style>
  <w:style w:type="paragraph" w:styleId="TOC7">
    <w:name w:val="toc 7"/>
    <w:basedOn w:val="Normal"/>
    <w:next w:val="Normal"/>
    <w:autoRedefine/>
    <w:uiPriority w:val="39"/>
    <w:unhideWhenUsed/>
    <w:rsid w:val="002C1A2F"/>
    <w:pPr>
      <w:spacing w:after="100" w:line="259" w:lineRule="auto"/>
      <w:ind w:left="1320"/>
    </w:pPr>
    <w:rPr>
      <w:rFonts w:eastAsiaTheme="minorEastAsia"/>
      <w:lang w:eastAsia="zh-CN"/>
    </w:rPr>
  </w:style>
  <w:style w:type="paragraph" w:styleId="TOC8">
    <w:name w:val="toc 8"/>
    <w:basedOn w:val="Normal"/>
    <w:next w:val="Normal"/>
    <w:autoRedefine/>
    <w:uiPriority w:val="39"/>
    <w:unhideWhenUsed/>
    <w:rsid w:val="002C1A2F"/>
    <w:pPr>
      <w:spacing w:after="100" w:line="259" w:lineRule="auto"/>
      <w:ind w:left="1540"/>
    </w:pPr>
    <w:rPr>
      <w:rFonts w:eastAsiaTheme="minorEastAsia"/>
      <w:lang w:eastAsia="zh-CN"/>
    </w:rPr>
  </w:style>
  <w:style w:type="paragraph" w:styleId="TOC9">
    <w:name w:val="toc 9"/>
    <w:basedOn w:val="Normal"/>
    <w:next w:val="Normal"/>
    <w:autoRedefine/>
    <w:uiPriority w:val="39"/>
    <w:unhideWhenUsed/>
    <w:rsid w:val="002C1A2F"/>
    <w:pPr>
      <w:spacing w:after="100" w:line="259" w:lineRule="auto"/>
      <w:ind w:left="1760"/>
    </w:pPr>
    <w:rPr>
      <w:rFonts w:eastAsiaTheme="minorEastAsia"/>
      <w:lang w:eastAsia="zh-CN"/>
    </w:rPr>
  </w:style>
  <w:style w:type="paragraph" w:styleId="NoSpacing">
    <w:name w:val="No Spacing"/>
    <w:uiPriority w:val="1"/>
    <w:qFormat/>
    <w:rsid w:val="00620FA0"/>
    <w:pPr>
      <w:spacing w:after="0" w:line="240" w:lineRule="auto"/>
    </w:pPr>
    <w:rPr>
      <w:rFonts w:eastAsiaTheme="minorHAnsi"/>
      <w:lang w:eastAsia="en-US"/>
    </w:rPr>
  </w:style>
  <w:style w:type="paragraph" w:customStyle="1" w:styleId="ResumeAlignRight">
    <w:name w:val="Resume Align Right"/>
    <w:basedOn w:val="Normal"/>
    <w:rsid w:val="00E1497A"/>
    <w:pPr>
      <w:tabs>
        <w:tab w:val="right" w:pos="10080"/>
      </w:tabs>
      <w:spacing w:after="0" w:line="240" w:lineRule="auto"/>
    </w:pPr>
    <w:rPr>
      <w:rFonts w:ascii="Times New Roman" w:eastAsia="SimSun" w:hAnsi="Times New Roman" w:cs="Times New Roman"/>
      <w:sz w:val="24"/>
      <w:szCs w:val="24"/>
      <w:lang w:val="en-US" w:eastAsia="zh-CN"/>
    </w:rPr>
  </w:style>
  <w:style w:type="paragraph" w:styleId="TableofFigures">
    <w:name w:val="table of figures"/>
    <w:basedOn w:val="Normal"/>
    <w:next w:val="Normal"/>
    <w:uiPriority w:val="99"/>
    <w:unhideWhenUsed/>
    <w:rsid w:val="0010678A"/>
    <w:pPr>
      <w:spacing w:after="0"/>
    </w:pPr>
  </w:style>
  <w:style w:type="character" w:customStyle="1" w:styleId="cf01">
    <w:name w:val="cf01"/>
    <w:basedOn w:val="DefaultParagraphFont"/>
    <w:rsid w:val="00AD7BA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621873">
      <w:bodyDiv w:val="1"/>
      <w:marLeft w:val="0"/>
      <w:marRight w:val="0"/>
      <w:marTop w:val="0"/>
      <w:marBottom w:val="0"/>
      <w:divBdr>
        <w:top w:val="none" w:sz="0" w:space="0" w:color="auto"/>
        <w:left w:val="none" w:sz="0" w:space="0" w:color="auto"/>
        <w:bottom w:val="none" w:sz="0" w:space="0" w:color="auto"/>
        <w:right w:val="none" w:sz="0" w:space="0" w:color="auto"/>
      </w:divBdr>
    </w:div>
    <w:div w:id="604381260">
      <w:bodyDiv w:val="1"/>
      <w:marLeft w:val="0"/>
      <w:marRight w:val="0"/>
      <w:marTop w:val="0"/>
      <w:marBottom w:val="0"/>
      <w:divBdr>
        <w:top w:val="none" w:sz="0" w:space="0" w:color="auto"/>
        <w:left w:val="none" w:sz="0" w:space="0" w:color="auto"/>
        <w:bottom w:val="none" w:sz="0" w:space="0" w:color="auto"/>
        <w:right w:val="none" w:sz="0" w:space="0" w:color="auto"/>
      </w:divBdr>
    </w:div>
    <w:div w:id="604963949">
      <w:bodyDiv w:val="1"/>
      <w:marLeft w:val="0"/>
      <w:marRight w:val="0"/>
      <w:marTop w:val="0"/>
      <w:marBottom w:val="0"/>
      <w:divBdr>
        <w:top w:val="none" w:sz="0" w:space="0" w:color="auto"/>
        <w:left w:val="none" w:sz="0" w:space="0" w:color="auto"/>
        <w:bottom w:val="none" w:sz="0" w:space="0" w:color="auto"/>
        <w:right w:val="none" w:sz="0" w:space="0" w:color="auto"/>
      </w:divBdr>
    </w:div>
    <w:div w:id="1061564798">
      <w:bodyDiv w:val="1"/>
      <w:marLeft w:val="0"/>
      <w:marRight w:val="0"/>
      <w:marTop w:val="0"/>
      <w:marBottom w:val="0"/>
      <w:divBdr>
        <w:top w:val="none" w:sz="0" w:space="0" w:color="auto"/>
        <w:left w:val="none" w:sz="0" w:space="0" w:color="auto"/>
        <w:bottom w:val="none" w:sz="0" w:space="0" w:color="auto"/>
        <w:right w:val="none" w:sz="0" w:space="0" w:color="auto"/>
      </w:divBdr>
    </w:div>
    <w:div w:id="1206530122">
      <w:bodyDiv w:val="1"/>
      <w:marLeft w:val="0"/>
      <w:marRight w:val="0"/>
      <w:marTop w:val="0"/>
      <w:marBottom w:val="0"/>
      <w:divBdr>
        <w:top w:val="none" w:sz="0" w:space="0" w:color="auto"/>
        <w:left w:val="none" w:sz="0" w:space="0" w:color="auto"/>
        <w:bottom w:val="none" w:sz="0" w:space="0" w:color="auto"/>
        <w:right w:val="none" w:sz="0" w:space="0" w:color="auto"/>
      </w:divBdr>
    </w:div>
    <w:div w:id="1364210809">
      <w:bodyDiv w:val="1"/>
      <w:marLeft w:val="0"/>
      <w:marRight w:val="0"/>
      <w:marTop w:val="0"/>
      <w:marBottom w:val="0"/>
      <w:divBdr>
        <w:top w:val="none" w:sz="0" w:space="0" w:color="auto"/>
        <w:left w:val="none" w:sz="0" w:space="0" w:color="auto"/>
        <w:bottom w:val="none" w:sz="0" w:space="0" w:color="auto"/>
        <w:right w:val="none" w:sz="0" w:space="0" w:color="auto"/>
      </w:divBdr>
    </w:div>
    <w:div w:id="1433472277">
      <w:bodyDiv w:val="1"/>
      <w:marLeft w:val="0"/>
      <w:marRight w:val="0"/>
      <w:marTop w:val="0"/>
      <w:marBottom w:val="0"/>
      <w:divBdr>
        <w:top w:val="none" w:sz="0" w:space="0" w:color="auto"/>
        <w:left w:val="none" w:sz="0" w:space="0" w:color="auto"/>
        <w:bottom w:val="none" w:sz="0" w:space="0" w:color="auto"/>
        <w:right w:val="none" w:sz="0" w:space="0" w:color="auto"/>
      </w:divBdr>
    </w:div>
    <w:div w:id="1678383795">
      <w:bodyDiv w:val="1"/>
      <w:marLeft w:val="0"/>
      <w:marRight w:val="0"/>
      <w:marTop w:val="0"/>
      <w:marBottom w:val="0"/>
      <w:divBdr>
        <w:top w:val="none" w:sz="0" w:space="0" w:color="auto"/>
        <w:left w:val="none" w:sz="0" w:space="0" w:color="auto"/>
        <w:bottom w:val="none" w:sz="0" w:space="0" w:color="auto"/>
        <w:right w:val="none" w:sz="0" w:space="0" w:color="auto"/>
      </w:divBdr>
    </w:div>
    <w:div w:id="1706325512">
      <w:bodyDiv w:val="1"/>
      <w:marLeft w:val="0"/>
      <w:marRight w:val="0"/>
      <w:marTop w:val="0"/>
      <w:marBottom w:val="0"/>
      <w:divBdr>
        <w:top w:val="none" w:sz="0" w:space="0" w:color="auto"/>
        <w:left w:val="none" w:sz="0" w:space="0" w:color="auto"/>
        <w:bottom w:val="none" w:sz="0" w:space="0" w:color="auto"/>
        <w:right w:val="none" w:sz="0" w:space="0" w:color="auto"/>
      </w:divBdr>
    </w:div>
    <w:div w:id="1746216989">
      <w:bodyDiv w:val="1"/>
      <w:marLeft w:val="0"/>
      <w:marRight w:val="0"/>
      <w:marTop w:val="0"/>
      <w:marBottom w:val="0"/>
      <w:divBdr>
        <w:top w:val="none" w:sz="0" w:space="0" w:color="auto"/>
        <w:left w:val="none" w:sz="0" w:space="0" w:color="auto"/>
        <w:bottom w:val="none" w:sz="0" w:space="0" w:color="auto"/>
        <w:right w:val="none" w:sz="0" w:space="0" w:color="auto"/>
      </w:divBdr>
    </w:div>
    <w:div w:id="1932087102">
      <w:bodyDiv w:val="1"/>
      <w:marLeft w:val="0"/>
      <w:marRight w:val="0"/>
      <w:marTop w:val="0"/>
      <w:marBottom w:val="0"/>
      <w:divBdr>
        <w:top w:val="none" w:sz="0" w:space="0" w:color="auto"/>
        <w:left w:val="none" w:sz="0" w:space="0" w:color="auto"/>
        <w:bottom w:val="none" w:sz="0" w:space="0" w:color="auto"/>
        <w:right w:val="none" w:sz="0" w:space="0" w:color="auto"/>
      </w:divBdr>
    </w:div>
    <w:div w:id="212888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https://documents.lucid.app/documents/053081fc-d1a1-43ef-8624-7c12bb890d62/pages/0_0?a=476&amp;x=401&amp;y=195&amp;w=858&amp;h=547&amp;store=1&amp;accept=image%2F*&amp;auth=LCA%204e0010d31ad390c852b118c60fa77c249537fd6a-ts%3D1615726464"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www.enoll.org" TargetMode="External"/><Relationship Id="rId4" Type="http://schemas.openxmlformats.org/officeDocument/2006/relationships/settings" Target="settings.xml"/><Relationship Id="rId9" Type="http://schemas.openxmlformats.org/officeDocument/2006/relationships/hyperlink" Target="http://www.sheffield.ac.uk/ssid/unfair-means"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F0AE5-CC79-458D-9649-E83A9E6B7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276</Pages>
  <Words>297763</Words>
  <Characters>1697252</Characters>
  <Application>Microsoft Office Word</Application>
  <DocSecurity>0</DocSecurity>
  <Lines>14143</Lines>
  <Paragraphs>3982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Yuzhen Zhu</dc:creator>
  <cp:keywords/>
  <dc:description/>
  <cp:lastModifiedBy>C Kevin</cp:lastModifiedBy>
  <cp:revision>14</cp:revision>
  <dcterms:created xsi:type="dcterms:W3CDTF">2023-05-24T22:33:00Z</dcterms:created>
  <dcterms:modified xsi:type="dcterms:W3CDTF">2023-05-27T01:29:00Z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id="WjXiMXKA"/&gt;&lt;style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